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charts/chart10.xml" ContentType="application/vnd.openxmlformats-officedocument.drawingml.chart+xml"/>
  <Override PartName="/word/theme/themeOverride1.xml" ContentType="application/vnd.openxmlformats-officedocument.themeOverride+xml"/>
  <Override PartName="/word/charts/chart11.xml" ContentType="application/vnd.openxmlformats-officedocument.drawingml.chart+xml"/>
  <Override PartName="/word/theme/themeOverride2.xml" ContentType="application/vnd.openxmlformats-officedocument.themeOverride+xml"/>
  <Override PartName="/word/charts/chart12.xml" ContentType="application/vnd.openxmlformats-officedocument.drawingml.chart+xml"/>
  <Override PartName="/word/theme/themeOverride3.xml" ContentType="application/vnd.openxmlformats-officedocument.themeOverride+xml"/>
  <Override PartName="/word/charts/chart13.xml" ContentType="application/vnd.openxmlformats-officedocument.drawingml.chart+xml"/>
  <Override PartName="/word/theme/themeOverride4.xml" ContentType="application/vnd.openxmlformats-officedocument.themeOverride+xml"/>
  <Override PartName="/word/charts/chart14.xml" ContentType="application/vnd.openxmlformats-officedocument.drawingml.chart+xml"/>
  <Override PartName="/word/theme/themeOverride5.xml" ContentType="application/vnd.openxmlformats-officedocument.themeOverride+xml"/>
  <Override PartName="/word/charts/chart15.xml" ContentType="application/vnd.openxmlformats-officedocument.drawingml.chart+xml"/>
  <Override PartName="/word/theme/themeOverride6.xml" ContentType="application/vnd.openxmlformats-officedocument.themeOverride+xml"/>
  <Override PartName="/word/charts/chart16.xml" ContentType="application/vnd.openxmlformats-officedocument.drawingml.chart+xml"/>
  <Override PartName="/word/theme/themeOverride7.xml" ContentType="application/vnd.openxmlformats-officedocument.themeOverride+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theme/themeOverride8.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theme/themeOverride9.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4.xml" ContentType="application/vnd.openxmlformats-officedocument.drawingml.chart+xml"/>
  <Override PartName="/word/charts/chart25.xml" ContentType="application/vnd.openxmlformats-officedocument.drawingml.chart+xml"/>
  <Override PartName="/word/theme/themeOverride10.xml" ContentType="application/vnd.openxmlformats-officedocument.themeOverride+xml"/>
  <Override PartName="/word/charts/chart26.xml" ContentType="application/vnd.openxmlformats-officedocument.drawingml.chart+xml"/>
  <Override PartName="/word/theme/themeOverride11.xml" ContentType="application/vnd.openxmlformats-officedocument.themeOverride+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theme/themeOverride12.xml" ContentType="application/vnd.openxmlformats-officedocument.themeOverride+xml"/>
  <Override PartName="/word/charts/chart33.xml" ContentType="application/vnd.openxmlformats-officedocument.drawingml.chart+xml"/>
  <Override PartName="/word/theme/themeOverride13.xml" ContentType="application/vnd.openxmlformats-officedocument.themeOverride+xml"/>
  <Override PartName="/word/charts/chart34.xml" ContentType="application/vnd.openxmlformats-officedocument.drawingml.chart+xml"/>
  <Override PartName="/word/theme/themeOverride14.xml" ContentType="application/vnd.openxmlformats-officedocument.themeOverride+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602D4" w:rsidRDefault="000B4C86">
      <w:pPr>
        <w:spacing w:after="0" w:line="240" w:lineRule="auto"/>
        <w:jc w:val="right"/>
        <w:rPr>
          <w:rFonts w:ascii="Times New Roman" w:hAnsi="Times New Roman" w:cs="Times New Roman"/>
          <w:b/>
          <w:sz w:val="24"/>
          <w:szCs w:val="24"/>
        </w:rPr>
      </w:pPr>
      <w:r>
        <w:rPr>
          <w:rFonts w:ascii="Times New Roman" w:eastAsia="Times New Roman" w:hAnsi="Times New Roman" w:cs="Times New Roman"/>
          <w:b/>
          <w:sz w:val="24"/>
          <w:szCs w:val="24"/>
          <w:lang w:eastAsia="ru-RU"/>
        </w:rPr>
        <w:t xml:space="preserve">Утвержден: </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решением годового заседания Общего собрания </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lang w:eastAsia="ru-RU"/>
        </w:rPr>
        <w:t>акционеров ПАО «Россети Сибирь» __.__.2025</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 (протокол от __.__.2025 № </w:t>
      </w:r>
      <w:r>
        <w:rPr>
          <w:rFonts w:ascii="Times New Roman" w:eastAsia="Times New Roman" w:hAnsi="Times New Roman" w:cs="Times New Roman"/>
          <w:b/>
          <w:sz w:val="24"/>
          <w:szCs w:val="24"/>
          <w:lang w:eastAsia="ru-RU"/>
        </w:rPr>
        <w:t>____</w:t>
      </w:r>
      <w:r>
        <w:rPr>
          <w:rFonts w:ascii="Times New Roman" w:eastAsia="Times New Roman" w:hAnsi="Times New Roman" w:cs="Times New Roman"/>
          <w:sz w:val="24"/>
          <w:szCs w:val="24"/>
          <w:lang w:eastAsia="ru-RU"/>
        </w:rPr>
        <w:t>)</w:t>
      </w:r>
    </w:p>
    <w:p w:rsidR="00D602D4" w:rsidRDefault="00D602D4">
      <w:pPr>
        <w:spacing w:after="0" w:line="240" w:lineRule="auto"/>
        <w:jc w:val="right"/>
        <w:rPr>
          <w:rFonts w:ascii="Times New Roman" w:hAnsi="Times New Roman" w:cs="Times New Roman"/>
          <w:sz w:val="24"/>
          <w:szCs w:val="24"/>
        </w:rPr>
      </w:pPr>
    </w:p>
    <w:p w:rsidR="00D602D4" w:rsidRDefault="000B4C86">
      <w:pPr>
        <w:spacing w:after="0" w:line="240" w:lineRule="auto"/>
        <w:jc w:val="right"/>
        <w:rPr>
          <w:rFonts w:ascii="Times New Roman" w:hAnsi="Times New Roman" w:cs="Times New Roman"/>
          <w:b/>
          <w:sz w:val="24"/>
          <w:szCs w:val="24"/>
        </w:rPr>
      </w:pPr>
      <w:r>
        <w:rPr>
          <w:rFonts w:ascii="Times New Roman" w:eastAsia="Times New Roman" w:hAnsi="Times New Roman" w:cs="Times New Roman"/>
          <w:b/>
          <w:sz w:val="24"/>
          <w:szCs w:val="24"/>
          <w:lang w:eastAsia="ru-RU"/>
        </w:rPr>
        <w:t xml:space="preserve">Предварительно утвержден: </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решением Совета директоров </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lang w:eastAsia="ru-RU"/>
        </w:rPr>
        <w:t>ПАО «Россети Сибирь» 26.05.2025</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lang w:eastAsia="ru-RU"/>
        </w:rPr>
        <w:t>(протокол от 29.05.2025 № 554/25)</w:t>
      </w:r>
    </w:p>
    <w:p w:rsidR="00D602D4" w:rsidRDefault="00D602D4">
      <w:pPr>
        <w:spacing w:after="0" w:line="240" w:lineRule="auto"/>
        <w:jc w:val="right"/>
        <w:rPr>
          <w:rFonts w:ascii="Times New Roman" w:hAnsi="Times New Roman" w:cs="Times New Roman"/>
          <w:sz w:val="24"/>
          <w:szCs w:val="24"/>
        </w:rPr>
      </w:pPr>
    </w:p>
    <w:p w:rsidR="00D602D4" w:rsidRDefault="000B4C86">
      <w:pPr>
        <w:spacing w:after="0" w:line="240" w:lineRule="auto"/>
        <w:jc w:val="right"/>
        <w:rPr>
          <w:rFonts w:ascii="Times New Roman" w:hAnsi="Times New Roman" w:cs="Times New Roman"/>
          <w:b/>
          <w:sz w:val="24"/>
          <w:szCs w:val="24"/>
        </w:rPr>
      </w:pPr>
      <w:r>
        <w:rPr>
          <w:rFonts w:ascii="Times New Roman" w:eastAsia="Times New Roman" w:hAnsi="Times New Roman" w:cs="Times New Roman"/>
          <w:b/>
          <w:sz w:val="24"/>
          <w:szCs w:val="24"/>
          <w:lang w:eastAsia="ru-RU"/>
        </w:rPr>
        <w:t>Достоверность данных, содержащихся в</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b/>
          <w:sz w:val="24"/>
          <w:szCs w:val="24"/>
          <w:lang w:eastAsia="ru-RU"/>
        </w:rPr>
        <w:t>годовом отчете, подтверждена:</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lang w:eastAsia="ru-RU"/>
        </w:rPr>
        <w:t>решением Ревизионной комиссии</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ПАО «Россети Сибирь» </w:t>
      </w:r>
      <w:r w:rsidR="002765EC">
        <w:rPr>
          <w:rFonts w:ascii="Times New Roman" w:eastAsia="Times New Roman" w:hAnsi="Times New Roman" w:cs="Times New Roman"/>
          <w:sz w:val="24"/>
          <w:szCs w:val="24"/>
          <w:lang w:eastAsia="ru-RU"/>
        </w:rPr>
        <w:t>06</w:t>
      </w:r>
      <w:r>
        <w:rPr>
          <w:rFonts w:ascii="Times New Roman" w:eastAsia="Times New Roman" w:hAnsi="Times New Roman" w:cs="Times New Roman"/>
          <w:sz w:val="24"/>
          <w:szCs w:val="24"/>
          <w:lang w:eastAsia="ru-RU"/>
        </w:rPr>
        <w:t>.</w:t>
      </w:r>
      <w:r w:rsidR="002765EC">
        <w:rPr>
          <w:rFonts w:ascii="Times New Roman" w:eastAsia="Times New Roman" w:hAnsi="Times New Roman" w:cs="Times New Roman"/>
          <w:sz w:val="24"/>
          <w:szCs w:val="24"/>
          <w:lang w:eastAsia="ru-RU"/>
        </w:rPr>
        <w:t>05</w:t>
      </w:r>
      <w:r>
        <w:rPr>
          <w:rFonts w:ascii="Times New Roman" w:eastAsia="Times New Roman" w:hAnsi="Times New Roman" w:cs="Times New Roman"/>
          <w:sz w:val="24"/>
          <w:szCs w:val="24"/>
          <w:lang w:eastAsia="ru-RU"/>
        </w:rPr>
        <w:t>.2025</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 (протокол от </w:t>
      </w:r>
      <w:r w:rsidR="002765EC">
        <w:rPr>
          <w:rFonts w:ascii="Times New Roman" w:eastAsia="Times New Roman" w:hAnsi="Times New Roman" w:cs="Times New Roman"/>
          <w:sz w:val="24"/>
          <w:szCs w:val="24"/>
          <w:lang w:eastAsia="ru-RU"/>
        </w:rPr>
        <w:t>06.05</w:t>
      </w:r>
      <w:r>
        <w:rPr>
          <w:rFonts w:ascii="Times New Roman" w:eastAsia="Times New Roman" w:hAnsi="Times New Roman" w:cs="Times New Roman"/>
          <w:sz w:val="24"/>
          <w:szCs w:val="24"/>
          <w:lang w:eastAsia="ru-RU"/>
        </w:rPr>
        <w:t>.2025 №</w:t>
      </w:r>
      <w:r w:rsidR="002765EC">
        <w:rPr>
          <w:rFonts w:ascii="Times New Roman" w:eastAsia="Times New Roman" w:hAnsi="Times New Roman" w:cs="Times New Roman"/>
          <w:sz w:val="24"/>
          <w:szCs w:val="24"/>
          <w:lang w:eastAsia="ru-RU"/>
        </w:rPr>
        <w:t xml:space="preserve"> 3</w:t>
      </w:r>
      <w:r>
        <w:rPr>
          <w:rFonts w:ascii="Times New Roman" w:eastAsia="Times New Roman" w:hAnsi="Times New Roman" w:cs="Times New Roman"/>
          <w:sz w:val="24"/>
          <w:szCs w:val="24"/>
          <w:lang w:eastAsia="ru-RU"/>
        </w:rPr>
        <w:t>)</w:t>
      </w:r>
    </w:p>
    <w:p w:rsidR="00D602D4" w:rsidRDefault="00D602D4">
      <w:pPr>
        <w:spacing w:after="0" w:line="240" w:lineRule="auto"/>
        <w:jc w:val="right"/>
        <w:rPr>
          <w:rFonts w:ascii="Times New Roman" w:hAnsi="Times New Roman" w:cs="Times New Roman"/>
          <w:sz w:val="24"/>
          <w:szCs w:val="24"/>
        </w:rPr>
      </w:pPr>
    </w:p>
    <w:p w:rsidR="00D602D4" w:rsidRDefault="00D602D4">
      <w:pPr>
        <w:spacing w:after="0" w:line="240" w:lineRule="auto"/>
        <w:jc w:val="right"/>
        <w:rPr>
          <w:rFonts w:ascii="Times New Roman" w:hAnsi="Times New Roman" w:cs="Times New Roman"/>
          <w:sz w:val="24"/>
          <w:szCs w:val="24"/>
        </w:rPr>
      </w:pPr>
    </w:p>
    <w:p w:rsidR="00D602D4" w:rsidRDefault="00D602D4">
      <w:pPr>
        <w:spacing w:after="120" w:line="240" w:lineRule="auto"/>
        <w:jc w:val="both"/>
        <w:rPr>
          <w:rFonts w:ascii="Times New Roman" w:hAnsi="Times New Roman" w:cs="Times New Roman"/>
          <w:sz w:val="24"/>
          <w:szCs w:val="24"/>
        </w:rPr>
      </w:pPr>
    </w:p>
    <w:p w:rsidR="00D602D4" w:rsidRDefault="00D602D4">
      <w:pPr>
        <w:spacing w:after="120" w:line="240" w:lineRule="auto"/>
        <w:jc w:val="both"/>
        <w:rPr>
          <w:rFonts w:ascii="Times New Roman" w:hAnsi="Times New Roman" w:cs="Times New Roman"/>
          <w:sz w:val="24"/>
          <w:szCs w:val="24"/>
        </w:rPr>
      </w:pPr>
    </w:p>
    <w:p w:rsidR="00D602D4" w:rsidRDefault="00D602D4">
      <w:pPr>
        <w:spacing w:after="120" w:line="240" w:lineRule="auto"/>
        <w:jc w:val="both"/>
        <w:rPr>
          <w:rFonts w:ascii="Times New Roman" w:hAnsi="Times New Roman" w:cs="Times New Roman"/>
          <w:sz w:val="24"/>
          <w:szCs w:val="24"/>
        </w:rPr>
      </w:pPr>
    </w:p>
    <w:p w:rsidR="00D602D4" w:rsidRDefault="00D602D4">
      <w:pPr>
        <w:spacing w:after="120" w:line="240" w:lineRule="auto"/>
        <w:jc w:val="both"/>
        <w:rPr>
          <w:rFonts w:ascii="Times New Roman" w:hAnsi="Times New Roman" w:cs="Times New Roman"/>
          <w:sz w:val="24"/>
          <w:szCs w:val="24"/>
        </w:rPr>
      </w:pPr>
    </w:p>
    <w:p w:rsidR="00D602D4" w:rsidRDefault="00D602D4">
      <w:pPr>
        <w:spacing w:after="120" w:line="240" w:lineRule="auto"/>
        <w:jc w:val="both"/>
        <w:rPr>
          <w:rFonts w:ascii="Times New Roman" w:hAnsi="Times New Roman" w:cs="Times New Roman"/>
          <w:sz w:val="24"/>
          <w:szCs w:val="24"/>
        </w:rPr>
      </w:pPr>
    </w:p>
    <w:p w:rsidR="00D602D4" w:rsidRDefault="000B4C86">
      <w:pPr>
        <w:spacing w:after="120" w:line="240" w:lineRule="auto"/>
        <w:jc w:val="center"/>
        <w:rPr>
          <w:rFonts w:ascii="Times New Roman" w:hAnsi="Times New Roman" w:cs="Times New Roman"/>
          <w:b/>
          <w:sz w:val="56"/>
          <w:szCs w:val="24"/>
        </w:rPr>
      </w:pPr>
      <w:r>
        <w:rPr>
          <w:rFonts w:ascii="Times New Roman" w:eastAsia="Times New Roman" w:hAnsi="Times New Roman" w:cs="Times New Roman"/>
          <w:b/>
          <w:sz w:val="56"/>
          <w:szCs w:val="24"/>
          <w:lang w:eastAsia="ru-RU"/>
        </w:rPr>
        <w:t>ГОДОВОЙ ОТЧЕТ</w:t>
      </w:r>
    </w:p>
    <w:p w:rsidR="00D602D4" w:rsidRDefault="000B4C86">
      <w:pPr>
        <w:spacing w:after="120" w:line="240" w:lineRule="auto"/>
        <w:jc w:val="center"/>
        <w:rPr>
          <w:rFonts w:ascii="Times New Roman" w:hAnsi="Times New Roman" w:cs="Times New Roman"/>
          <w:b/>
          <w:sz w:val="40"/>
          <w:szCs w:val="24"/>
        </w:rPr>
      </w:pPr>
      <w:r>
        <w:rPr>
          <w:rFonts w:ascii="Times New Roman" w:eastAsia="Times New Roman" w:hAnsi="Times New Roman" w:cs="Times New Roman"/>
          <w:b/>
          <w:sz w:val="40"/>
          <w:szCs w:val="24"/>
          <w:lang w:eastAsia="ru-RU"/>
        </w:rPr>
        <w:t>ПУБЛИЧНОГО АКЦИОНЕРНОГО ОБЩЕСТВА</w:t>
      </w:r>
    </w:p>
    <w:p w:rsidR="00D602D4" w:rsidRDefault="000B4C86">
      <w:pPr>
        <w:spacing w:after="120" w:line="240" w:lineRule="auto"/>
        <w:jc w:val="center"/>
        <w:rPr>
          <w:rFonts w:ascii="Times New Roman" w:hAnsi="Times New Roman" w:cs="Times New Roman"/>
          <w:b/>
          <w:sz w:val="40"/>
          <w:szCs w:val="24"/>
          <w:u w:val="single"/>
        </w:rPr>
      </w:pPr>
      <w:r>
        <w:rPr>
          <w:rFonts w:ascii="Times New Roman" w:eastAsia="Times New Roman" w:hAnsi="Times New Roman" w:cs="Times New Roman"/>
          <w:b/>
          <w:sz w:val="40"/>
          <w:szCs w:val="24"/>
          <w:u w:val="single"/>
          <w:lang w:eastAsia="ru-RU"/>
        </w:rPr>
        <w:t>«Россети Сибирь»</w:t>
      </w:r>
    </w:p>
    <w:p w:rsidR="00D602D4" w:rsidRDefault="000B4C86">
      <w:pPr>
        <w:spacing w:after="120" w:line="240" w:lineRule="auto"/>
        <w:jc w:val="center"/>
        <w:rPr>
          <w:rFonts w:ascii="Times New Roman" w:hAnsi="Times New Roman" w:cs="Times New Roman"/>
          <w:b/>
          <w:sz w:val="40"/>
          <w:szCs w:val="24"/>
        </w:rPr>
      </w:pPr>
      <w:r>
        <w:rPr>
          <w:rFonts w:ascii="Times New Roman" w:eastAsia="Times New Roman" w:hAnsi="Times New Roman" w:cs="Times New Roman"/>
          <w:b/>
          <w:sz w:val="40"/>
          <w:szCs w:val="24"/>
          <w:lang w:eastAsia="ru-RU"/>
        </w:rPr>
        <w:t>ЗА 2024 ГОД</w:t>
      </w:r>
    </w:p>
    <w:p w:rsidR="00D602D4" w:rsidRDefault="00D602D4">
      <w:pPr>
        <w:spacing w:after="120" w:line="240" w:lineRule="auto"/>
        <w:jc w:val="both"/>
        <w:rPr>
          <w:rFonts w:ascii="Times New Roman" w:hAnsi="Times New Roman" w:cs="Times New Roman"/>
          <w:sz w:val="24"/>
          <w:szCs w:val="24"/>
        </w:rPr>
      </w:pPr>
    </w:p>
    <w:p w:rsidR="00D602D4" w:rsidRDefault="00D602D4">
      <w:pPr>
        <w:spacing w:after="120" w:line="240" w:lineRule="auto"/>
        <w:jc w:val="both"/>
        <w:rPr>
          <w:rFonts w:ascii="Times New Roman" w:hAnsi="Times New Roman" w:cs="Times New Roman"/>
          <w:sz w:val="24"/>
          <w:szCs w:val="24"/>
        </w:rPr>
      </w:pPr>
    </w:p>
    <w:p w:rsidR="00D602D4" w:rsidRDefault="00D602D4">
      <w:pPr>
        <w:spacing w:after="120" w:line="240" w:lineRule="auto"/>
        <w:jc w:val="both"/>
        <w:rPr>
          <w:rFonts w:ascii="Times New Roman" w:hAnsi="Times New Roman" w:cs="Times New Roman"/>
          <w:sz w:val="24"/>
          <w:szCs w:val="24"/>
        </w:rPr>
      </w:pPr>
    </w:p>
    <w:p w:rsidR="00D602D4" w:rsidRDefault="00D602D4">
      <w:pPr>
        <w:spacing w:after="120" w:line="240" w:lineRule="auto"/>
        <w:jc w:val="both"/>
        <w:rPr>
          <w:rFonts w:ascii="Times New Roman" w:hAnsi="Times New Roman" w:cs="Times New Roman"/>
          <w:sz w:val="24"/>
          <w:szCs w:val="24"/>
        </w:rPr>
      </w:pPr>
    </w:p>
    <w:p w:rsidR="00D602D4" w:rsidRDefault="000B4C86">
      <w:pPr>
        <w:spacing w:after="0" w:line="240" w:lineRule="auto"/>
        <w:jc w:val="both"/>
        <w:rPr>
          <w:rFonts w:ascii="Times New Roman" w:hAnsi="Times New Roman" w:cs="Times New Roman"/>
          <w:sz w:val="28"/>
          <w:szCs w:val="24"/>
        </w:rPr>
      </w:pPr>
      <w:r>
        <w:rPr>
          <w:rFonts w:ascii="Times New Roman" w:eastAsia="Times New Roman" w:hAnsi="Times New Roman" w:cs="Times New Roman"/>
          <w:sz w:val="28"/>
          <w:szCs w:val="24"/>
          <w:lang w:eastAsia="ru-RU"/>
        </w:rPr>
        <w:t>Генеральный директор</w:t>
      </w:r>
    </w:p>
    <w:p w:rsidR="00D602D4" w:rsidRDefault="000B4C86">
      <w:pPr>
        <w:spacing w:after="0" w:line="240" w:lineRule="auto"/>
        <w:jc w:val="both"/>
        <w:rPr>
          <w:rFonts w:ascii="Times New Roman" w:hAnsi="Times New Roman" w:cs="Times New Roman"/>
          <w:sz w:val="28"/>
          <w:szCs w:val="24"/>
        </w:rPr>
      </w:pPr>
      <w:r>
        <w:rPr>
          <w:rFonts w:ascii="Times New Roman" w:eastAsia="Times New Roman" w:hAnsi="Times New Roman" w:cs="Times New Roman"/>
          <w:sz w:val="28"/>
          <w:szCs w:val="24"/>
          <w:lang w:eastAsia="ru-RU"/>
        </w:rPr>
        <w:t>ПАО «Россети Сибирь»</w:t>
      </w:r>
      <w:r>
        <w:rPr>
          <w:rFonts w:ascii="Times New Roman" w:eastAsia="Times New Roman" w:hAnsi="Times New Roman" w:cs="Times New Roman"/>
          <w:sz w:val="28"/>
          <w:szCs w:val="24"/>
          <w:lang w:eastAsia="ru-RU"/>
        </w:rPr>
        <w:tab/>
      </w:r>
      <w:r>
        <w:rPr>
          <w:rFonts w:ascii="Times New Roman" w:eastAsia="Times New Roman" w:hAnsi="Times New Roman" w:cs="Times New Roman"/>
          <w:sz w:val="28"/>
          <w:szCs w:val="24"/>
          <w:lang w:eastAsia="ru-RU"/>
        </w:rPr>
        <w:tab/>
      </w:r>
      <w:r>
        <w:rPr>
          <w:rFonts w:ascii="Times New Roman" w:eastAsia="Times New Roman" w:hAnsi="Times New Roman" w:cs="Times New Roman"/>
          <w:sz w:val="28"/>
          <w:szCs w:val="24"/>
          <w:lang w:eastAsia="ru-RU"/>
        </w:rPr>
        <w:tab/>
      </w:r>
      <w:r>
        <w:rPr>
          <w:rFonts w:ascii="Times New Roman" w:eastAsia="Times New Roman" w:hAnsi="Times New Roman" w:cs="Times New Roman"/>
          <w:sz w:val="28"/>
          <w:szCs w:val="24"/>
          <w:lang w:eastAsia="ru-RU"/>
        </w:rPr>
        <w:tab/>
        <w:t xml:space="preserve">                         А.Г. Дьячков</w:t>
      </w:r>
    </w:p>
    <w:p w:rsidR="00D602D4" w:rsidRDefault="00D602D4">
      <w:pPr>
        <w:rPr>
          <w:rFonts w:ascii="Times New Roman" w:hAnsi="Times New Roman" w:cs="Times New Roman"/>
          <w:sz w:val="24"/>
          <w:szCs w:val="24"/>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0B4C86">
      <w:pPr>
        <w:pStyle w:val="1565656"/>
        <w:ind w:firstLine="709"/>
      </w:pPr>
      <w:bookmarkStart w:id="0" w:name="_Toc1"/>
      <w:r>
        <w:rPr>
          <w:rFonts w:eastAsia="Times New Roman"/>
        </w:rPr>
        <w:lastRenderedPageBreak/>
        <w:t>Об отчете</w:t>
      </w:r>
      <w:bookmarkEnd w:id="0"/>
    </w:p>
    <w:p w:rsidR="00D602D4" w:rsidRDefault="000B4C86">
      <w:pPr>
        <w:spacing w:after="0" w:line="240" w:lineRule="auto"/>
        <w:ind w:firstLine="709"/>
        <w:jc w:val="both"/>
        <w:rPr>
          <w:rFonts w:ascii="Times New Roman" w:hAnsi="Times New Roman" w:cs="Times New Roman"/>
          <w:color w:val="1A1A18"/>
          <w:sz w:val="24"/>
          <w:szCs w:val="24"/>
        </w:rPr>
      </w:pPr>
      <w:r>
        <w:rPr>
          <w:rFonts w:ascii="Times New Roman" w:eastAsia="Times New Roman" w:hAnsi="Times New Roman" w:cs="Times New Roman"/>
          <w:color w:val="1A1A18"/>
          <w:sz w:val="24"/>
          <w:szCs w:val="24"/>
        </w:rPr>
        <w:t xml:space="preserve">Настоящий Годовой отчет ПАО «Россети Сибирь» за 2024 год (далее – Годовой отчет, Отчет) подготовлен на основании информации, доступной ПАО «Россети Сибирь» (далее также – Компания, Общество, Предприятие) на момент его составления. </w:t>
      </w:r>
    </w:p>
    <w:p w:rsidR="00D602D4" w:rsidRDefault="000B4C86">
      <w:pPr>
        <w:spacing w:after="0" w:line="240" w:lineRule="auto"/>
        <w:ind w:firstLine="709"/>
        <w:jc w:val="both"/>
        <w:rPr>
          <w:rFonts w:ascii="Times New Roman" w:hAnsi="Times New Roman" w:cs="Times New Roman"/>
          <w:color w:val="1A1A18"/>
          <w:sz w:val="24"/>
          <w:szCs w:val="24"/>
        </w:rPr>
      </w:pPr>
      <w:r>
        <w:rPr>
          <w:rFonts w:ascii="Times New Roman" w:eastAsia="Times New Roman" w:hAnsi="Times New Roman" w:cs="Times New Roman"/>
          <w:color w:val="1A1A18"/>
          <w:sz w:val="24"/>
          <w:szCs w:val="24"/>
        </w:rPr>
        <w:t xml:space="preserve">Данный Отчет представляет результаты работы ПАО «Россети Сибирь» за 2024 год. </w:t>
      </w:r>
    </w:p>
    <w:p w:rsidR="00D602D4" w:rsidRDefault="000B4C86">
      <w:pPr>
        <w:spacing w:after="0" w:line="240" w:lineRule="auto"/>
        <w:ind w:firstLine="709"/>
        <w:jc w:val="both"/>
        <w:rPr>
          <w:rFonts w:ascii="Times New Roman" w:hAnsi="Times New Roman" w:cs="Times New Roman"/>
          <w:color w:val="1A1A18"/>
          <w:sz w:val="24"/>
          <w:szCs w:val="24"/>
        </w:rPr>
      </w:pPr>
      <w:r>
        <w:rPr>
          <w:rFonts w:ascii="Times New Roman" w:eastAsia="Times New Roman" w:hAnsi="Times New Roman" w:cs="Times New Roman"/>
          <w:color w:val="1A1A18"/>
          <w:sz w:val="24"/>
          <w:szCs w:val="24"/>
        </w:rPr>
        <w:t xml:space="preserve">Отчет раскрывает производственные и финансовые результаты, а также иные аспекты деятельности Общества в отчетном году. </w:t>
      </w:r>
    </w:p>
    <w:p w:rsidR="00D602D4" w:rsidRDefault="000B4C86">
      <w:pPr>
        <w:spacing w:after="0" w:line="240" w:lineRule="auto"/>
        <w:ind w:firstLine="709"/>
        <w:jc w:val="both"/>
        <w:rPr>
          <w:rFonts w:ascii="Times New Roman" w:hAnsi="Times New Roman" w:cs="Times New Roman"/>
          <w:b/>
          <w:sz w:val="24"/>
          <w:szCs w:val="24"/>
          <w:highlight w:val="white"/>
        </w:rPr>
      </w:pPr>
      <w:r>
        <w:rPr>
          <w:rFonts w:ascii="Times New Roman" w:eastAsia="Times New Roman" w:hAnsi="Times New Roman" w:cs="Times New Roman"/>
          <w:sz w:val="24"/>
          <w:szCs w:val="24"/>
        </w:rPr>
        <w:t xml:space="preserve">Отчет подготовлен в соответствии с международными и российскими стандартами и нормативными требованиями, а также рекомендациями ПАО «Россети» к формированию </w:t>
      </w:r>
      <w:r>
        <w:rPr>
          <w:rFonts w:ascii="Times New Roman" w:eastAsia="Times New Roman" w:hAnsi="Times New Roman" w:cs="Times New Roman"/>
          <w:sz w:val="24"/>
          <w:szCs w:val="24"/>
          <w:highlight w:val="white"/>
        </w:rPr>
        <w:t>отчетности дочерних компаний.</w:t>
      </w:r>
    </w:p>
    <w:p w:rsidR="00D602D4" w:rsidRDefault="000B4C86">
      <w:pPr>
        <w:spacing w:after="0" w:line="240" w:lineRule="auto"/>
        <w:ind w:firstLine="709"/>
        <w:jc w:val="both"/>
        <w:rPr>
          <w:rFonts w:ascii="Times New Roman" w:hAnsi="Times New Roman" w:cs="Times New Roman"/>
          <w:b/>
          <w:sz w:val="24"/>
          <w:szCs w:val="24"/>
          <w:highlight w:val="white"/>
        </w:rPr>
      </w:pPr>
      <w:r>
        <w:rPr>
          <w:rFonts w:ascii="Times New Roman" w:eastAsia="Times New Roman" w:hAnsi="Times New Roman" w:cs="Times New Roman"/>
          <w:b/>
          <w:sz w:val="24"/>
          <w:szCs w:val="24"/>
          <w:highlight w:val="white"/>
        </w:rPr>
        <w:t>Ключевая тема</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Ключевая тема годового отчёта ПАО «Россети Сибирь» за 2024 год – «Традиции надёжности». Надёжность энергоснабжения потребителей, надёжность функционирования энергосистемы – ключевая задача компании, сверхцель. Общество стремится к ней на протяжении без малого двадцати лет существования, основываясь на традициях, заложенных в региональных энергосистемах в середине </w:t>
      </w:r>
      <w:r>
        <w:rPr>
          <w:rFonts w:ascii="Times New Roman" w:eastAsia="Times New Roman" w:hAnsi="Times New Roman" w:cs="Times New Roman"/>
          <w:sz w:val="24"/>
          <w:szCs w:val="24"/>
          <w:highlight w:val="white"/>
          <w:lang w:val="en-US"/>
        </w:rPr>
        <w:t>XX</w:t>
      </w:r>
      <w:r>
        <w:rPr>
          <w:rFonts w:ascii="Times New Roman" w:eastAsia="Times New Roman" w:hAnsi="Times New Roman" w:cs="Times New Roman"/>
          <w:sz w:val="24"/>
          <w:szCs w:val="24"/>
          <w:highlight w:val="white"/>
        </w:rPr>
        <w:t xml:space="preserve"> века.</w:t>
      </w:r>
    </w:p>
    <w:p w:rsidR="00D602D4" w:rsidRDefault="000B4C86">
      <w:pPr>
        <w:spacing w:after="0" w:line="240" w:lineRule="auto"/>
        <w:ind w:firstLine="709"/>
        <w:jc w:val="both"/>
        <w:rPr>
          <w:rFonts w:ascii="Times New Roman" w:hAnsi="Times New Roman" w:cs="Times New Roman"/>
          <w:b/>
          <w:sz w:val="24"/>
          <w:szCs w:val="24"/>
        </w:rPr>
      </w:pPr>
      <w:r>
        <w:rPr>
          <w:rFonts w:ascii="Times New Roman" w:eastAsia="Times New Roman" w:hAnsi="Times New Roman" w:cs="Times New Roman"/>
          <w:b/>
          <w:sz w:val="24"/>
          <w:szCs w:val="24"/>
        </w:rPr>
        <w:t>Некоторые определения и перспективные утверждения</w:t>
      </w:r>
    </w:p>
    <w:p w:rsidR="00D602D4" w:rsidRDefault="000B4C86">
      <w:pPr>
        <w:spacing w:after="0" w:line="240" w:lineRule="auto"/>
        <w:ind w:firstLine="709"/>
        <w:jc w:val="both"/>
        <w:rPr>
          <w:rFonts w:ascii="Times New Roman" w:hAnsi="Times New Roman" w:cs="Times New Roman"/>
          <w:b/>
          <w:sz w:val="24"/>
          <w:szCs w:val="24"/>
        </w:rPr>
      </w:pPr>
      <w:r>
        <w:rPr>
          <w:rFonts w:ascii="Times New Roman" w:eastAsia="Times New Roman" w:hAnsi="Times New Roman" w:cs="Times New Roman"/>
          <w:sz w:val="24"/>
          <w:szCs w:val="24"/>
        </w:rPr>
        <w:t>Некоторые заявления в данном Годовом отчете могут содержать предположения или прогнозы в отношении предстоящих событий в ПАО «Россети Сибирь». Такие утверждения содержат слова «планирует», «будет», «ожидается», «наступит», «рассчитывает», «составит», «произойдет» и т. п., а также выражения с отрицанием или другие подобные выражения. Эти заявления являются только предположениями, и реальный ход событий или результаты могут существенно отличаться от заявленных. Существует множество факторов, из-за которых действительные результаты ПАО «Россети Сибирь» могут существенно отличаться от заявленных в предположениях и прогнозах. Компания не несет какой-либо ответственности за убытки, которые могут понести физические или юридические лица, действовавшие с опорой на прогнозные заявления. За исключением случаев, предусмотренных законодательством, Компания не берет на себя обязательства по пересмотру или подтверждению ожиданий и оценок, а также по публикации обновлений и изменений прогнозных заявлений Годового отчета в связи с последующими событиями или поступлением новой информации. Информация о руководстве Компании представлена в соответствии с Федеральным законом от 27.07.2006 №152-ФЗ «О персональных данных». Некоторые показатели в таблицах, графиках, схемах в данном Годовом отчете могут отличаться от суммы слагаемых в результате округлений.</w:t>
      </w:r>
    </w:p>
    <w:p w:rsidR="00D602D4" w:rsidRDefault="00D602D4">
      <w:pPr>
        <w:rPr>
          <w:rFonts w:ascii="Times New Roman" w:hAnsi="Times New Roman" w:cs="Times New Roman"/>
          <w:b/>
          <w:sz w:val="24"/>
          <w:szCs w:val="24"/>
        </w:rPr>
      </w:pPr>
    </w:p>
    <w:p w:rsidR="00D602D4" w:rsidRDefault="00D602D4">
      <w:pPr>
        <w:rPr>
          <w:rFonts w:ascii="Times New Roman" w:hAnsi="Times New Roman" w:cs="Times New Roman"/>
          <w:b/>
          <w:sz w:val="24"/>
          <w:szCs w:val="24"/>
        </w:rPr>
      </w:pPr>
    </w:p>
    <w:p w:rsidR="00D602D4" w:rsidRDefault="00D602D4">
      <w:pPr>
        <w:rPr>
          <w:rFonts w:ascii="Times New Roman" w:hAnsi="Times New Roman" w:cs="Times New Roman"/>
          <w:b/>
          <w:sz w:val="24"/>
          <w:szCs w:val="24"/>
        </w:rPr>
      </w:pPr>
    </w:p>
    <w:p w:rsidR="00D602D4" w:rsidRDefault="00D602D4">
      <w:pPr>
        <w:rPr>
          <w:rFonts w:ascii="Times New Roman" w:hAnsi="Times New Roman" w:cs="Times New Roman"/>
          <w:b/>
          <w:sz w:val="24"/>
          <w:szCs w:val="24"/>
        </w:rPr>
      </w:pPr>
    </w:p>
    <w:p w:rsidR="00D602D4" w:rsidRDefault="00D602D4">
      <w:pPr>
        <w:rPr>
          <w:rFonts w:ascii="Times New Roman" w:hAnsi="Times New Roman" w:cs="Times New Roman"/>
          <w:b/>
          <w:sz w:val="24"/>
          <w:szCs w:val="24"/>
        </w:rPr>
      </w:pPr>
    </w:p>
    <w:p w:rsidR="00D602D4" w:rsidRDefault="00D602D4">
      <w:pPr>
        <w:rPr>
          <w:rFonts w:ascii="Times New Roman" w:hAnsi="Times New Roman" w:cs="Times New Roman"/>
          <w:b/>
          <w:sz w:val="24"/>
          <w:szCs w:val="24"/>
        </w:rPr>
      </w:pPr>
    </w:p>
    <w:p w:rsidR="00D602D4" w:rsidRDefault="00D602D4">
      <w:pPr>
        <w:rPr>
          <w:rFonts w:ascii="Times New Roman" w:hAnsi="Times New Roman" w:cs="Times New Roman"/>
          <w:b/>
          <w:sz w:val="24"/>
          <w:szCs w:val="24"/>
        </w:rPr>
      </w:pPr>
    </w:p>
    <w:p w:rsidR="00D602D4" w:rsidRDefault="00D602D4">
      <w:pPr>
        <w:rPr>
          <w:rFonts w:ascii="Times New Roman" w:hAnsi="Times New Roman" w:cs="Times New Roman"/>
          <w:b/>
          <w:sz w:val="24"/>
          <w:szCs w:val="24"/>
        </w:rPr>
      </w:pPr>
    </w:p>
    <w:p w:rsidR="00D602D4" w:rsidRDefault="00D602D4">
      <w:pPr>
        <w:rPr>
          <w:rFonts w:ascii="Times New Roman" w:hAnsi="Times New Roman" w:cs="Times New Roman"/>
          <w:b/>
          <w:sz w:val="24"/>
          <w:szCs w:val="24"/>
        </w:rPr>
      </w:pPr>
    </w:p>
    <w:p w:rsidR="00D602D4" w:rsidRDefault="00D602D4">
      <w:pPr>
        <w:rPr>
          <w:rFonts w:ascii="Times New Roman" w:hAnsi="Times New Roman" w:cs="Times New Roman"/>
          <w:b/>
          <w:sz w:val="24"/>
          <w:szCs w:val="24"/>
        </w:rPr>
      </w:pPr>
    </w:p>
    <w:p w:rsidR="00D602D4" w:rsidRDefault="000B4C86">
      <w:pPr>
        <w:pStyle w:val="13"/>
        <w:spacing w:before="0" w:line="240" w:lineRule="auto"/>
      </w:pPr>
      <w:bookmarkStart w:id="1" w:name="_Toc2"/>
      <w:r>
        <w:rPr>
          <w:rFonts w:ascii="Times New Roman" w:eastAsia="Times New Roman" w:hAnsi="Times New Roman" w:cs="Times New Roman"/>
          <w:color w:val="000000" w:themeColor="text1"/>
        </w:rPr>
        <w:lastRenderedPageBreak/>
        <w:t>ОГЛАВЛЕНИЕ</w:t>
      </w:r>
      <w:bookmarkEnd w:id="1"/>
    </w:p>
    <w:sdt>
      <w:sdtPr>
        <w:id w:val="-1475754995"/>
        <w:placeholder>
          <w:docPart w:val="DefaultPlaceholder_TEXT"/>
        </w:placeholder>
        <w:docPartObj>
          <w:docPartGallery w:val="Table of Contents"/>
          <w:docPartUnique/>
        </w:docPartObj>
      </w:sdtPr>
      <w:sdtEndPr/>
      <w:sdtContent>
        <w:p w:rsidR="00D602D4" w:rsidRDefault="000B4C86">
          <w:pPr>
            <w:pStyle w:val="16"/>
            <w:tabs>
              <w:tab w:val="right" w:leader="dot" w:pos="9781"/>
            </w:tabs>
            <w:rPr>
              <w:rFonts w:ascii="Times New Roman" w:hAnsi="Times New Roman" w:cs="Times New Roman"/>
              <w:b/>
              <w:bCs/>
              <w:sz w:val="24"/>
              <w:szCs w:val="24"/>
            </w:rPr>
          </w:pPr>
          <w:r>
            <w:rPr>
              <w:rFonts w:ascii="Times New Roman" w:eastAsia="Times New Roman" w:hAnsi="Times New Roman" w:cs="Times New Roman"/>
              <w:b/>
              <w:bCs/>
              <w:sz w:val="24"/>
              <w:szCs w:val="24"/>
            </w:rPr>
            <w:fldChar w:fldCharType="begin"/>
          </w:r>
          <w:r>
            <w:rPr>
              <w:rFonts w:ascii="Times New Roman" w:eastAsia="Times New Roman" w:hAnsi="Times New Roman" w:cs="Times New Roman"/>
              <w:b/>
              <w:bCs/>
              <w:sz w:val="24"/>
              <w:szCs w:val="24"/>
            </w:rPr>
            <w:instrText xml:space="preserve">TOC \o "1-3" \h \t "Heading 1;1;Heading 2;2;Heading 3;3" </w:instrText>
          </w:r>
          <w:r>
            <w:rPr>
              <w:rFonts w:ascii="Times New Roman" w:eastAsia="Times New Roman" w:hAnsi="Times New Roman" w:cs="Times New Roman"/>
              <w:b/>
              <w:bCs/>
              <w:sz w:val="24"/>
              <w:szCs w:val="24"/>
            </w:rPr>
            <w:fldChar w:fldCharType="separate"/>
          </w:r>
          <w:hyperlink w:anchor="_Toc1" w:tooltip="#_Toc1" w:history="1">
            <w:r>
              <w:rPr>
                <w:rStyle w:val="ab"/>
                <w:rFonts w:ascii="Times New Roman" w:eastAsia="Times New Roman" w:hAnsi="Times New Roman" w:cs="Times New Roman"/>
                <w:b/>
                <w:bCs/>
                <w:sz w:val="24"/>
                <w:szCs w:val="24"/>
              </w:rPr>
              <w:t>Об отчете</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fldChar w:fldCharType="begin"/>
            </w:r>
            <w:r>
              <w:rPr>
                <w:rFonts w:ascii="Times New Roman" w:eastAsia="Times New Roman" w:hAnsi="Times New Roman" w:cs="Times New Roman"/>
                <w:b/>
                <w:bCs/>
                <w:sz w:val="24"/>
                <w:szCs w:val="24"/>
              </w:rPr>
              <w:instrText>PAGEREF _Toc1 \h</w:instrText>
            </w:r>
            <w:r>
              <w:rPr>
                <w:rFonts w:ascii="Times New Roman" w:eastAsia="Times New Roman" w:hAnsi="Times New Roman" w:cs="Times New Roman"/>
                <w:b/>
                <w:bCs/>
                <w:sz w:val="24"/>
                <w:szCs w:val="24"/>
              </w:rPr>
            </w:r>
            <w:r>
              <w:rPr>
                <w:rFonts w:ascii="Times New Roman" w:eastAsia="Times New Roman" w:hAnsi="Times New Roman" w:cs="Times New Roman"/>
                <w:b/>
                <w:bCs/>
                <w:sz w:val="24"/>
                <w:szCs w:val="24"/>
              </w:rPr>
              <w:fldChar w:fldCharType="separate"/>
            </w:r>
            <w:r>
              <w:rPr>
                <w:rStyle w:val="ab"/>
                <w:rFonts w:ascii="Times New Roman" w:eastAsia="Times New Roman" w:hAnsi="Times New Roman" w:cs="Times New Roman"/>
                <w:b/>
                <w:bCs/>
                <w:sz w:val="24"/>
                <w:szCs w:val="24"/>
              </w:rPr>
              <w:t>2</w:t>
            </w:r>
            <w:r>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3" w:tooltip="#_Toc3" w:history="1">
            <w:r w:rsidR="000B4C86">
              <w:rPr>
                <w:rStyle w:val="ab"/>
                <w:rFonts w:ascii="Times New Roman" w:eastAsia="Times New Roman" w:hAnsi="Times New Roman" w:cs="Times New Roman"/>
                <w:b/>
                <w:bCs/>
                <w:sz w:val="24"/>
                <w:szCs w:val="24"/>
              </w:rPr>
              <w:t>1. Презентационная часть</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_Toc3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4" w:tooltip="#_Toc4" w:history="1">
            <w:r w:rsidR="000B4C86">
              <w:rPr>
                <w:rStyle w:val="ab"/>
                <w:rFonts w:ascii="Times New Roman" w:eastAsia="Times New Roman" w:hAnsi="Times New Roman" w:cs="Times New Roman"/>
                <w:b/>
                <w:bCs/>
                <w:sz w:val="24"/>
                <w:szCs w:val="24"/>
              </w:rPr>
              <w:t>1.1. Обращения первых лиц Компании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_Toc4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5" w:tooltip="#_Toc5" w:history="1">
            <w:r w:rsidR="000B4C86">
              <w:rPr>
                <w:rStyle w:val="ab"/>
                <w:rFonts w:ascii="Times New Roman" w:eastAsia="Times New Roman" w:hAnsi="Times New Roman" w:cs="Times New Roman"/>
                <w:b/>
                <w:bCs/>
                <w:sz w:val="24"/>
                <w:szCs w:val="24"/>
              </w:rPr>
              <w:t>1.1.1. Обращение Председателя Совета директоров</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_Toc5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6" w:tooltip="#_Toc6" w:history="1">
            <w:r w:rsidR="000B4C86">
              <w:rPr>
                <w:rStyle w:val="ab"/>
                <w:rFonts w:ascii="Times New Roman" w:eastAsia="Times New Roman" w:hAnsi="Times New Roman" w:cs="Times New Roman"/>
                <w:b/>
                <w:bCs/>
                <w:sz w:val="24"/>
                <w:szCs w:val="24"/>
              </w:rPr>
              <w:t>1.1.2. Обращение Генерального директора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_Toc6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6</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7" w:tooltip="#_Toc7" w:history="1">
            <w:r w:rsidR="000B4C86">
              <w:rPr>
                <w:rStyle w:val="ab"/>
                <w:rFonts w:ascii="Times New Roman" w:eastAsia="Times New Roman" w:hAnsi="Times New Roman" w:cs="Times New Roman"/>
                <w:b/>
                <w:bCs/>
                <w:sz w:val="24"/>
                <w:szCs w:val="24"/>
              </w:rPr>
              <w:t>1.2. О Компании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_Toc7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7</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8" w:tooltip="#_Toc8" w:history="1">
            <w:r w:rsidR="000B4C86">
              <w:rPr>
                <w:rStyle w:val="ab"/>
                <w:rFonts w:ascii="Times New Roman" w:eastAsia="Times New Roman" w:hAnsi="Times New Roman" w:cs="Times New Roman"/>
                <w:b/>
                <w:bCs/>
                <w:sz w:val="24"/>
                <w:szCs w:val="24"/>
              </w:rPr>
              <w:t>1.2.1. Представление Компании (миссия, история, основные направления деятельности) и структура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_Toc8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7</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Style w:val="14"/>
              <w:rFonts w:ascii="Times New Roman" w:hAnsi="Times New Roman" w:cs="Times New Roman"/>
              <w:b/>
              <w:bCs/>
              <w:sz w:val="24"/>
              <w:szCs w:val="24"/>
            </w:rPr>
          </w:pPr>
          <w:hyperlink w:anchor="_Toc9" w:tooltip="#_Toc9" w:history="1">
            <w:r w:rsidR="000B4C86">
              <w:rPr>
                <w:rStyle w:val="ab"/>
                <w:rFonts w:ascii="Times New Roman" w:eastAsia="Times New Roman" w:hAnsi="Times New Roman" w:cs="Times New Roman"/>
                <w:b/>
                <w:bCs/>
                <w:sz w:val="24"/>
                <w:szCs w:val="24"/>
              </w:rPr>
              <w:t>1.2.2. География деятельности (карта) и основные активы</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_Toc9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10</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0" w:tooltip="#_Toc10" w:history="1">
            <w:r w:rsidR="000B4C86">
              <w:rPr>
                <w:rStyle w:val="ab"/>
                <w:rFonts w:ascii="Times New Roman" w:eastAsia="Times New Roman" w:hAnsi="Times New Roman" w:cs="Times New Roman"/>
                <w:b/>
                <w:bCs/>
                <w:sz w:val="24"/>
                <w:szCs w:val="24"/>
              </w:rPr>
              <w:t>1.2.3. Информация о территориях функционирования компаний в субъектах Российской Федерации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_Toc10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1" w:tooltip="#_Toc11" w:history="1">
            <w:r w:rsidR="000B4C86">
              <w:rPr>
                <w:rStyle w:val="ab"/>
                <w:rFonts w:ascii="Times New Roman" w:eastAsia="Times New Roman" w:hAnsi="Times New Roman" w:cs="Times New Roman"/>
                <w:b/>
                <w:bCs/>
                <w:sz w:val="24"/>
                <w:szCs w:val="24"/>
              </w:rPr>
              <w:t>1.2.4. Организационная структура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_Toc11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3" w:tooltip="#_Toc13" w:history="1">
            <w:r w:rsidR="000B4C86">
              <w:rPr>
                <w:rStyle w:val="ab"/>
                <w:rFonts w:ascii="Times New Roman" w:eastAsia="Times New Roman" w:hAnsi="Times New Roman" w:cs="Times New Roman"/>
                <w:b/>
                <w:bCs/>
                <w:sz w:val="24"/>
                <w:szCs w:val="24"/>
              </w:rPr>
              <w:t>1.2.5. Бизнес-модель</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_Toc13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13</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21" w:tooltip="#_Toc21" w:history="1">
            <w:r w:rsidR="000B4C86">
              <w:rPr>
                <w:rStyle w:val="ab"/>
                <w:rFonts w:ascii="Times New Roman" w:eastAsia="Times New Roman" w:hAnsi="Times New Roman" w:cs="Times New Roman"/>
                <w:b/>
                <w:bCs/>
                <w:sz w:val="24"/>
                <w:szCs w:val="24"/>
              </w:rPr>
              <w:t>2. Стратегический отчет</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_Toc21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20</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22" w:tooltip="#_Toc22" w:history="1">
            <w:r w:rsidR="000B4C86">
              <w:rPr>
                <w:rStyle w:val="ab"/>
                <w:rFonts w:ascii="Times New Roman" w:eastAsia="Times New Roman" w:hAnsi="Times New Roman" w:cs="Times New Roman"/>
                <w:b/>
                <w:bCs/>
                <w:sz w:val="24"/>
                <w:szCs w:val="24"/>
              </w:rPr>
              <w:t>2.1. Обзор рынка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_Toc22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20</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23" w:tooltip="#_Toc23" w:history="1">
            <w:r w:rsidR="000B4C86">
              <w:rPr>
                <w:rStyle w:val="ab"/>
                <w:rFonts w:ascii="Times New Roman" w:eastAsia="Times New Roman" w:hAnsi="Times New Roman" w:cs="Times New Roman"/>
                <w:b/>
                <w:bCs/>
                <w:sz w:val="24"/>
                <w:szCs w:val="24"/>
              </w:rPr>
              <w:t>2.2. Положение Компании на рынке</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_Toc23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24" w:tooltip="#_Toc24" w:history="1">
            <w:r w:rsidR="000B4C86">
              <w:rPr>
                <w:rStyle w:val="ab"/>
                <w:rFonts w:ascii="Times New Roman" w:eastAsia="Times New Roman" w:hAnsi="Times New Roman" w:cs="Times New Roman"/>
                <w:b/>
                <w:bCs/>
                <w:sz w:val="24"/>
                <w:szCs w:val="24"/>
              </w:rPr>
              <w:t>2.3. Стратегические приоритеты и перспективы развития</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_Toc24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25" w:tooltip="#_Toc25" w:history="1">
            <w:r w:rsidR="000B4C86">
              <w:rPr>
                <w:rStyle w:val="ab"/>
                <w:rFonts w:ascii="Times New Roman" w:eastAsia="Times New Roman" w:hAnsi="Times New Roman" w:cs="Times New Roman"/>
                <w:b/>
                <w:bCs/>
                <w:sz w:val="24"/>
                <w:szCs w:val="24"/>
              </w:rPr>
              <w:t>2.4. Ключевые показатели эффективности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_Toc25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23</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26" w:tooltip="#_Toc26" w:history="1">
            <w:r w:rsidR="000B4C86">
              <w:rPr>
                <w:rStyle w:val="ab"/>
                <w:rFonts w:ascii="Times New Roman" w:eastAsia="Times New Roman" w:hAnsi="Times New Roman" w:cs="Times New Roman"/>
                <w:b/>
                <w:bCs/>
                <w:sz w:val="24"/>
                <w:szCs w:val="24"/>
              </w:rPr>
              <w:t>2.5. Ключевые риски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_Toc26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32</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27" w:tooltip="#_Toc27" w:history="1">
            <w:r w:rsidR="000B4C86">
              <w:rPr>
                <w:rStyle w:val="ab"/>
                <w:rFonts w:ascii="Times New Roman" w:eastAsia="Times New Roman" w:hAnsi="Times New Roman" w:cs="Times New Roman"/>
                <w:b/>
                <w:bCs/>
                <w:sz w:val="24"/>
                <w:szCs w:val="24"/>
              </w:rPr>
              <w:t>3.1. Операционные результаты</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_Toc27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42</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28" w:tooltip="#_Toc28" w:history="1">
            <w:r w:rsidR="000B4C86">
              <w:rPr>
                <w:rStyle w:val="ab"/>
                <w:rFonts w:ascii="Times New Roman" w:eastAsia="Times New Roman" w:hAnsi="Times New Roman" w:cs="Times New Roman"/>
                <w:b/>
                <w:bCs/>
                <w:sz w:val="24"/>
                <w:szCs w:val="24"/>
              </w:rPr>
              <w:t>3.1.1. Материально-техническая база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_Toc28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42</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29" w:tooltip="#_Toc29" w:history="1">
            <w:r w:rsidR="000B4C86">
              <w:rPr>
                <w:rStyle w:val="ab"/>
                <w:rFonts w:ascii="Times New Roman" w:eastAsia="Times New Roman" w:hAnsi="Times New Roman" w:cs="Times New Roman"/>
                <w:b/>
                <w:bCs/>
                <w:sz w:val="24"/>
                <w:szCs w:val="24"/>
              </w:rPr>
              <w:t>3.1.2. Результаты производственной деятельности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_Toc29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43</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31" w:tooltip="#_Toc31" w:history="1">
            <w:r w:rsidR="000B4C86">
              <w:rPr>
                <w:rStyle w:val="ab"/>
                <w:rFonts w:ascii="Times New Roman" w:eastAsia="Times New Roman" w:hAnsi="Times New Roman" w:cs="Times New Roman"/>
                <w:b/>
                <w:bCs/>
                <w:sz w:val="24"/>
                <w:szCs w:val="24"/>
              </w:rPr>
              <w:t>3.1.3. Расчеты за электроэнергию и услуги по ее передаче</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_Toc31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48</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33" w:tooltip="#_Toc33" w:history="1">
            <w:r w:rsidR="000B4C86">
              <w:rPr>
                <w:rStyle w:val="ab"/>
                <w:rFonts w:ascii="Times New Roman" w:eastAsia="Times New Roman" w:hAnsi="Times New Roman" w:cs="Times New Roman"/>
                <w:b/>
                <w:bCs/>
                <w:sz w:val="24"/>
                <w:szCs w:val="24"/>
              </w:rPr>
              <w:t>3.1.4. Технологическое присоединение</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_Toc33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51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35" w:tooltip="#_Toc35" w:history="1">
            <w:r w:rsidR="000B4C86">
              <w:rPr>
                <w:rStyle w:val="ab"/>
                <w:rFonts w:ascii="Times New Roman" w:eastAsia="Times New Roman" w:hAnsi="Times New Roman" w:cs="Times New Roman"/>
                <w:b/>
                <w:bCs/>
                <w:sz w:val="24"/>
                <w:szCs w:val="24"/>
              </w:rPr>
              <w:t>3.1.5. Консолидация электросетевых активов</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_Toc35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65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36" w:tooltip="#_Toc36" w:history="1">
            <w:r w:rsidR="000B4C86">
              <w:rPr>
                <w:rStyle w:val="ab"/>
                <w:rFonts w:ascii="Times New Roman" w:eastAsia="Times New Roman" w:hAnsi="Times New Roman" w:cs="Times New Roman"/>
                <w:b/>
                <w:bCs/>
                <w:sz w:val="24"/>
                <w:szCs w:val="24"/>
              </w:rPr>
              <w:t>3.1.6. Дополнительные (нетарифные) услуги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_Toc36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67</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37" w:tooltip="#_Toc37" w:history="1">
            <w:r w:rsidR="000B4C86">
              <w:rPr>
                <w:rStyle w:val="ab"/>
                <w:rFonts w:ascii="Times New Roman" w:eastAsia="Times New Roman" w:hAnsi="Times New Roman" w:cs="Times New Roman"/>
                <w:b/>
                <w:bCs/>
                <w:sz w:val="24"/>
                <w:szCs w:val="24"/>
              </w:rPr>
              <w:t>3.1.7. Взаимодействие с потребителями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_Toc37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71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38" w:tooltip="#_Toc38" w:history="1">
            <w:r w:rsidR="000B4C86">
              <w:rPr>
                <w:rStyle w:val="ab"/>
                <w:rFonts w:ascii="Times New Roman" w:eastAsia="Times New Roman" w:hAnsi="Times New Roman" w:cs="Times New Roman"/>
                <w:b/>
                <w:bCs/>
                <w:sz w:val="24"/>
                <w:szCs w:val="24"/>
              </w:rPr>
              <w:t>3.1.8. Инвестиционная деятельность</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_Toc38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76</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46" w:tooltip="#_Toc46" w:history="1">
            <w:r w:rsidR="000B4C86">
              <w:rPr>
                <w:rStyle w:val="ab"/>
                <w:rFonts w:ascii="Times New Roman" w:eastAsia="Times New Roman" w:hAnsi="Times New Roman" w:cs="Times New Roman"/>
                <w:b/>
                <w:bCs/>
                <w:sz w:val="24"/>
                <w:szCs w:val="24"/>
              </w:rPr>
              <w:t>3.1.9. Инновационная деятельность</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_Toc46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80</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47" w:tooltip="#_Toc47" w:history="1">
            <w:r w:rsidR="000B4C86">
              <w:rPr>
                <w:rStyle w:val="ab"/>
                <w:rFonts w:ascii="Times New Roman" w:eastAsia="Times New Roman" w:hAnsi="Times New Roman" w:cs="Times New Roman"/>
                <w:b/>
                <w:bCs/>
                <w:sz w:val="24"/>
                <w:szCs w:val="24"/>
              </w:rPr>
              <w:t>3.1.10. Импортозамещение и взаимодействие с производителями оборудования</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_Toc47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85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48" w:tooltip="#_Toc48" w:history="1">
            <w:r w:rsidR="000B4C86">
              <w:rPr>
                <w:rStyle w:val="ab"/>
                <w:rFonts w:ascii="Times New Roman" w:eastAsia="Times New Roman" w:hAnsi="Times New Roman" w:cs="Times New Roman"/>
                <w:b/>
                <w:bCs/>
                <w:sz w:val="24"/>
                <w:szCs w:val="24"/>
              </w:rPr>
              <w:t>3.2. Финансовые результаты</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_Toc48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86</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50" w:tooltip="#_Toc50" w:history="1">
            <w:r w:rsidR="000B4C86">
              <w:rPr>
                <w:rStyle w:val="ab"/>
                <w:rFonts w:ascii="Times New Roman" w:eastAsia="Times New Roman" w:hAnsi="Times New Roman" w:cs="Times New Roman"/>
                <w:b/>
                <w:bCs/>
                <w:sz w:val="24"/>
                <w:szCs w:val="24"/>
              </w:rPr>
              <w:t>3.3. Тарифная политика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_Toc50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88</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75" w:tooltip="#_Toc75" w:history="1">
            <w:r w:rsidR="000B4C86">
              <w:rPr>
                <w:rStyle w:val="ab"/>
                <w:rFonts w:ascii="Times New Roman" w:eastAsia="Times New Roman" w:hAnsi="Times New Roman" w:cs="Times New Roman"/>
                <w:b/>
                <w:bCs/>
                <w:sz w:val="24"/>
                <w:szCs w:val="24"/>
              </w:rPr>
              <w:t>3.4. Применение новых цифровых технологий</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_Toc75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96</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77" w:tooltip="#_Toc77" w:history="1">
            <w:r w:rsidR="000B4C86">
              <w:rPr>
                <w:rStyle w:val="ab"/>
                <w:rFonts w:ascii="Times New Roman" w:eastAsia="Times New Roman" w:hAnsi="Times New Roman" w:cs="Times New Roman"/>
                <w:b/>
                <w:bCs/>
                <w:sz w:val="24"/>
                <w:szCs w:val="24"/>
              </w:rPr>
              <w:t>4. Устойчивое развитие</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_Toc77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98</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78" w:tooltip="#_Toc78" w:history="1">
            <w:r w:rsidR="000B4C86">
              <w:rPr>
                <w:rStyle w:val="ab"/>
                <w:rFonts w:ascii="Times New Roman" w:eastAsia="Times New Roman" w:hAnsi="Times New Roman" w:cs="Times New Roman"/>
                <w:b/>
                <w:bCs/>
                <w:sz w:val="24"/>
                <w:szCs w:val="24"/>
              </w:rPr>
              <w:t>4.1. Общая информация об управлении устойчивым развитием в Обществе</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_Toc78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98</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79" w:tooltip="#_Toc79" w:history="1">
            <w:r w:rsidR="000B4C86">
              <w:rPr>
                <w:rStyle w:val="ab"/>
                <w:rFonts w:ascii="Times New Roman" w:eastAsia="Times New Roman" w:hAnsi="Times New Roman" w:cs="Times New Roman"/>
                <w:b/>
                <w:bCs/>
                <w:sz w:val="24"/>
                <w:szCs w:val="24"/>
              </w:rPr>
              <w:t>4.2. Стратегия устойчивого развития Общества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_Toc79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98</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80" w:tooltip="#_Toc80" w:history="1">
            <w:r w:rsidR="000B4C86">
              <w:rPr>
                <w:rStyle w:val="ab"/>
                <w:rFonts w:ascii="Times New Roman" w:eastAsia="Times New Roman" w:hAnsi="Times New Roman" w:cs="Times New Roman"/>
                <w:b/>
                <w:bCs/>
                <w:sz w:val="24"/>
                <w:szCs w:val="24"/>
              </w:rPr>
              <w:t>4.3. Управление персоналом</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_Toc80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101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01" w:tooltip="#_Toc101" w:history="1">
            <w:r w:rsidR="000B4C86">
              <w:rPr>
                <w:rStyle w:val="ab"/>
                <w:rFonts w:ascii="Times New Roman" w:eastAsia="Times New Roman" w:hAnsi="Times New Roman" w:cs="Times New Roman"/>
                <w:b/>
                <w:bCs/>
                <w:sz w:val="24"/>
                <w:szCs w:val="24"/>
              </w:rPr>
              <w:t>4.4. Охрана труда и промышленная безопасность</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_Toc101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115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02" w:tooltip="#_Toc102" w:history="1">
            <w:r w:rsidR="000B4C86">
              <w:rPr>
                <w:rStyle w:val="ab"/>
                <w:rFonts w:ascii="Times New Roman" w:eastAsia="Times New Roman" w:hAnsi="Times New Roman" w:cs="Times New Roman"/>
                <w:b/>
                <w:bCs/>
                <w:sz w:val="24"/>
                <w:szCs w:val="24"/>
              </w:rPr>
              <w:t>4.5. Изменение климата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_Toc102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120</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03" w:tooltip="#_Toc103" w:history="1">
            <w:r w:rsidR="000B4C86">
              <w:rPr>
                <w:rStyle w:val="ab"/>
                <w:rFonts w:ascii="Times New Roman" w:eastAsia="Times New Roman" w:hAnsi="Times New Roman" w:cs="Times New Roman"/>
                <w:b/>
                <w:bCs/>
                <w:sz w:val="24"/>
                <w:szCs w:val="24"/>
              </w:rPr>
              <w:t>4.6. Охрана окружающей среды</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_Toc103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121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06" w:tooltip="#_Toc106" w:history="1">
            <w:r w:rsidR="000B4C86">
              <w:rPr>
                <w:rStyle w:val="ab"/>
                <w:rFonts w:ascii="Times New Roman" w:eastAsia="Times New Roman" w:hAnsi="Times New Roman" w:cs="Times New Roman"/>
                <w:b/>
                <w:bCs/>
                <w:sz w:val="24"/>
                <w:szCs w:val="24"/>
              </w:rPr>
              <w:t>4.7. Развитие регионов</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_Toc106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129</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07" w:tooltip="#_Toc107" w:history="1">
            <w:r w:rsidR="000B4C86">
              <w:rPr>
                <w:rStyle w:val="ab"/>
                <w:rFonts w:ascii="Times New Roman" w:eastAsia="Times New Roman" w:hAnsi="Times New Roman" w:cs="Times New Roman"/>
                <w:b/>
                <w:bCs/>
                <w:sz w:val="24"/>
                <w:szCs w:val="24"/>
              </w:rPr>
              <w:t>4.8. Взаимодействие со стейкхолдерами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_Toc107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131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11" w:tooltip="#_Toc111" w:history="1">
            <w:r w:rsidR="000B4C86">
              <w:rPr>
                <w:rStyle w:val="ab"/>
                <w:rFonts w:ascii="Times New Roman" w:eastAsia="Times New Roman" w:hAnsi="Times New Roman" w:cs="Times New Roman"/>
                <w:b/>
                <w:bCs/>
                <w:sz w:val="24"/>
                <w:szCs w:val="24"/>
              </w:rPr>
              <w:t>4.9. Системы менеджмента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_Toc111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135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12" w:tooltip="#_Toc112" w:history="1">
            <w:r w:rsidR="000B4C86">
              <w:rPr>
                <w:rStyle w:val="ab"/>
                <w:rFonts w:ascii="Times New Roman" w:eastAsia="Times New Roman" w:hAnsi="Times New Roman" w:cs="Times New Roman"/>
                <w:b/>
                <w:bCs/>
                <w:sz w:val="24"/>
                <w:szCs w:val="24"/>
              </w:rPr>
              <w:t>4.10. Закупочная деятельность</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_Toc112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137</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16" w:tooltip="#_Toc116" w:history="1">
            <w:r w:rsidR="000B4C86">
              <w:rPr>
                <w:rStyle w:val="ab"/>
                <w:rFonts w:ascii="Times New Roman" w:eastAsia="Times New Roman" w:hAnsi="Times New Roman" w:cs="Times New Roman"/>
                <w:b/>
                <w:bCs/>
                <w:sz w:val="24"/>
                <w:szCs w:val="24"/>
              </w:rPr>
              <w:t>4.11. Антикоррупционная политика и обеспечение безопасности экономической деятельности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_Toc116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141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17" w:tooltip="#_Toc117" w:history="1">
            <w:r w:rsidR="000B4C86">
              <w:rPr>
                <w:rStyle w:val="ab"/>
                <w:rFonts w:ascii="Times New Roman" w:eastAsia="Times New Roman" w:hAnsi="Times New Roman" w:cs="Times New Roman"/>
                <w:b/>
                <w:bCs/>
                <w:sz w:val="24"/>
                <w:szCs w:val="24"/>
              </w:rPr>
              <w:t>4.12. Раскрытие информации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_Toc117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146</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18" w:tooltip="#_Toc118" w:history="1">
            <w:r w:rsidR="000B4C86">
              <w:rPr>
                <w:rStyle w:val="ab"/>
                <w:rFonts w:ascii="Times New Roman" w:eastAsia="Times New Roman" w:hAnsi="Times New Roman" w:cs="Times New Roman"/>
                <w:b/>
                <w:bCs/>
                <w:sz w:val="24"/>
                <w:szCs w:val="24"/>
              </w:rPr>
              <w:t>5. Отчет о корпоративном управлении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_Toc118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151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19" w:tooltip="#_Toc119" w:history="1">
            <w:r w:rsidR="000B4C86">
              <w:rPr>
                <w:rStyle w:val="ab"/>
                <w:rFonts w:ascii="Times New Roman" w:eastAsia="Times New Roman" w:hAnsi="Times New Roman" w:cs="Times New Roman"/>
                <w:b/>
                <w:bCs/>
                <w:sz w:val="24"/>
                <w:szCs w:val="24"/>
              </w:rPr>
              <w:t>5.1. Меморандум контролирующего акционера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_Toc119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151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24" w:tooltip="#_Toc124" w:history="1">
            <w:r w:rsidR="000B4C86">
              <w:rPr>
                <w:rStyle w:val="ab"/>
                <w:rFonts w:ascii="Times New Roman" w:eastAsia="Times New Roman" w:hAnsi="Times New Roman" w:cs="Times New Roman"/>
                <w:b/>
                <w:bCs/>
                <w:sz w:val="24"/>
                <w:szCs w:val="24"/>
              </w:rPr>
              <w:t>5.2. Общая информация о корпоративном управлении в Компании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_Toc124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152</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25" w:tooltip="#_Toc125" w:history="1">
            <w:r w:rsidR="000B4C86">
              <w:rPr>
                <w:rStyle w:val="ab"/>
                <w:rFonts w:ascii="Times New Roman" w:eastAsia="Times New Roman" w:hAnsi="Times New Roman" w:cs="Times New Roman"/>
                <w:b/>
                <w:bCs/>
                <w:sz w:val="24"/>
                <w:szCs w:val="24"/>
              </w:rPr>
              <w:t>5.3. Общее собрание акционеров</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_Toc125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155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26" w:tooltip="#_Toc126" w:history="1">
            <w:r w:rsidR="000B4C86">
              <w:rPr>
                <w:rStyle w:val="ab"/>
                <w:rFonts w:ascii="Times New Roman" w:eastAsia="Times New Roman" w:hAnsi="Times New Roman" w:cs="Times New Roman"/>
                <w:b/>
                <w:bCs/>
                <w:sz w:val="24"/>
                <w:szCs w:val="24"/>
              </w:rPr>
              <w:t>5.4. Отчет Совета директоров Общества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_Toc126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156</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27" w:tooltip="#_Toc127" w:history="1">
            <w:r w:rsidR="000B4C86">
              <w:rPr>
                <w:rStyle w:val="ab"/>
                <w:rFonts w:ascii="Times New Roman" w:eastAsia="Times New Roman" w:hAnsi="Times New Roman" w:cs="Times New Roman"/>
                <w:b/>
                <w:bCs/>
                <w:sz w:val="24"/>
                <w:szCs w:val="24"/>
              </w:rPr>
              <w:t>5.5. Комитеты Совета директоров Общества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_Toc127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170</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28" w:tooltip="#_Toc128" w:history="1">
            <w:r w:rsidR="000B4C86">
              <w:rPr>
                <w:rStyle w:val="ab"/>
                <w:rFonts w:ascii="Times New Roman" w:eastAsia="Times New Roman" w:hAnsi="Times New Roman" w:cs="Times New Roman"/>
                <w:b/>
                <w:bCs/>
                <w:sz w:val="24"/>
                <w:szCs w:val="24"/>
              </w:rPr>
              <w:t>5.6. Корпоративный секретарь</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_Toc128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184</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42" w:tooltip="#_Toc142" w:history="1">
            <w:r w:rsidR="000B4C86">
              <w:rPr>
                <w:rStyle w:val="ab"/>
                <w:rFonts w:ascii="Times New Roman" w:eastAsia="Times New Roman" w:hAnsi="Times New Roman" w:cs="Times New Roman"/>
                <w:b/>
                <w:bCs/>
                <w:sz w:val="24"/>
                <w:szCs w:val="24"/>
              </w:rPr>
              <w:t>5.7. Исполнительные органы управления</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_Toc142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185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46" w:tooltip="#_Toc146" w:history="1">
            <w:r w:rsidR="000B4C86">
              <w:rPr>
                <w:rStyle w:val="ab"/>
                <w:rFonts w:ascii="Times New Roman" w:eastAsia="Times New Roman" w:hAnsi="Times New Roman" w:cs="Times New Roman"/>
                <w:b/>
                <w:bCs/>
                <w:sz w:val="24"/>
                <w:szCs w:val="24"/>
              </w:rPr>
              <w:t>5.8. Система вознаграждения органов управления</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_Toc146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191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57" w:tooltip="#_Toc157" w:history="1">
            <w:r w:rsidR="000B4C86">
              <w:rPr>
                <w:rStyle w:val="ab"/>
                <w:rFonts w:ascii="Times New Roman" w:eastAsia="Times New Roman" w:hAnsi="Times New Roman" w:cs="Times New Roman"/>
                <w:b/>
                <w:bCs/>
                <w:sz w:val="24"/>
                <w:szCs w:val="24"/>
              </w:rPr>
              <w:t>5.9. Предотвращение конфликта интересов</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_Toc157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192</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58" w:tooltip="#_Toc158" w:history="1">
            <w:r w:rsidR="000B4C86">
              <w:rPr>
                <w:rStyle w:val="ab"/>
                <w:rFonts w:ascii="Times New Roman" w:eastAsia="Times New Roman" w:hAnsi="Times New Roman" w:cs="Times New Roman"/>
                <w:b/>
                <w:bCs/>
                <w:sz w:val="24"/>
                <w:szCs w:val="24"/>
              </w:rPr>
              <w:t>5.10. Управление рисками, внутренний контроль и внутренний аудит</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_Toc158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193</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66" w:tooltip="#_Toc166" w:history="1">
            <w:r w:rsidR="000B4C86">
              <w:rPr>
                <w:rStyle w:val="ab"/>
                <w:rFonts w:ascii="Times New Roman" w:eastAsia="Times New Roman" w:hAnsi="Times New Roman" w:cs="Times New Roman"/>
                <w:b/>
                <w:bCs/>
                <w:sz w:val="24"/>
                <w:szCs w:val="24"/>
              </w:rPr>
              <w:t>5.11. Ревизионная комиссия</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_Toc166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197</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67" w:tooltip="#_Toc167" w:history="1">
            <w:r w:rsidR="000B4C86">
              <w:rPr>
                <w:rStyle w:val="ab"/>
                <w:rFonts w:ascii="Times New Roman" w:eastAsia="Times New Roman" w:hAnsi="Times New Roman" w:cs="Times New Roman"/>
                <w:b/>
                <w:bCs/>
                <w:sz w:val="24"/>
                <w:szCs w:val="24"/>
              </w:rPr>
              <w:t>5.12. Внешняя аудиторская организация</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_Toc167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203</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68" w:tooltip="#_Toc168" w:history="1">
            <w:r w:rsidR="000B4C86">
              <w:rPr>
                <w:rStyle w:val="ab"/>
                <w:rFonts w:ascii="Times New Roman" w:eastAsia="Times New Roman" w:hAnsi="Times New Roman" w:cs="Times New Roman"/>
                <w:b/>
                <w:bCs/>
                <w:sz w:val="24"/>
                <w:szCs w:val="24"/>
              </w:rPr>
              <w:t>5.13. Управление дочерними и зависимыми обществами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_Toc168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205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69" w:tooltip="#_Toc169" w:history="1">
            <w:r w:rsidR="000B4C86">
              <w:rPr>
                <w:rStyle w:val="ab"/>
                <w:rFonts w:ascii="Times New Roman" w:eastAsia="Times New Roman" w:hAnsi="Times New Roman" w:cs="Times New Roman"/>
                <w:b/>
                <w:bCs/>
                <w:sz w:val="24"/>
                <w:szCs w:val="24"/>
              </w:rPr>
              <w:t>5.14. Акционерный капитал, обращение ценных бумаг</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_Toc169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206</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70" w:tooltip="#_Toc170" w:history="1">
            <w:r w:rsidR="000B4C86">
              <w:rPr>
                <w:rStyle w:val="ab"/>
                <w:rFonts w:ascii="Times New Roman" w:eastAsia="Times New Roman" w:hAnsi="Times New Roman" w:cs="Times New Roman"/>
                <w:b/>
                <w:bCs/>
                <w:sz w:val="24"/>
                <w:szCs w:val="24"/>
              </w:rPr>
              <w:t>Приложения</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_Toc170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213</w:t>
            </w:r>
            <w:r w:rsidR="000B4C86">
              <w:rPr>
                <w:rFonts w:ascii="Times New Roman" w:eastAsia="Times New Roman" w:hAnsi="Times New Roman" w:cs="Times New Roman"/>
                <w:b/>
                <w:bCs/>
                <w:sz w:val="24"/>
                <w:szCs w:val="24"/>
              </w:rPr>
              <w:fldChar w:fldCharType="end"/>
            </w:r>
          </w:hyperlink>
        </w:p>
        <w:p w:rsidR="00D602D4" w:rsidRDefault="00CA6697">
          <w:pPr>
            <w:pStyle w:val="26"/>
            <w:tabs>
              <w:tab w:val="right" w:leader="dot" w:pos="9781"/>
            </w:tabs>
            <w:rPr>
              <w:bCs/>
              <w:sz w:val="24"/>
              <w:szCs w:val="24"/>
            </w:rPr>
          </w:pPr>
          <w:hyperlink w:anchor="_Toc171" w:tooltip="#_Toc171" w:history="1">
            <w:r w:rsidR="000B4C86">
              <w:rPr>
                <w:rStyle w:val="ab"/>
                <w:rFonts w:eastAsia="Times New Roman"/>
                <w:bCs/>
                <w:sz w:val="24"/>
                <w:szCs w:val="24"/>
              </w:rPr>
              <w:t>Приложение 1. Отчет ПАО «Россети Сибирь» о соблюдении принципов и рекомендаций Кодекса корпоративного управления, утвержденного Советом директоров Банка России 21.03.2014 и рекомендованного к применению письмом Банка России от 10.04.2014 № 06-52/2463 акционерными обществами, ценные бумаги которых допущены к организованным торгам</w:t>
            </w:r>
            <w:r w:rsidR="000B4C86">
              <w:rPr>
                <w:rFonts w:eastAsia="Times New Roman"/>
                <w:bCs/>
                <w:sz w:val="24"/>
                <w:szCs w:val="24"/>
              </w:rPr>
              <w:tab/>
            </w:r>
            <w:r w:rsidR="000B4C86">
              <w:rPr>
                <w:rFonts w:eastAsia="Times New Roman"/>
                <w:bCs/>
                <w:sz w:val="24"/>
                <w:szCs w:val="24"/>
              </w:rPr>
              <w:fldChar w:fldCharType="begin"/>
            </w:r>
            <w:r w:rsidR="000B4C86">
              <w:rPr>
                <w:rFonts w:eastAsia="Times New Roman"/>
                <w:bCs/>
                <w:sz w:val="24"/>
                <w:szCs w:val="24"/>
              </w:rPr>
              <w:instrText>PAGEREF _Toc171 \h</w:instrText>
            </w:r>
            <w:r w:rsidR="000B4C86">
              <w:rPr>
                <w:rFonts w:eastAsia="Times New Roman"/>
                <w:bCs/>
                <w:sz w:val="24"/>
                <w:szCs w:val="24"/>
              </w:rPr>
            </w:r>
            <w:r w:rsidR="000B4C86">
              <w:rPr>
                <w:rFonts w:eastAsia="Times New Roman"/>
                <w:bCs/>
                <w:sz w:val="24"/>
                <w:szCs w:val="24"/>
              </w:rPr>
              <w:fldChar w:fldCharType="separate"/>
            </w:r>
            <w:r w:rsidR="000B4C86">
              <w:rPr>
                <w:rStyle w:val="ab"/>
                <w:rFonts w:eastAsia="Times New Roman"/>
                <w:bCs/>
                <w:sz w:val="24"/>
                <w:szCs w:val="24"/>
              </w:rPr>
              <w:t>213</w:t>
            </w:r>
            <w:r w:rsidR="000B4C86">
              <w:rPr>
                <w:rFonts w:eastAsia="Times New Roman"/>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72" w:tooltip="#_Toc172" w:history="1">
            <w:r w:rsidR="000B4C86">
              <w:rPr>
                <w:rStyle w:val="ab"/>
                <w:rFonts w:ascii="Times New Roman" w:eastAsia="Times New Roman" w:hAnsi="Times New Roman" w:cs="Times New Roman"/>
                <w:b/>
                <w:bCs/>
                <w:sz w:val="24"/>
                <w:szCs w:val="24"/>
              </w:rPr>
              <w:t>Приложение 2. Информация о заключенных ПАО «Россети Сибирь» в 2024 году крупных сделках и сделках, в совершении которых имеется заинтересованность</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_Toc172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271</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77" w:tooltip="#_Toc177" w:history="1">
            <w:r w:rsidR="000B4C86">
              <w:rPr>
                <w:rStyle w:val="ab"/>
                <w:rFonts w:ascii="Times New Roman" w:eastAsia="Times New Roman" w:hAnsi="Times New Roman" w:cs="Times New Roman"/>
                <w:b/>
                <w:bCs/>
                <w:sz w:val="24"/>
                <w:szCs w:val="24"/>
              </w:rPr>
              <w:t>Приложение 3. Информация о существенных сделках, совершенных Обществом и подконтрольными ему юридическими лицами (в том числе взаимосвязанных сделок, совершенных обществом, одним и (или) несколькими подконтрольными ему юридическими лицами) за отчетный год.</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_Toc177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289</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78" w:tooltip="#_Toc178" w:history="1">
            <w:r w:rsidR="000B4C86">
              <w:rPr>
                <w:rStyle w:val="ab"/>
                <w:rFonts w:ascii="Times New Roman" w:eastAsia="Times New Roman" w:hAnsi="Times New Roman" w:cs="Times New Roman"/>
                <w:b/>
                <w:bCs/>
                <w:sz w:val="24"/>
                <w:szCs w:val="24"/>
              </w:rPr>
              <w:t>Приложение 4. Сведения об участии Общества в деятельности коммерческих и некоммерческих организаций в 2024 году</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_Toc178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290</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79" w:tooltip="#_Toc179" w:history="1">
            <w:r w:rsidR="000B4C86">
              <w:rPr>
                <w:rStyle w:val="ab"/>
                <w:rFonts w:ascii="Times New Roman" w:eastAsia="Times New Roman" w:hAnsi="Times New Roman" w:cs="Times New Roman"/>
                <w:b/>
                <w:bCs/>
                <w:sz w:val="24"/>
                <w:szCs w:val="24"/>
              </w:rPr>
              <w:t>Приложение 5. Информация о реализации непрофильных активов в 2024 году</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_Toc179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297</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80" w:tooltip="#_Toc180" w:history="1">
            <w:r w:rsidR="000B4C86">
              <w:rPr>
                <w:rStyle w:val="ab"/>
                <w:rFonts w:ascii="Times New Roman" w:eastAsia="Times New Roman" w:hAnsi="Times New Roman" w:cs="Times New Roman"/>
                <w:b/>
                <w:bCs/>
                <w:sz w:val="24"/>
                <w:szCs w:val="24"/>
              </w:rPr>
              <w:t>Приложение 6. Информация об объеме энергетических ресурсов, использованных Обществом на хозяйственные нужды в 2024 году</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_Toc180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299</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89" w:tooltip="#_Toc189" w:history="1">
            <w:r w:rsidR="000B4C86">
              <w:rPr>
                <w:rStyle w:val="ab"/>
                <w:rFonts w:ascii="Times New Roman" w:eastAsia="Times New Roman" w:hAnsi="Times New Roman" w:cs="Times New Roman"/>
                <w:b/>
                <w:bCs/>
                <w:sz w:val="24"/>
                <w:szCs w:val="24"/>
              </w:rPr>
              <w:t>Приложение 7. Заключение Ревизионной комиссии</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_Toc189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300</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90" w:tooltip="#_Toc190" w:history="1">
            <w:r w:rsidR="000B4C86">
              <w:rPr>
                <w:rStyle w:val="ab"/>
                <w:rFonts w:ascii="Times New Roman" w:eastAsia="Times New Roman" w:hAnsi="Times New Roman" w:cs="Times New Roman"/>
                <w:b/>
                <w:bCs/>
                <w:sz w:val="24"/>
                <w:szCs w:val="24"/>
              </w:rPr>
              <w:t>Приложение 8. Информация о тарифных решениях регулирующих органов субъектов РФ регионов присутствия Общества</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_Toc190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305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91" w:tooltip="#_Toc191" w:history="1">
            <w:r w:rsidR="000B4C86">
              <w:rPr>
                <w:rStyle w:val="ab"/>
                <w:rFonts w:ascii="Times New Roman" w:eastAsia="Times New Roman" w:hAnsi="Times New Roman" w:cs="Times New Roman"/>
                <w:b/>
                <w:bCs/>
                <w:sz w:val="24"/>
                <w:szCs w:val="24"/>
              </w:rPr>
              <w:t>Приложение 9. Бухгалтерская (финансовая) отчетность по РСБУ за 2024 год с аудиторским заключением</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_Toc191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314</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92" w:tooltip="#_Toc192" w:history="1">
            <w:r w:rsidR="000B4C86">
              <w:rPr>
                <w:rStyle w:val="ab"/>
                <w:rFonts w:ascii="Times New Roman" w:eastAsia="Times New Roman" w:hAnsi="Times New Roman" w:cs="Times New Roman"/>
                <w:b/>
                <w:bCs/>
                <w:sz w:val="24"/>
                <w:szCs w:val="24"/>
              </w:rPr>
              <w:t>Приложение 10. Консолидированная финансовая отчетность по МСФО за 2024 год с аудиторским заключением</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_Toc192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315</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93" w:tooltip="#_Toc193" w:history="1">
            <w:r w:rsidR="000B4C86">
              <w:rPr>
                <w:rStyle w:val="ab"/>
                <w:rFonts w:ascii="Times New Roman" w:eastAsia="Times New Roman" w:hAnsi="Times New Roman" w:cs="Times New Roman"/>
                <w:b/>
                <w:bCs/>
                <w:sz w:val="24"/>
                <w:szCs w:val="24"/>
              </w:rPr>
              <w:t>Приложение 11.  Таблица соответствия текста отчета показателям руководств (GRI)</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_Toc193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316</w:t>
            </w:r>
            <w:r w:rsidR="000B4C86">
              <w:rPr>
                <w:rFonts w:ascii="Times New Roman" w:eastAsia="Times New Roman" w:hAnsi="Times New Roman" w:cs="Times New Roman"/>
                <w:b/>
                <w:bCs/>
                <w:sz w:val="24"/>
                <w:szCs w:val="24"/>
              </w:rPr>
              <w:fldChar w:fldCharType="end"/>
            </w:r>
          </w:hyperlink>
        </w:p>
        <w:p w:rsidR="00D602D4" w:rsidRDefault="00CA6697">
          <w:pPr>
            <w:pStyle w:val="16"/>
            <w:tabs>
              <w:tab w:val="right" w:leader="dot" w:pos="9781"/>
            </w:tabs>
            <w:rPr>
              <w:rFonts w:ascii="Times New Roman" w:hAnsi="Times New Roman" w:cs="Times New Roman"/>
              <w:b/>
              <w:bCs/>
              <w:sz w:val="24"/>
              <w:szCs w:val="24"/>
            </w:rPr>
          </w:pPr>
          <w:hyperlink w:anchor="_Toc194" w:tooltip="#_Toc194" w:history="1">
            <w:r w:rsidR="000B4C86">
              <w:rPr>
                <w:rStyle w:val="ab"/>
                <w:rFonts w:ascii="Times New Roman" w:eastAsia="Times New Roman" w:hAnsi="Times New Roman" w:cs="Times New Roman"/>
                <w:b/>
                <w:bCs/>
                <w:sz w:val="24"/>
                <w:szCs w:val="24"/>
              </w:rPr>
              <w:t>Приложение 12.  Глоссарий</w:t>
            </w:r>
            <w:r w:rsidR="000B4C86">
              <w:rPr>
                <w:rFonts w:ascii="Times New Roman" w:eastAsia="Times New Roman" w:hAnsi="Times New Roman" w:cs="Times New Roman"/>
                <w:b/>
                <w:bCs/>
                <w:sz w:val="24"/>
                <w:szCs w:val="24"/>
              </w:rPr>
              <w:tab/>
            </w:r>
            <w:r w:rsidR="000B4C86">
              <w:rPr>
                <w:rFonts w:ascii="Times New Roman" w:eastAsia="Times New Roman" w:hAnsi="Times New Roman" w:cs="Times New Roman"/>
                <w:b/>
                <w:bCs/>
                <w:sz w:val="24"/>
                <w:szCs w:val="24"/>
              </w:rPr>
              <w:fldChar w:fldCharType="begin"/>
            </w:r>
            <w:r w:rsidR="000B4C86">
              <w:rPr>
                <w:rFonts w:ascii="Times New Roman" w:eastAsia="Times New Roman" w:hAnsi="Times New Roman" w:cs="Times New Roman"/>
                <w:b/>
                <w:bCs/>
                <w:sz w:val="24"/>
                <w:szCs w:val="24"/>
              </w:rPr>
              <w:instrText>PAGEREF _Toc194 \h</w:instrText>
            </w:r>
            <w:r w:rsidR="000B4C86">
              <w:rPr>
                <w:rFonts w:ascii="Times New Roman" w:eastAsia="Times New Roman" w:hAnsi="Times New Roman" w:cs="Times New Roman"/>
                <w:b/>
                <w:bCs/>
                <w:sz w:val="24"/>
                <w:szCs w:val="24"/>
              </w:rPr>
            </w:r>
            <w:r w:rsidR="000B4C86">
              <w:rPr>
                <w:rFonts w:ascii="Times New Roman" w:eastAsia="Times New Roman" w:hAnsi="Times New Roman" w:cs="Times New Roman"/>
                <w:b/>
                <w:bCs/>
                <w:sz w:val="24"/>
                <w:szCs w:val="24"/>
              </w:rPr>
              <w:fldChar w:fldCharType="separate"/>
            </w:r>
            <w:r w:rsidR="000B4C86">
              <w:rPr>
                <w:rStyle w:val="ab"/>
                <w:rFonts w:ascii="Times New Roman" w:eastAsia="Times New Roman" w:hAnsi="Times New Roman" w:cs="Times New Roman"/>
                <w:b/>
                <w:bCs/>
                <w:sz w:val="24"/>
                <w:szCs w:val="24"/>
              </w:rPr>
              <w:t>322</w:t>
            </w:r>
            <w:r w:rsidR="000B4C86">
              <w:rPr>
                <w:rFonts w:ascii="Times New Roman" w:eastAsia="Times New Roman" w:hAnsi="Times New Roman" w:cs="Times New Roman"/>
                <w:b/>
                <w:bCs/>
                <w:sz w:val="24"/>
                <w:szCs w:val="24"/>
              </w:rPr>
              <w:fldChar w:fldCharType="end"/>
            </w:r>
          </w:hyperlink>
        </w:p>
        <w:p w:rsidR="00D602D4" w:rsidRDefault="000B4C86">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fldChar w:fldCharType="end"/>
          </w:r>
        </w:p>
        <w:p w:rsidR="00D602D4" w:rsidRDefault="00D602D4">
          <w:pPr>
            <w:rPr>
              <w:rFonts w:ascii="Times New Roman" w:hAnsi="Times New Roman" w:cs="Times New Roman"/>
              <w:b/>
              <w:bCs/>
              <w:sz w:val="24"/>
              <w:szCs w:val="24"/>
            </w:rPr>
          </w:pPr>
        </w:p>
        <w:p w:rsidR="00D602D4" w:rsidRDefault="00D602D4">
          <w:pPr>
            <w:rPr>
              <w:rFonts w:ascii="Times New Roman" w:hAnsi="Times New Roman" w:cs="Times New Roman"/>
              <w:b/>
              <w:bCs/>
              <w:sz w:val="24"/>
              <w:szCs w:val="24"/>
            </w:rPr>
          </w:pPr>
        </w:p>
        <w:p w:rsidR="00D602D4" w:rsidRDefault="00D602D4">
          <w:pPr>
            <w:rPr>
              <w:rFonts w:ascii="Times New Roman" w:hAnsi="Times New Roman" w:cs="Times New Roman"/>
              <w:b/>
              <w:bCs/>
              <w:sz w:val="24"/>
              <w:szCs w:val="24"/>
            </w:rPr>
          </w:pPr>
        </w:p>
        <w:p w:rsidR="00D602D4" w:rsidRDefault="00D602D4">
          <w:pPr>
            <w:rPr>
              <w:rFonts w:ascii="Times New Roman" w:hAnsi="Times New Roman" w:cs="Times New Roman"/>
              <w:b/>
              <w:bCs/>
              <w:sz w:val="24"/>
              <w:szCs w:val="24"/>
            </w:rPr>
          </w:pPr>
        </w:p>
        <w:p w:rsidR="00D602D4" w:rsidRDefault="00CA6697">
          <w:pPr>
            <w:rPr>
              <w:rFonts w:ascii="Times New Roman" w:hAnsi="Times New Roman" w:cs="Times New Roman"/>
              <w:b/>
              <w:bCs/>
              <w:sz w:val="24"/>
              <w:szCs w:val="24"/>
            </w:rPr>
          </w:pPr>
        </w:p>
      </w:sdtContent>
    </w:sdt>
    <w:p w:rsidR="00D602D4" w:rsidRDefault="000B4C86">
      <w:pPr>
        <w:pStyle w:val="13"/>
        <w:spacing w:before="0" w:line="240" w:lineRule="auto"/>
      </w:pPr>
      <w:bookmarkStart w:id="2" w:name="_Toc3"/>
      <w:r>
        <w:rPr>
          <w:rFonts w:ascii="Times New Roman" w:eastAsia="Times New Roman" w:hAnsi="Times New Roman" w:cs="Times New Roman"/>
          <w:b/>
          <w:color w:val="auto"/>
          <w:sz w:val="26"/>
          <w:szCs w:val="26"/>
        </w:rPr>
        <w:lastRenderedPageBreak/>
        <w:t>1. Презентационная часть</w:t>
      </w:r>
      <w:bookmarkEnd w:id="2"/>
    </w:p>
    <w:p w:rsidR="00D602D4" w:rsidRDefault="000B4C86">
      <w:pPr>
        <w:pStyle w:val="13"/>
        <w:spacing w:before="0" w:line="240" w:lineRule="auto"/>
        <w:rPr>
          <w:rFonts w:ascii="Times New Roman" w:hAnsi="Times New Roman" w:cs="Times New Roman"/>
          <w:b/>
          <w:color w:val="auto"/>
          <w:sz w:val="26"/>
          <w:szCs w:val="26"/>
        </w:rPr>
      </w:pPr>
      <w:bookmarkStart w:id="3" w:name="_Toc4"/>
      <w:r>
        <w:rPr>
          <w:rFonts w:ascii="Times New Roman" w:eastAsia="Times New Roman" w:hAnsi="Times New Roman" w:cs="Times New Roman"/>
          <w:b/>
          <w:color w:val="auto"/>
          <w:sz w:val="26"/>
          <w:szCs w:val="26"/>
        </w:rPr>
        <w:t>1.1. Обращения первых лиц Компании</w:t>
      </w:r>
      <w:bookmarkEnd w:id="3"/>
    </w:p>
    <w:p w:rsidR="00D602D4" w:rsidRDefault="000B4C86">
      <w:pPr>
        <w:pStyle w:val="13"/>
        <w:spacing w:before="0" w:line="240" w:lineRule="auto"/>
        <w:rPr>
          <w:rFonts w:ascii="Times New Roman" w:hAnsi="Times New Roman" w:cs="Times New Roman"/>
          <w:b/>
          <w:color w:val="auto"/>
          <w:sz w:val="26"/>
          <w:szCs w:val="26"/>
        </w:rPr>
      </w:pPr>
      <w:bookmarkStart w:id="4" w:name="_Toc5"/>
      <w:r>
        <w:rPr>
          <w:rFonts w:ascii="Times New Roman" w:eastAsia="Times New Roman" w:hAnsi="Times New Roman" w:cs="Times New Roman"/>
          <w:b/>
          <w:color w:val="auto"/>
          <w:sz w:val="26"/>
          <w:szCs w:val="26"/>
        </w:rPr>
        <w:t>1.1.1. Обращение Председателя Совета директоров</w:t>
      </w:r>
      <w:bookmarkEnd w:id="4"/>
    </w:p>
    <w:p w:rsidR="00D602D4" w:rsidRDefault="00D602D4"/>
    <w:p w:rsidR="00D602D4" w:rsidRDefault="00D602D4">
      <w:pPr>
        <w:rPr>
          <w:rFonts w:ascii="Times New Roman" w:hAnsi="Times New Roman" w:cs="Times New Roman"/>
        </w:rPr>
      </w:pPr>
    </w:p>
    <w:p w:rsidR="00D602D4" w:rsidRDefault="000B4C8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Уважаемые акционеры и инвесторы!</w:t>
      </w:r>
    </w:p>
    <w:p w:rsidR="00D602D4" w:rsidRDefault="00D602D4">
      <w:pPr>
        <w:spacing w:after="0" w:line="240" w:lineRule="auto"/>
        <w:ind w:firstLine="709"/>
        <w:jc w:val="both"/>
        <w:rPr>
          <w:rFonts w:ascii="Times New Roman" w:hAnsi="Times New Roman" w:cs="Times New Roman"/>
          <w:sz w:val="28"/>
          <w:szCs w:val="28"/>
        </w:rPr>
      </w:pPr>
    </w:p>
    <w:p w:rsidR="00D602D4" w:rsidRDefault="000B4C8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2024 году ПАО «Россети Сибирь», несмотря на очень непростую финансово-экономическую ситуацию, стремилось максимально выполнить все производственные задачи. В регионах присутствия компании были построены новые и реконструированы существующие энергообъекты, введены новые мощности для обеспечения технологического присоединения потребителей, качественно и в срок выполнены мероприятия по подготовке к осенне-зимнему периоду.</w:t>
      </w:r>
    </w:p>
    <w:p w:rsidR="00D602D4" w:rsidRDefault="000B4C8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Ключевые задачи на 2025 год – это стабилизация финансового состояния Общества, обеспечение надежного и бесперебойного электроснабжения восьми сибирских регионов, а также повышение доступности сетей компании для технологического присоединения потребителей.</w:t>
      </w:r>
    </w:p>
    <w:p w:rsidR="00D602D4" w:rsidRDefault="000B4C86">
      <w:pPr>
        <w:spacing w:after="0" w:line="240" w:lineRule="auto"/>
        <w:ind w:firstLine="709"/>
        <w:jc w:val="both"/>
        <w:rPr>
          <w:rFonts w:ascii="Times New Roman" w:hAnsi="Times New Roman" w:cs="Times New Roman"/>
          <w:sz w:val="28"/>
          <w:szCs w:val="28"/>
        </w:rPr>
      </w:pPr>
      <w:r>
        <w:rPr>
          <w:rFonts w:ascii="Times New Roman" w:hAnsi="Times New Roman" w:cs="Times New Roman"/>
          <w:iCs/>
          <w:sz w:val="28"/>
          <w:szCs w:val="28"/>
        </w:rPr>
        <w:t>Н</w:t>
      </w:r>
      <w:r>
        <w:rPr>
          <w:rFonts w:ascii="Times New Roman" w:hAnsi="Times New Roman" w:cs="Times New Roman"/>
          <w:sz w:val="28"/>
          <w:szCs w:val="28"/>
        </w:rPr>
        <w:t>есмотря на финансовые трудности, Общество было и остаётся гарантом энергетической безопасности сибирских регионов и продолжит выполнять стоящие перед ним производственные задачи.</w:t>
      </w:r>
    </w:p>
    <w:p w:rsidR="00D602D4" w:rsidRDefault="00D602D4">
      <w:pPr>
        <w:spacing w:after="0" w:line="240" w:lineRule="auto"/>
        <w:ind w:firstLine="709"/>
        <w:jc w:val="both"/>
        <w:rPr>
          <w:rFonts w:ascii="Times New Roman" w:hAnsi="Times New Roman" w:cs="Times New Roman"/>
          <w:sz w:val="28"/>
          <w:szCs w:val="28"/>
        </w:rPr>
      </w:pPr>
    </w:p>
    <w:p w:rsidR="00D602D4" w:rsidRDefault="00D602D4">
      <w:pPr>
        <w:spacing w:after="0" w:line="240" w:lineRule="auto"/>
        <w:ind w:firstLine="709"/>
        <w:jc w:val="both"/>
        <w:rPr>
          <w:rFonts w:ascii="Times New Roman" w:hAnsi="Times New Roman" w:cs="Times New Roman"/>
          <w:sz w:val="26"/>
          <w:szCs w:val="26"/>
        </w:rPr>
      </w:pPr>
    </w:p>
    <w:p w:rsidR="00D602D4" w:rsidRDefault="00D602D4">
      <w:pPr>
        <w:spacing w:after="0" w:line="240" w:lineRule="auto"/>
        <w:ind w:firstLine="709"/>
        <w:jc w:val="both"/>
        <w:rPr>
          <w:rFonts w:ascii="Times New Roman" w:hAnsi="Times New Roman" w:cs="Times New Roman"/>
          <w:sz w:val="28"/>
          <w:szCs w:val="28"/>
        </w:rPr>
      </w:pPr>
    </w:p>
    <w:p w:rsidR="00D602D4" w:rsidRDefault="000B4C8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Председатель Совета директоров </w:t>
      </w:r>
    </w:p>
    <w:p w:rsidR="00D602D4" w:rsidRDefault="000B4C8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ПАО «Россети Сибирь»    </w:t>
      </w:r>
    </w:p>
    <w:p w:rsidR="00D602D4" w:rsidRDefault="000B4C8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
    <w:p w:rsidR="00D602D4" w:rsidRDefault="000B4C8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Тихонова Мария Геннадьевна</w:t>
      </w:r>
    </w:p>
    <w:p w:rsidR="00D602D4" w:rsidRDefault="00D602D4">
      <w:pPr>
        <w:spacing w:after="0" w:line="240" w:lineRule="auto"/>
        <w:ind w:firstLine="709"/>
        <w:jc w:val="both"/>
        <w:rPr>
          <w:rFonts w:ascii="Times New Roman" w:hAnsi="Times New Roman" w:cs="Times New Roman"/>
          <w:sz w:val="28"/>
          <w:szCs w:val="28"/>
        </w:rPr>
      </w:pPr>
    </w:p>
    <w:p w:rsidR="00D602D4" w:rsidRDefault="000B4C8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0B4C86">
      <w:pPr>
        <w:pStyle w:val="13"/>
        <w:spacing w:before="0" w:line="240" w:lineRule="auto"/>
        <w:rPr>
          <w:rFonts w:ascii="Times New Roman" w:hAnsi="Times New Roman" w:cs="Times New Roman"/>
          <w:b/>
          <w:color w:val="auto"/>
          <w:sz w:val="26"/>
          <w:szCs w:val="26"/>
        </w:rPr>
      </w:pPr>
      <w:bookmarkStart w:id="5" w:name="_Toc6"/>
      <w:r>
        <w:rPr>
          <w:rFonts w:ascii="Times New Roman" w:eastAsia="Times New Roman" w:hAnsi="Times New Roman" w:cs="Times New Roman"/>
          <w:b/>
          <w:color w:val="auto"/>
          <w:sz w:val="26"/>
          <w:szCs w:val="26"/>
        </w:rPr>
        <w:lastRenderedPageBreak/>
        <w:t>1.1.2. Обращение Генерального директора</w:t>
      </w:r>
      <w:bookmarkEnd w:id="5"/>
    </w:p>
    <w:p w:rsidR="00D602D4" w:rsidRDefault="00D602D4">
      <w:pPr>
        <w:pStyle w:val="13"/>
        <w:spacing w:before="0" w:line="240" w:lineRule="auto"/>
        <w:rPr>
          <w:rFonts w:ascii="Times New Roman" w:hAnsi="Times New Roman" w:cs="Times New Roman"/>
          <w:sz w:val="24"/>
          <w:szCs w:val="24"/>
        </w:rPr>
      </w:pPr>
    </w:p>
    <w:p w:rsidR="00D602D4" w:rsidRDefault="000B4C86">
      <w:pPr>
        <w:spacing w:after="0" w:line="240" w:lineRule="auto"/>
        <w:jc w:val="center"/>
        <w:rPr>
          <w:rFonts w:ascii="Times New Roman" w:hAnsi="Times New Roman" w:cs="Times New Roman"/>
          <w:b/>
          <w:bCs/>
          <w:sz w:val="26"/>
          <w:szCs w:val="26"/>
        </w:rPr>
      </w:pPr>
      <w:r>
        <w:rPr>
          <w:rFonts w:ascii="Times New Roman" w:eastAsia="Times New Roman" w:hAnsi="Times New Roman" w:cs="Times New Roman"/>
          <w:b/>
          <w:bCs/>
          <w:sz w:val="24"/>
          <w:szCs w:val="24"/>
        </w:rPr>
        <w:t>Уважаемые акционеры, партнёры и коллеги!</w:t>
      </w:r>
    </w:p>
    <w:p w:rsidR="00D602D4" w:rsidRDefault="000B4C86">
      <w:pPr>
        <w:spacing w:after="0" w:line="240" w:lineRule="auto"/>
        <w:ind w:firstLine="708"/>
        <w:jc w:val="both"/>
        <w:rPr>
          <w:rFonts w:ascii="Times New Roman" w:hAnsi="Times New Roman" w:cs="Times New Roman"/>
          <w:sz w:val="26"/>
          <w:szCs w:val="26"/>
        </w:rPr>
      </w:pPr>
      <w:r>
        <w:rPr>
          <w:rFonts w:ascii="Times New Roman" w:eastAsia="Times New Roman" w:hAnsi="Times New Roman" w:cs="Times New Roman"/>
          <w:sz w:val="24"/>
          <w:szCs w:val="24"/>
        </w:rPr>
        <w:t>В 2024 году, несмотря на сложное финансово-экономическое положение, ПАО «Россети Сибирь» своевременно и в полном объеме выполнило все основные производственные задачи и обеспечило надёжное и качественное электроснабжение потребителей.</w:t>
      </w:r>
    </w:p>
    <w:p w:rsidR="00D602D4" w:rsidRDefault="000B4C86">
      <w:pPr>
        <w:spacing w:after="0" w:line="240" w:lineRule="auto"/>
        <w:ind w:firstLine="708"/>
        <w:jc w:val="both"/>
        <w:rPr>
          <w:rFonts w:ascii="Times New Roman" w:hAnsi="Times New Roman" w:cs="Times New Roman"/>
          <w:sz w:val="26"/>
          <w:szCs w:val="26"/>
        </w:rPr>
      </w:pPr>
      <w:r>
        <w:rPr>
          <w:rFonts w:ascii="Times New Roman" w:eastAsia="Times New Roman" w:hAnsi="Times New Roman" w:cs="Times New Roman"/>
          <w:sz w:val="24"/>
          <w:szCs w:val="24"/>
        </w:rPr>
        <w:t xml:space="preserve">В отчётном периоде компания строила новые сети – трансформаторные подстанции, распределительные пункты и воздушные линии электропередачи 0,4 – 10 кВ. Консолидировала сети ДНТ в филиалах «Бурятэнерго», «Красноярскэнерго» и «Кузбассэнерго – РЭС». Подключила более 22,7 тысячи новых потребителей, в том числе обеспечила технологическое присоединение новых социально значимых объектов в рамках национальных проектов. Запустила пилотный проект по переводу на электроотопление жителей Улан-Удэ и Красноярска. </w:t>
      </w:r>
    </w:p>
    <w:p w:rsidR="00D602D4" w:rsidRDefault="000B4C86">
      <w:pPr>
        <w:spacing w:after="0" w:line="240" w:lineRule="auto"/>
        <w:ind w:firstLine="708"/>
        <w:jc w:val="both"/>
        <w:rPr>
          <w:rFonts w:ascii="Times New Roman" w:hAnsi="Times New Roman" w:cs="Times New Roman"/>
          <w:sz w:val="26"/>
          <w:szCs w:val="26"/>
        </w:rPr>
      </w:pPr>
      <w:r>
        <w:rPr>
          <w:rFonts w:ascii="Times New Roman" w:eastAsia="Times New Roman" w:hAnsi="Times New Roman" w:cs="Times New Roman"/>
          <w:sz w:val="24"/>
          <w:szCs w:val="24"/>
        </w:rPr>
        <w:t>Совокупная выручка ПАО «Россети Сибирь» по итогам 2024 года увеличилась на 12 % – до 77,87 млрд рублей. Тем не менее, убыток Общества составил 0,69 млрд рублей, кредитный портфель вырос на 14 % и составил 48,9 млрд рублей.</w:t>
      </w:r>
    </w:p>
    <w:p w:rsidR="00D602D4" w:rsidRDefault="000B4C86">
      <w:pPr>
        <w:spacing w:after="0" w:line="240" w:lineRule="auto"/>
        <w:ind w:firstLine="708"/>
        <w:jc w:val="both"/>
        <w:rPr>
          <w:rFonts w:ascii="Times New Roman" w:hAnsi="Times New Roman" w:cs="Times New Roman"/>
          <w:sz w:val="26"/>
          <w:szCs w:val="26"/>
        </w:rPr>
      </w:pPr>
      <w:r>
        <w:rPr>
          <w:rFonts w:ascii="Times New Roman" w:eastAsia="Times New Roman" w:hAnsi="Times New Roman" w:cs="Times New Roman"/>
          <w:sz w:val="24"/>
          <w:szCs w:val="24"/>
        </w:rPr>
        <w:t xml:space="preserve">Сегодня остро стоит вопрос несоответствия тарифного регулирования фактическим расходам компании. Постоянное, из года в год, недофинансирование отрасли лишает ПАО «Россети Сибирь» возможности не только строить новые сети, но и в полном объеме ремонтировать существующие. Между тем, средний износ сетей компании составляет 80 %, и это уже критические значения. Кроме того, некорректное тарифное регулирование не позволяет Обществу в полном объеме осуществлять технологическое присоединение, являющееся маркером экономического развития территорий. При этом количество заявок ежегодно растёт. </w:t>
      </w:r>
    </w:p>
    <w:p w:rsidR="00D602D4" w:rsidRDefault="000B4C86">
      <w:pPr>
        <w:spacing w:after="0" w:line="240" w:lineRule="auto"/>
        <w:ind w:firstLine="708"/>
        <w:jc w:val="both"/>
        <w:rPr>
          <w:rFonts w:ascii="Times New Roman" w:hAnsi="Times New Roman" w:cs="Times New Roman"/>
          <w:sz w:val="26"/>
          <w:szCs w:val="26"/>
        </w:rPr>
      </w:pPr>
      <w:r>
        <w:rPr>
          <w:rFonts w:ascii="Times New Roman" w:eastAsia="Times New Roman" w:hAnsi="Times New Roman" w:cs="Times New Roman"/>
          <w:sz w:val="24"/>
          <w:szCs w:val="24"/>
        </w:rPr>
        <w:t>Качественно изменить ситуацию с недофинансированием отрасли нам позволит заключение регуляторных соглашений с правительствами регионов присутствия. В 2024 году первые регуляторные соглашения заключены в Омской и Кемеровской областях, в 2025 году мы планируем продолжить эту работу с другими регионами. Регуляторные соглашения позволят решить хронические проблемы отрасли за счёт соответствующего реальной потребности финансирования.</w:t>
      </w:r>
    </w:p>
    <w:p w:rsidR="00D602D4" w:rsidRDefault="000B4C86">
      <w:pPr>
        <w:spacing w:after="0" w:line="240" w:lineRule="auto"/>
        <w:ind w:firstLine="708"/>
        <w:jc w:val="both"/>
        <w:rPr>
          <w:rFonts w:ascii="Times New Roman" w:hAnsi="Times New Roman" w:cs="Times New Roman"/>
          <w:sz w:val="26"/>
          <w:szCs w:val="26"/>
        </w:rPr>
      </w:pPr>
      <w:r>
        <w:rPr>
          <w:rFonts w:ascii="Times New Roman" w:eastAsia="Times New Roman" w:hAnsi="Times New Roman" w:cs="Times New Roman"/>
          <w:sz w:val="24"/>
          <w:szCs w:val="24"/>
        </w:rPr>
        <w:t xml:space="preserve"> Кроме того, в 2025 году в трёх регионах присутствия компании – Алтайском крае, Республике Алтай и Республике Хакасия – стартуют финансируемые из федерального бюджета Программы повышения надёжности электросетевого комплекса. Планируются работы по подготовке к масштабной реконструкции сетей в 2026 – 2027 годах, а также обновление и доукомплектование автопарка филиалов, как бригадными автомобилями, так и спецтехникой.</w:t>
      </w:r>
    </w:p>
    <w:p w:rsidR="00D602D4" w:rsidRDefault="000B4C86">
      <w:pPr>
        <w:spacing w:after="0" w:line="240" w:lineRule="auto"/>
        <w:ind w:firstLine="708"/>
        <w:jc w:val="both"/>
        <w:rPr>
          <w:rFonts w:ascii="Times New Roman" w:hAnsi="Times New Roman" w:cs="Times New Roman"/>
          <w:sz w:val="26"/>
          <w:szCs w:val="26"/>
        </w:rPr>
      </w:pPr>
      <w:r>
        <w:rPr>
          <w:rFonts w:ascii="Times New Roman" w:eastAsia="Times New Roman" w:hAnsi="Times New Roman" w:cs="Times New Roman"/>
          <w:sz w:val="24"/>
          <w:szCs w:val="24"/>
        </w:rPr>
        <w:t>Уверен, что благодаря профессиональному и надёжному коллективу ПАО «Россети Сибирь» достигнет всех поставленных на 2025 год целей, в том числе роста валовой выручки, увеличения объёмов технологического присоединения (особенно льготной категории потребителей) и, конечно, повышения надёжности и качества электроснабжения.</w:t>
      </w:r>
    </w:p>
    <w:p w:rsidR="00D602D4" w:rsidRDefault="00D602D4">
      <w:pPr>
        <w:spacing w:after="0" w:line="240" w:lineRule="auto"/>
        <w:ind w:firstLine="708"/>
        <w:jc w:val="both"/>
        <w:rPr>
          <w:rFonts w:ascii="Times New Roman" w:hAnsi="Times New Roman" w:cs="Times New Roman"/>
          <w:sz w:val="26"/>
          <w:szCs w:val="26"/>
        </w:rPr>
      </w:pPr>
    </w:p>
    <w:p w:rsidR="00D602D4" w:rsidRDefault="00D602D4">
      <w:pPr>
        <w:spacing w:after="0" w:line="240" w:lineRule="auto"/>
        <w:jc w:val="both"/>
        <w:rPr>
          <w:rFonts w:ascii="Times New Roman" w:hAnsi="Times New Roman" w:cs="Times New Roman"/>
          <w:sz w:val="26"/>
          <w:szCs w:val="26"/>
        </w:rPr>
      </w:pPr>
    </w:p>
    <w:p w:rsidR="00D602D4" w:rsidRDefault="000B4C86">
      <w:pPr>
        <w:spacing w:after="0" w:line="240" w:lineRule="auto"/>
        <w:jc w:val="both"/>
        <w:rPr>
          <w:rFonts w:ascii="Times New Roman" w:hAnsi="Times New Roman" w:cs="Times New Roman"/>
          <w:sz w:val="26"/>
          <w:szCs w:val="26"/>
        </w:rPr>
      </w:pPr>
      <w:r>
        <w:rPr>
          <w:rFonts w:ascii="Times New Roman" w:eastAsia="Times New Roman" w:hAnsi="Times New Roman" w:cs="Times New Roman"/>
          <w:sz w:val="24"/>
          <w:szCs w:val="24"/>
        </w:rPr>
        <w:t xml:space="preserve">Генеральный директор ПАО «Россети Сибирь»                       </w:t>
      </w:r>
    </w:p>
    <w:p w:rsidR="00D602D4" w:rsidRDefault="000B4C86">
      <w:pPr>
        <w:spacing w:after="0" w:line="240" w:lineRule="auto"/>
        <w:jc w:val="both"/>
        <w:rPr>
          <w:rFonts w:ascii="Times New Roman" w:eastAsia="Times New Roman" w:hAnsi="Times New Roman" w:cs="Times New Roman"/>
          <w:color w:val="222222"/>
          <w:sz w:val="24"/>
          <w:szCs w:val="24"/>
        </w:rPr>
      </w:pPr>
      <w:r>
        <w:rPr>
          <w:rFonts w:ascii="Times New Roman" w:eastAsia="Times New Roman" w:hAnsi="Times New Roman" w:cs="Times New Roman"/>
          <w:sz w:val="24"/>
          <w:szCs w:val="24"/>
        </w:rPr>
        <w:t>Дьячков Антон Геннадьевич</w:t>
      </w:r>
      <w:r>
        <w:rPr>
          <w:rFonts w:ascii="Times New Roman" w:eastAsia="Times New Roman" w:hAnsi="Times New Roman" w:cs="Times New Roman"/>
          <w:color w:val="222222"/>
          <w:sz w:val="24"/>
          <w:szCs w:val="24"/>
          <w:shd w:val="clear" w:color="auto" w:fill="FFFFFF"/>
        </w:rPr>
        <w:t xml:space="preserve"> </w:t>
      </w: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0B4C86">
      <w:pPr>
        <w:spacing w:after="0" w:line="240" w:lineRule="auto"/>
        <w:jc w:val="both"/>
        <w:rPr>
          <w:rFonts w:ascii="Times New Roman" w:hAnsi="Times New Roman" w:cs="Times New Roman"/>
          <w:sz w:val="24"/>
          <w:szCs w:val="24"/>
        </w:rPr>
      </w:pPr>
      <w:bookmarkStart w:id="6" w:name="_Toc7"/>
      <w:r>
        <w:rPr>
          <w:rFonts w:ascii="Times New Roman" w:eastAsia="Times New Roman" w:hAnsi="Times New Roman" w:cs="Times New Roman"/>
          <w:b/>
          <w:sz w:val="26"/>
          <w:szCs w:val="26"/>
        </w:rPr>
        <w:lastRenderedPageBreak/>
        <w:t>1.2. О Компании</w:t>
      </w:r>
      <w:bookmarkEnd w:id="6"/>
    </w:p>
    <w:p w:rsidR="00D602D4" w:rsidRDefault="000B4C86">
      <w:pPr>
        <w:pStyle w:val="13"/>
        <w:spacing w:before="0" w:line="240" w:lineRule="auto"/>
        <w:jc w:val="both"/>
        <w:rPr>
          <w:rFonts w:ascii="Times New Roman" w:hAnsi="Times New Roman" w:cs="Times New Roman"/>
          <w:b/>
          <w:color w:val="auto"/>
          <w:sz w:val="26"/>
          <w:szCs w:val="26"/>
        </w:rPr>
      </w:pPr>
      <w:bookmarkStart w:id="7" w:name="_Toc8"/>
      <w:r>
        <w:rPr>
          <w:rFonts w:ascii="Times New Roman" w:eastAsia="Times New Roman" w:hAnsi="Times New Roman" w:cs="Times New Roman"/>
          <w:b/>
          <w:color w:val="auto"/>
          <w:sz w:val="26"/>
          <w:szCs w:val="26"/>
        </w:rPr>
        <w:t>1.2.1. Представление Компании (миссия, история, основные направления деятельности) и структура</w:t>
      </w:r>
      <w:bookmarkEnd w:id="7"/>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История Общества началась в 2004 году, когда Советом директоров ОАО РАО «ЕЭС России» была утверждена конфигурация межрегиональных распределительных сетевых компаний. МРСК создавались как 100%-ные дочерние общества ОАО РАО «ЕЭС России» с целью эффективного управления распределительным электросетевым комплексом.</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ОАО «МРСК Сибири» зарегистрировано 04.07.2005. Размер уставного капитала ОАО «МРСК Сибири» при учреждении составлял 10 млн руб. и был разделен на 100 млн обыкновенных акций номинальной стоимостью 10 коп. каждая.</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31.03.2008  в Единый государственный реестр юридических лиц внесена запись о прекращении деятельности ОАО «Алтайэнерго», ОАО «Бурятэнерго», ОАО «Красноярскэнерго», ОАО «Кузбассэнерго-РСК», ОАО АК «Омскэнерго», ОАО «Тываэнерго-Холдинг», ОАО «Хакасэнерго», ОАО «Читаэнерго» в результате реорганизации в форме присоединения к ОАО «МРСК Сибири». Уставный капитал Общества увеличился с 10 000 000 руб. до 8 936 765 511,5 руб. ОАО «МРСК Сибири» стало крупнейшей в Сибирском федеральном округе электросетевой компанией, в истории развития Общества начался новый этап.</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С 01.07.2008 52,88 % уставного капитала Общества принадлежало Публичному акционерному обществу «Российские сети». В 2011 году была проведена дополнительная эмиссия обыкновенных акций в связи с необходимостью финансирования работ по реализации схемы внешнего электроснабжения шахты «Распадская» в Кемеровской области, в результате уставный капитал ОАО «МРСК Сибири» увеличился до 9 481 516 324,9 руб., а доля ПАО «Россети» в уставном капитале Общества составила 55,59%. В 2015 году для обеспечения работ по технологическому присоединению к центрам электропитания объектов подвижной радиотелефонной связи на автомобильной дороге «Амур» на отрезке Чита – Хабаровск в Обществе была проведена дополнительная эмиссия привилегированных акций. В результате дополнительной эмиссии в 2016 году уставный капитал ОАО «МРСК Сибири» увеличился до 9 988 619 381,9 руб., доля ПАО «Россети» в уставном капитале Общества составила 57,84% (доля обыкновенных акций сохранилась в размере 55,59%).</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29.05.2020 годовым Общим собранием акционеров Общества принято решение о переименовании Общества в Публичное акционерное общество «Россети Сибирь» (полное фирменное наименование), ПАО «Россети Сибирь» (сокращенное фирменное наименование).</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16.07.2020 Министерством Юстиции Российской Федерации выдано разрешение Обществу на использование в его фирменном наименовании слова, производные от официального наименования «Российская Федерация» или «Россия» (распоряжение от 16.07.2020 № 698-р).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05.08.2020 Межрайонной инспекцией Федеральной налоговой службы № 23 по Красноярскому краю зарегистрированы изменения в Устав Общества о переименовании Общества.</w:t>
      </w:r>
    </w:p>
    <w:p w:rsidR="00D602D4" w:rsidRDefault="000B4C86">
      <w:pPr>
        <w:spacing w:after="0" w:line="240" w:lineRule="auto"/>
        <w:ind w:firstLine="709"/>
        <w:jc w:val="both"/>
        <w:rPr>
          <w:rFonts w:ascii="Times New Roman" w:hAnsi="Times New Roman" w:cs="Times New Roman"/>
          <w:sz w:val="24"/>
          <w:szCs w:val="24"/>
          <w:shd w:val="clear" w:color="auto" w:fill="FFFFFF"/>
        </w:rPr>
      </w:pPr>
      <w:r>
        <w:rPr>
          <w:rFonts w:ascii="Times New Roman" w:eastAsia="Times New Roman" w:hAnsi="Times New Roman" w:cs="Times New Roman"/>
          <w:sz w:val="24"/>
          <w:szCs w:val="24"/>
        </w:rPr>
        <w:t>В ходе реорганизации Публичного акционерного общества «</w:t>
      </w:r>
      <w:r>
        <w:rPr>
          <w:rFonts w:ascii="Times New Roman" w:eastAsia="Times New Roman" w:hAnsi="Times New Roman" w:cs="Times New Roman"/>
          <w:sz w:val="24"/>
          <w:szCs w:val="24"/>
          <w:shd w:val="clear" w:color="auto" w:fill="FFFFFF"/>
        </w:rPr>
        <w:t xml:space="preserve">Федеральная сетевая компания – Россети» (ПАО «Россети», прежнее наименование  – ПАО «ФСК ЕЭС») с 09.01.2023 года прекращена деятельность Публичного акционерного общества «Российские сети», а также Акционерных обществ «Кубанские магистральные сети», «Томские магистральные сети», «Дальневосточная энергетическая управляющая компания – ЕНЭС» в связи с их присоединением к Публичному акционерному обществу «Федеральная сетевая компания – Россети» (ПАО «Россети»). </w:t>
      </w:r>
    </w:p>
    <w:p w:rsidR="00D602D4" w:rsidRDefault="000B4C86">
      <w:pPr>
        <w:spacing w:after="0" w:line="240" w:lineRule="auto"/>
        <w:ind w:firstLine="709"/>
        <w:jc w:val="both"/>
        <w:rPr>
          <w:rFonts w:ascii="Times New Roman" w:hAnsi="Times New Roman" w:cs="Times New Roman"/>
          <w:sz w:val="24"/>
          <w:szCs w:val="24"/>
          <w:shd w:val="clear" w:color="auto" w:fill="FFFFFF"/>
        </w:rPr>
      </w:pPr>
      <w:r>
        <w:rPr>
          <w:rFonts w:ascii="Times New Roman" w:eastAsia="Times New Roman" w:hAnsi="Times New Roman" w:cs="Times New Roman"/>
          <w:sz w:val="24"/>
          <w:szCs w:val="24"/>
          <w:shd w:val="clear" w:color="auto" w:fill="FFFFFF"/>
        </w:rPr>
        <w:t>В результате реорганизации доля ПАО «Россети» в уставном капитале ПАО «Россети Сибирь» увеличилась до 57,90%.</w:t>
      </w:r>
    </w:p>
    <w:p w:rsidR="00D602D4" w:rsidRDefault="000B4C86">
      <w:pPr>
        <w:spacing w:after="0" w:line="240" w:lineRule="auto"/>
        <w:ind w:firstLine="709"/>
        <w:jc w:val="both"/>
        <w:rPr>
          <w:highlight w:val="white"/>
        </w:rPr>
      </w:pPr>
      <w:r>
        <w:rPr>
          <w:rFonts w:ascii="Times New Roman" w:eastAsia="Times New Roman" w:hAnsi="Times New Roman" w:cs="Times New Roman"/>
          <w:b/>
          <w:sz w:val="24"/>
          <w:szCs w:val="24"/>
          <w:highlight w:val="white"/>
        </w:rPr>
        <w:lastRenderedPageBreak/>
        <w:t xml:space="preserve">Миссия - </w:t>
      </w:r>
      <w:r>
        <w:rPr>
          <w:rFonts w:ascii="Times New Roman" w:hAnsi="Times New Roman" w:cs="Times New Roman"/>
          <w:sz w:val="24"/>
          <w:szCs w:val="24"/>
          <w:highlight w:val="white"/>
          <w:shd w:val="clear" w:color="auto" w:fill="FFFFFF"/>
          <w:lang w:eastAsia="ru-RU"/>
        </w:rPr>
        <w:t>доступная и качественная электроэнергия в каждый дом, учреждение и производство для комфортной жизни людей, ведения бизнеса и развития экономики страны.</w:t>
      </w:r>
    </w:p>
    <w:p w:rsidR="00D602D4" w:rsidRDefault="000B4C86">
      <w:pPr>
        <w:spacing w:after="0" w:line="240" w:lineRule="auto"/>
        <w:ind w:firstLine="709"/>
        <w:jc w:val="both"/>
        <w:rPr>
          <w:rFonts w:ascii="Times New Roman" w:eastAsia="Times New Roman" w:hAnsi="Times New Roman" w:cs="Times New Roman"/>
          <w:b/>
          <w:bCs/>
          <w:sz w:val="24"/>
          <w:szCs w:val="24"/>
          <w:highlight w:val="white"/>
        </w:rPr>
      </w:pPr>
      <w:r>
        <w:rPr>
          <w:rFonts w:ascii="Times New Roman" w:eastAsia="Times New Roman" w:hAnsi="Times New Roman" w:cs="Times New Roman"/>
          <w:b/>
          <w:bCs/>
          <w:sz w:val="24"/>
          <w:szCs w:val="24"/>
          <w:highlight w:val="white"/>
          <w:lang w:eastAsia="ru-RU"/>
        </w:rPr>
        <w:t>Видение</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shd w:val="clear" w:color="auto" w:fill="FFFFFF"/>
          <w:lang w:eastAsia="ru-RU"/>
        </w:rPr>
        <w:t>С учетом тенденций и вызовов для отрасли роль компании будет меняться от выполнения функции только по передаче электроэнергии и технологическому присоединению потребителей к комплексным услугам для потребителей.</w:t>
      </w:r>
    </w:p>
    <w:p w:rsidR="00D602D4" w:rsidRDefault="000B4C86">
      <w:pPr>
        <w:spacing w:after="0" w:line="240" w:lineRule="auto"/>
        <w:ind w:firstLine="709"/>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К 2030 году ПАО «Россети Сибирь»:</w:t>
      </w:r>
    </w:p>
    <w:p w:rsidR="00D602D4" w:rsidRDefault="000B4C86">
      <w:pPr>
        <w:pStyle w:val="ac"/>
        <w:numPr>
          <w:ilvl w:val="0"/>
          <w:numId w:val="31"/>
        </w:numPr>
        <w:tabs>
          <w:tab w:val="left" w:pos="709"/>
        </w:tabs>
        <w:spacing w:after="0" w:line="240" w:lineRule="auto"/>
        <w:ind w:left="0" w:firstLine="992"/>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Социально-ориентированная, сетевая инфраструктура, обеспечивающая надежное и качественное снабжение конечных потребителей электроэнергией на территориях присутствия;</w:t>
      </w:r>
    </w:p>
    <w:p w:rsidR="00D602D4" w:rsidRDefault="000B4C86">
      <w:pPr>
        <w:pStyle w:val="ac"/>
        <w:numPr>
          <w:ilvl w:val="0"/>
          <w:numId w:val="31"/>
        </w:numPr>
        <w:tabs>
          <w:tab w:val="left" w:pos="709"/>
        </w:tabs>
        <w:spacing w:after="0" w:line="240" w:lineRule="auto"/>
        <w:ind w:left="0" w:firstLine="992"/>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Центр единой технической политики в электросетевом комплексе Российской Федерации в регионах присутствия;</w:t>
      </w:r>
    </w:p>
    <w:p w:rsidR="00D602D4" w:rsidRDefault="000B4C86">
      <w:pPr>
        <w:pStyle w:val="ac"/>
        <w:numPr>
          <w:ilvl w:val="0"/>
          <w:numId w:val="31"/>
        </w:numPr>
        <w:tabs>
          <w:tab w:val="left" w:pos="709"/>
        </w:tabs>
        <w:spacing w:after="0" w:line="240" w:lineRule="auto"/>
        <w:ind w:left="0" w:firstLine="992"/>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Присутствует в различных сегментах цепочки создания стоимости в энергетике, достигая синергетических эффектов;</w:t>
      </w:r>
    </w:p>
    <w:p w:rsidR="00D602D4" w:rsidRDefault="000B4C86">
      <w:pPr>
        <w:pStyle w:val="ac"/>
        <w:numPr>
          <w:ilvl w:val="0"/>
          <w:numId w:val="31"/>
        </w:numPr>
        <w:tabs>
          <w:tab w:val="left" w:pos="709"/>
        </w:tabs>
        <w:spacing w:after="0" w:line="240" w:lineRule="auto"/>
        <w:ind w:left="0" w:firstLine="992"/>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Создает развитую линейку продуктов и услуг комплементарных видов деятельности;</w:t>
      </w:r>
    </w:p>
    <w:p w:rsidR="00D602D4" w:rsidRDefault="000B4C86">
      <w:pPr>
        <w:pStyle w:val="ac"/>
        <w:numPr>
          <w:ilvl w:val="0"/>
          <w:numId w:val="31"/>
        </w:numPr>
        <w:tabs>
          <w:tab w:val="left" w:pos="709"/>
        </w:tabs>
        <w:spacing w:after="0" w:line="240" w:lineRule="auto"/>
        <w:ind w:left="0" w:firstLine="992"/>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Ориентируется на потребности клиентов, являющиеся основой деятельности Общества;</w:t>
      </w:r>
    </w:p>
    <w:p w:rsidR="00D602D4" w:rsidRDefault="000B4C86">
      <w:pPr>
        <w:pStyle w:val="ac"/>
        <w:numPr>
          <w:ilvl w:val="0"/>
          <w:numId w:val="31"/>
        </w:numPr>
        <w:tabs>
          <w:tab w:val="left" w:pos="709"/>
        </w:tabs>
        <w:spacing w:after="0" w:line="240" w:lineRule="auto"/>
        <w:ind w:left="0" w:firstLine="992"/>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Использует передовые отечественные технологии, являясь опорой энергетической безопасности и технологического суверенитета страны;</w:t>
      </w:r>
    </w:p>
    <w:p w:rsidR="00D602D4" w:rsidRDefault="000B4C86">
      <w:pPr>
        <w:pStyle w:val="ac"/>
        <w:numPr>
          <w:ilvl w:val="0"/>
          <w:numId w:val="31"/>
        </w:numPr>
        <w:tabs>
          <w:tab w:val="left" w:pos="709"/>
        </w:tabs>
        <w:spacing w:after="0" w:line="240" w:lineRule="auto"/>
        <w:ind w:left="0" w:firstLine="992"/>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Создает предпосылки для трансформации электросетевого комплекса, который будет обладать следующим функционалом:</w:t>
      </w:r>
    </w:p>
    <w:p w:rsidR="00D602D4" w:rsidRDefault="000B4C86">
      <w:pPr>
        <w:pStyle w:val="ac"/>
        <w:numPr>
          <w:ilvl w:val="0"/>
          <w:numId w:val="31"/>
        </w:numPr>
        <w:tabs>
          <w:tab w:val="left" w:pos="850"/>
        </w:tabs>
        <w:spacing w:after="0" w:line="240" w:lineRule="auto"/>
        <w:ind w:left="425" w:firstLine="0"/>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управление электрической сетью, ПС и ЛЭП реализуются интеллектуальными системами управления на основании единого информационного пространства с использованием дистанционного управления, технологий искусственного интеллекта и математического моделирования, на всех уровнях напряжения;</w:t>
      </w:r>
    </w:p>
    <w:p w:rsidR="00D602D4" w:rsidRDefault="000B4C86">
      <w:pPr>
        <w:pStyle w:val="ac"/>
        <w:numPr>
          <w:ilvl w:val="0"/>
          <w:numId w:val="31"/>
        </w:numPr>
        <w:tabs>
          <w:tab w:val="left" w:pos="850"/>
        </w:tabs>
        <w:spacing w:after="0" w:line="240" w:lineRule="auto"/>
        <w:ind w:left="425" w:firstLine="0"/>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обеспечена оптимальная наблюдаемость сети с использованием цифровой копии электрической сети, отображающей в режиме реального времени параметры ее работы;</w:t>
      </w:r>
    </w:p>
    <w:p w:rsidR="00D602D4" w:rsidRDefault="000B4C86">
      <w:pPr>
        <w:pStyle w:val="ac"/>
        <w:numPr>
          <w:ilvl w:val="0"/>
          <w:numId w:val="31"/>
        </w:numPr>
        <w:tabs>
          <w:tab w:val="left" w:pos="850"/>
        </w:tabs>
        <w:spacing w:after="0" w:line="240" w:lineRule="auto"/>
        <w:ind w:left="425" w:firstLine="0"/>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обеспечено управление качеством поставляемой электроэнергии;</w:t>
      </w:r>
    </w:p>
    <w:p w:rsidR="00D602D4" w:rsidRDefault="000B4C86">
      <w:pPr>
        <w:pStyle w:val="ac"/>
        <w:numPr>
          <w:ilvl w:val="0"/>
          <w:numId w:val="31"/>
        </w:numPr>
        <w:tabs>
          <w:tab w:val="left" w:pos="850"/>
        </w:tabs>
        <w:spacing w:after="0" w:line="240" w:lineRule="auto"/>
        <w:ind w:left="425" w:firstLine="0"/>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платформа для распределенной энергетики и просьюмеров, обеспечивающая предоставление широкого спектра энергетических и комплементарных услуг клиентам.</w:t>
      </w:r>
    </w:p>
    <w:p w:rsidR="00D602D4" w:rsidRDefault="000B4C86">
      <w:pPr>
        <w:pStyle w:val="ac"/>
        <w:numPr>
          <w:ilvl w:val="0"/>
          <w:numId w:val="31"/>
        </w:numPr>
        <w:tabs>
          <w:tab w:val="left" w:pos="709"/>
        </w:tabs>
        <w:spacing w:after="0" w:line="240" w:lineRule="auto"/>
        <w:ind w:left="0" w:firstLine="992"/>
        <w:jc w:val="both"/>
        <w:rPr>
          <w:rFonts w:ascii="Times New Roman" w:hAnsi="Times New Roman" w:cs="Times New Roman"/>
          <w:sz w:val="26"/>
          <w:szCs w:val="26"/>
          <w:highlight w:val="white"/>
        </w:rPr>
      </w:pPr>
      <w:r>
        <w:rPr>
          <w:rFonts w:ascii="Times New Roman" w:hAnsi="Times New Roman" w:cs="Times New Roman"/>
          <w:sz w:val="24"/>
          <w:szCs w:val="24"/>
          <w:highlight w:val="white"/>
          <w:shd w:val="clear" w:color="auto" w:fill="FFFFFF"/>
          <w:lang w:eastAsia="ru-RU"/>
        </w:rPr>
        <w:t>Реализуемые проекты по энергосбережению и энергоэффективности, а также инициативы по гармонизации законодательного регулирования отрасли вносят значимый вклад в снижение энергоемкости ВВП.</w:t>
      </w:r>
    </w:p>
    <w:p w:rsidR="00D602D4" w:rsidRDefault="00D602D4">
      <w:pPr>
        <w:pStyle w:val="affffff5"/>
        <w:spacing w:line="240" w:lineRule="auto"/>
        <w:ind w:right="29"/>
      </w:pPr>
    </w:p>
    <w:p w:rsidR="00D602D4" w:rsidRDefault="000B4C86">
      <w:pPr>
        <w:widowControl w:val="0"/>
        <w:spacing w:after="0" w:line="0" w:lineRule="atLeast"/>
        <w:ind w:right="284" w:firstLine="709"/>
        <w:jc w:val="right"/>
        <w:rPr>
          <w:rFonts w:ascii="Times New Roman" w:hAnsi="Times New Roman" w:cs="Times New Roman"/>
          <w:bCs/>
          <w:sz w:val="24"/>
          <w:szCs w:val="24"/>
        </w:rPr>
      </w:pPr>
      <w:r>
        <w:rPr>
          <w:rFonts w:ascii="Times New Roman" w:eastAsia="Times New Roman" w:hAnsi="Times New Roman" w:cs="Times New Roman"/>
          <w:bCs/>
          <w:sz w:val="24"/>
          <w:szCs w:val="24"/>
        </w:rPr>
        <w:t>Таблица 1</w:t>
      </w:r>
    </w:p>
    <w:tbl>
      <w:tblPr>
        <w:tblStyle w:val="ae"/>
        <w:tblW w:w="0" w:type="auto"/>
        <w:jc w:val="center"/>
        <w:tblLook w:val="04A0" w:firstRow="1" w:lastRow="0" w:firstColumn="1" w:lastColumn="0" w:noHBand="0" w:noVBand="1"/>
      </w:tblPr>
      <w:tblGrid>
        <w:gridCol w:w="4672"/>
        <w:gridCol w:w="4673"/>
      </w:tblGrid>
      <w:tr w:rsidR="00D602D4">
        <w:trPr>
          <w:jc w:val="center"/>
        </w:trPr>
        <w:tc>
          <w:tcPr>
            <w:tcW w:w="9345" w:type="dxa"/>
            <w:gridSpan w:val="2"/>
          </w:tcPr>
          <w:p w:rsidR="00D602D4" w:rsidRDefault="000B4C86">
            <w:pPr>
              <w:jc w:val="center"/>
              <w:rPr>
                <w:rFonts w:ascii="Times New Roman" w:hAnsi="Times New Roman" w:cs="Times New Roman"/>
              </w:rPr>
            </w:pPr>
            <w:r>
              <w:rPr>
                <w:rFonts w:ascii="Times New Roman" w:eastAsia="Times New Roman" w:hAnsi="Times New Roman" w:cs="Times New Roman"/>
                <w:b/>
              </w:rPr>
              <w:t>Сведения о ПАО «Россети Сибирь»</w:t>
            </w:r>
          </w:p>
        </w:tc>
      </w:tr>
      <w:tr w:rsidR="00D602D4">
        <w:trPr>
          <w:jc w:val="center"/>
        </w:trPr>
        <w:tc>
          <w:tcPr>
            <w:tcW w:w="4672"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Место нахождения эмитента</w:t>
            </w:r>
          </w:p>
        </w:tc>
        <w:tc>
          <w:tcPr>
            <w:tcW w:w="4673"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 xml:space="preserve"> г. Красноярск</w:t>
            </w:r>
          </w:p>
        </w:tc>
      </w:tr>
      <w:tr w:rsidR="00D602D4">
        <w:trPr>
          <w:jc w:val="center"/>
        </w:trPr>
        <w:tc>
          <w:tcPr>
            <w:tcW w:w="4672"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Почтовый адрес</w:t>
            </w:r>
          </w:p>
        </w:tc>
        <w:tc>
          <w:tcPr>
            <w:tcW w:w="4673"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Российская Федерация, 660021, г. Красноярск, ул. Бограда, д. 144а</w:t>
            </w:r>
          </w:p>
        </w:tc>
      </w:tr>
      <w:tr w:rsidR="00D602D4">
        <w:trPr>
          <w:jc w:val="center"/>
        </w:trPr>
        <w:tc>
          <w:tcPr>
            <w:tcW w:w="4672"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Номер и дата выдачи свидетельства о государственной регистрации в качестве юридического лица</w:t>
            </w:r>
          </w:p>
        </w:tc>
        <w:tc>
          <w:tcPr>
            <w:tcW w:w="4673"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Свидетельство о государственной регистрации юридического лица серия 24 № 00253808 от 04.07.2005. Государственный регистрационный номер 1052460054327</w:t>
            </w:r>
          </w:p>
        </w:tc>
      </w:tr>
      <w:tr w:rsidR="00D602D4">
        <w:trPr>
          <w:jc w:val="center"/>
        </w:trPr>
        <w:tc>
          <w:tcPr>
            <w:tcW w:w="4672"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Номер телефона</w:t>
            </w:r>
          </w:p>
        </w:tc>
        <w:tc>
          <w:tcPr>
            <w:tcW w:w="4673"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(391) 274-41-74</w:t>
            </w:r>
          </w:p>
        </w:tc>
      </w:tr>
      <w:tr w:rsidR="00D602D4">
        <w:trPr>
          <w:jc w:val="center"/>
        </w:trPr>
        <w:tc>
          <w:tcPr>
            <w:tcW w:w="4672"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Номер факса</w:t>
            </w:r>
          </w:p>
        </w:tc>
        <w:tc>
          <w:tcPr>
            <w:tcW w:w="4673"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(391) 274-41-25</w:t>
            </w:r>
          </w:p>
        </w:tc>
      </w:tr>
      <w:tr w:rsidR="00D602D4">
        <w:trPr>
          <w:jc w:val="center"/>
        </w:trPr>
        <w:tc>
          <w:tcPr>
            <w:tcW w:w="4672"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Адрес электронной почты</w:t>
            </w:r>
          </w:p>
        </w:tc>
        <w:tc>
          <w:tcPr>
            <w:tcW w:w="4673" w:type="dxa"/>
          </w:tcPr>
          <w:p w:rsidR="00D602D4" w:rsidRDefault="00CA6697">
            <w:pPr>
              <w:widowControl w:val="0"/>
              <w:jc w:val="both"/>
              <w:rPr>
                <w:rFonts w:ascii="Times New Roman" w:hAnsi="Times New Roman" w:cs="Times New Roman"/>
              </w:rPr>
            </w:pPr>
            <w:hyperlink r:id="rId8" w:tooltip="mailto:info@rosseti-sib.ru" w:history="1">
              <w:r w:rsidR="000B4C86">
                <w:rPr>
                  <w:rFonts w:ascii="Times New Roman" w:eastAsia="Times New Roman" w:hAnsi="Times New Roman" w:cs="Times New Roman"/>
                </w:rPr>
                <w:t>info@rosseti-sib.ru</w:t>
              </w:r>
            </w:hyperlink>
          </w:p>
        </w:tc>
      </w:tr>
      <w:tr w:rsidR="00D602D4">
        <w:trPr>
          <w:jc w:val="center"/>
        </w:trPr>
        <w:tc>
          <w:tcPr>
            <w:tcW w:w="4672"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 xml:space="preserve">Адрес страницы в сети интернет, на которой доступна информация об эмитенте, выпущенных и/или выпускаемых им ценных </w:t>
            </w:r>
            <w:r>
              <w:rPr>
                <w:rFonts w:ascii="Times New Roman" w:eastAsia="Times New Roman" w:hAnsi="Times New Roman" w:cs="Times New Roman"/>
              </w:rPr>
              <w:lastRenderedPageBreak/>
              <w:t>бумагах</w:t>
            </w:r>
          </w:p>
        </w:tc>
        <w:tc>
          <w:tcPr>
            <w:tcW w:w="4673" w:type="dxa"/>
          </w:tcPr>
          <w:p w:rsidR="00D602D4" w:rsidRDefault="00CA6697">
            <w:pPr>
              <w:widowControl w:val="0"/>
              <w:jc w:val="both"/>
              <w:rPr>
                <w:rFonts w:ascii="Times New Roman" w:hAnsi="Times New Roman" w:cs="Times New Roman"/>
              </w:rPr>
            </w:pPr>
            <w:hyperlink r:id="rId9" w:tooltip="https://rosseti-sib.ru/" w:history="1">
              <w:r w:rsidR="000B4C86">
                <w:rPr>
                  <w:rFonts w:ascii="Times New Roman" w:eastAsia="Times New Roman" w:hAnsi="Times New Roman" w:cs="Times New Roman"/>
                </w:rPr>
                <w:t>www.rosseti-sib.ru</w:t>
              </w:r>
            </w:hyperlink>
            <w:r w:rsidR="000B4C86">
              <w:rPr>
                <w:rFonts w:ascii="Times New Roman" w:eastAsia="Times New Roman" w:hAnsi="Times New Roman" w:cs="Times New Roman"/>
              </w:rPr>
              <w:t xml:space="preserve">   </w:t>
            </w:r>
          </w:p>
          <w:p w:rsidR="00D602D4" w:rsidRDefault="00D602D4">
            <w:pPr>
              <w:widowControl w:val="0"/>
              <w:jc w:val="both"/>
              <w:rPr>
                <w:rFonts w:ascii="Times New Roman" w:hAnsi="Times New Roman" w:cs="Times New Roman"/>
              </w:rPr>
            </w:pPr>
          </w:p>
          <w:p w:rsidR="00D602D4" w:rsidRDefault="00CA6697">
            <w:pPr>
              <w:widowControl w:val="0"/>
              <w:jc w:val="both"/>
              <w:rPr>
                <w:rFonts w:ascii="Times New Roman" w:hAnsi="Times New Roman" w:cs="Times New Roman"/>
              </w:rPr>
            </w:pPr>
            <w:hyperlink r:id="rId10" w:tooltip="http://www.e-disclosure.ru/portal/company.aspx?id=12072" w:history="1">
              <w:r w:rsidR="000B4C86">
                <w:rPr>
                  <w:rFonts w:ascii="Times New Roman" w:eastAsia="Times New Roman" w:hAnsi="Times New Roman" w:cs="Times New Roman"/>
                </w:rPr>
                <w:t>http://www.e-</w:t>
              </w:r>
              <w:r w:rsidR="000B4C86">
                <w:rPr>
                  <w:rFonts w:ascii="Times New Roman" w:eastAsia="Times New Roman" w:hAnsi="Times New Roman" w:cs="Times New Roman"/>
                </w:rPr>
                <w:lastRenderedPageBreak/>
                <w:t>disclosure.ru/portal/company.aspx?id=12072</w:t>
              </w:r>
            </w:hyperlink>
            <w:r w:rsidR="000B4C86">
              <w:rPr>
                <w:rFonts w:ascii="Times New Roman" w:eastAsia="Times New Roman" w:hAnsi="Times New Roman" w:cs="Times New Roman"/>
                <w:b/>
                <w:bCs/>
              </w:rPr>
              <w:t xml:space="preserve"> </w:t>
            </w:r>
          </w:p>
        </w:tc>
      </w:tr>
      <w:tr w:rsidR="00D602D4">
        <w:trPr>
          <w:jc w:val="center"/>
        </w:trPr>
        <w:tc>
          <w:tcPr>
            <w:tcW w:w="4672"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lastRenderedPageBreak/>
              <w:t>Форум по вопросам повестки дня Общего собрания акционеров</w:t>
            </w:r>
          </w:p>
        </w:tc>
        <w:tc>
          <w:tcPr>
            <w:tcW w:w="4673"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https://forum.rosseti-sib.ru/</w:t>
            </w:r>
          </w:p>
        </w:tc>
      </w:tr>
      <w:tr w:rsidR="00D602D4">
        <w:trPr>
          <w:jc w:val="center"/>
        </w:trPr>
        <w:tc>
          <w:tcPr>
            <w:tcW w:w="4672" w:type="dxa"/>
            <w:vMerge w:val="restart"/>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Данные специального подразделения эмитента по работе с акционерами и инвесторами эмитента</w:t>
            </w:r>
          </w:p>
        </w:tc>
        <w:tc>
          <w:tcPr>
            <w:tcW w:w="4673"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Департамент корпоративного управления и взаимодействия с акционерами ПАО «Россети Сибирь»</w:t>
            </w:r>
          </w:p>
        </w:tc>
      </w:tr>
      <w:tr w:rsidR="00D602D4">
        <w:trPr>
          <w:jc w:val="center"/>
        </w:trPr>
        <w:tc>
          <w:tcPr>
            <w:tcW w:w="4672" w:type="dxa"/>
            <w:vMerge/>
          </w:tcPr>
          <w:p w:rsidR="00D602D4" w:rsidRDefault="00D602D4">
            <w:pPr>
              <w:widowControl w:val="0"/>
              <w:jc w:val="both"/>
              <w:rPr>
                <w:rFonts w:ascii="Times New Roman" w:eastAsia="Times New Roman" w:hAnsi="Times New Roman" w:cs="Times New Roman"/>
              </w:rPr>
            </w:pPr>
          </w:p>
        </w:tc>
        <w:tc>
          <w:tcPr>
            <w:tcW w:w="4673"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Тел. (391) 274-41-70</w:t>
            </w:r>
          </w:p>
          <w:p w:rsidR="00D602D4" w:rsidRDefault="000B4C86">
            <w:pPr>
              <w:widowControl w:val="0"/>
              <w:jc w:val="both"/>
              <w:rPr>
                <w:rFonts w:ascii="Times New Roman" w:hAnsi="Times New Roman" w:cs="Times New Roman"/>
              </w:rPr>
            </w:pPr>
            <w:r>
              <w:rPr>
                <w:rFonts w:ascii="Times New Roman" w:eastAsia="Times New Roman" w:hAnsi="Times New Roman" w:cs="Times New Roman"/>
              </w:rPr>
              <w:t>Факс (391) 274-41-25</w:t>
            </w:r>
          </w:p>
          <w:p w:rsidR="00D602D4" w:rsidRDefault="000B4C86">
            <w:pPr>
              <w:widowControl w:val="0"/>
              <w:jc w:val="both"/>
              <w:rPr>
                <w:rFonts w:ascii="Times New Roman" w:hAnsi="Times New Roman" w:cs="Times New Roman"/>
              </w:rPr>
            </w:pPr>
            <w:r>
              <w:rPr>
                <w:rFonts w:ascii="Times New Roman" w:eastAsia="Times New Roman" w:hAnsi="Times New Roman" w:cs="Times New Roman"/>
              </w:rPr>
              <w:t xml:space="preserve">Адрес электронной почты: </w:t>
            </w:r>
            <w:hyperlink r:id="rId11" w:tooltip="mailto:ir@rosseti-sib.ru" w:history="1">
              <w:r>
                <w:rPr>
                  <w:rFonts w:ascii="Times New Roman" w:eastAsia="Times New Roman" w:hAnsi="Times New Roman" w:cs="Times New Roman"/>
                </w:rPr>
                <w:t>ir@rosseti-sib.ru</w:t>
              </w:r>
            </w:hyperlink>
          </w:p>
        </w:tc>
      </w:tr>
      <w:tr w:rsidR="00D602D4">
        <w:trPr>
          <w:jc w:val="center"/>
        </w:trPr>
        <w:tc>
          <w:tcPr>
            <w:tcW w:w="4672" w:type="dxa"/>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Специальный телефонный канал (горячая линия) для связи с акционерами</w:t>
            </w:r>
          </w:p>
        </w:tc>
        <w:tc>
          <w:tcPr>
            <w:tcW w:w="4673" w:type="dxa"/>
          </w:tcPr>
          <w:p w:rsidR="00D602D4" w:rsidRDefault="000B4C86">
            <w:pPr>
              <w:rPr>
                <w:rFonts w:ascii="Times New Roman" w:hAnsi="Times New Roman" w:cs="Times New Roman"/>
              </w:rPr>
            </w:pPr>
            <w:r>
              <w:rPr>
                <w:rFonts w:ascii="Times New Roman" w:eastAsia="Times New Roman" w:hAnsi="Times New Roman" w:cs="Times New Roman"/>
              </w:rPr>
              <w:t>(391) 257-98-98</w:t>
            </w:r>
          </w:p>
        </w:tc>
      </w:tr>
      <w:tr w:rsidR="00D602D4">
        <w:trPr>
          <w:jc w:val="center"/>
        </w:trPr>
        <w:tc>
          <w:tcPr>
            <w:tcW w:w="9345" w:type="dxa"/>
            <w:gridSpan w:val="2"/>
          </w:tcPr>
          <w:p w:rsidR="00D602D4" w:rsidRDefault="000B4C86">
            <w:pPr>
              <w:jc w:val="center"/>
              <w:rPr>
                <w:rFonts w:ascii="Times New Roman" w:hAnsi="Times New Roman" w:cs="Times New Roman"/>
              </w:rPr>
            </w:pPr>
            <w:r>
              <w:rPr>
                <w:rFonts w:ascii="Times New Roman" w:eastAsia="Times New Roman" w:hAnsi="Times New Roman" w:cs="Times New Roman"/>
                <w:b/>
              </w:rPr>
              <w:t>Сведения о Регистраторе</w:t>
            </w:r>
          </w:p>
        </w:tc>
      </w:tr>
      <w:tr w:rsidR="00D602D4">
        <w:trPr>
          <w:jc w:val="center"/>
        </w:trPr>
        <w:tc>
          <w:tcPr>
            <w:tcW w:w="4672"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Полное наименование</w:t>
            </w:r>
          </w:p>
        </w:tc>
        <w:tc>
          <w:tcPr>
            <w:tcW w:w="4673"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 xml:space="preserve">Акционерное общество «Регистраторское общество «СТАТУС» </w:t>
            </w:r>
          </w:p>
        </w:tc>
      </w:tr>
      <w:tr w:rsidR="00D602D4">
        <w:trPr>
          <w:jc w:val="center"/>
        </w:trPr>
        <w:tc>
          <w:tcPr>
            <w:tcW w:w="4672"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 xml:space="preserve">Юридический и </w:t>
            </w:r>
          </w:p>
          <w:p w:rsidR="00D602D4" w:rsidRDefault="000B4C86">
            <w:pPr>
              <w:widowControl w:val="0"/>
              <w:jc w:val="both"/>
              <w:rPr>
                <w:rFonts w:ascii="Times New Roman" w:hAnsi="Times New Roman" w:cs="Times New Roman"/>
              </w:rPr>
            </w:pPr>
            <w:r>
              <w:rPr>
                <w:rFonts w:ascii="Times New Roman" w:eastAsia="Times New Roman" w:hAnsi="Times New Roman" w:cs="Times New Roman"/>
              </w:rPr>
              <w:t>почтовый адрес</w:t>
            </w:r>
          </w:p>
        </w:tc>
        <w:tc>
          <w:tcPr>
            <w:tcW w:w="4673"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bCs/>
              </w:rPr>
              <w:t>109052, Москва, ул. Новохохловская, д.23, стр.1, помещение 1</w:t>
            </w:r>
          </w:p>
        </w:tc>
      </w:tr>
      <w:tr w:rsidR="00D602D4">
        <w:trPr>
          <w:jc w:val="center"/>
        </w:trPr>
        <w:tc>
          <w:tcPr>
            <w:tcW w:w="4672"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Телефон, факс:</w:t>
            </w:r>
          </w:p>
        </w:tc>
        <w:tc>
          <w:tcPr>
            <w:tcW w:w="4673"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тел. (495) 974-83-50, факс (495) 678-71-10</w:t>
            </w:r>
          </w:p>
        </w:tc>
      </w:tr>
      <w:tr w:rsidR="00D602D4">
        <w:trPr>
          <w:jc w:val="center"/>
        </w:trPr>
        <w:tc>
          <w:tcPr>
            <w:tcW w:w="4672"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 xml:space="preserve">E-mail: </w:t>
            </w:r>
          </w:p>
        </w:tc>
        <w:tc>
          <w:tcPr>
            <w:tcW w:w="4673"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 xml:space="preserve">office@rostatus.ru </w:t>
            </w:r>
          </w:p>
        </w:tc>
      </w:tr>
      <w:tr w:rsidR="00D602D4">
        <w:trPr>
          <w:jc w:val="center"/>
        </w:trPr>
        <w:tc>
          <w:tcPr>
            <w:tcW w:w="4672"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Страница в интернете:</w:t>
            </w:r>
          </w:p>
        </w:tc>
        <w:tc>
          <w:tcPr>
            <w:tcW w:w="4673"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 xml:space="preserve">www.rostatus.ru </w:t>
            </w:r>
          </w:p>
        </w:tc>
      </w:tr>
      <w:tr w:rsidR="00D602D4">
        <w:trPr>
          <w:jc w:val="center"/>
        </w:trPr>
        <w:tc>
          <w:tcPr>
            <w:tcW w:w="4672"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Лицензия:</w:t>
            </w:r>
          </w:p>
        </w:tc>
        <w:tc>
          <w:tcPr>
            <w:tcW w:w="4673" w:type="dxa"/>
            <w:vAlign w:val="center"/>
          </w:tcPr>
          <w:p w:rsidR="00D602D4" w:rsidRDefault="000B4C86">
            <w:pPr>
              <w:widowControl w:val="0"/>
              <w:jc w:val="both"/>
              <w:rPr>
                <w:rFonts w:ascii="Times New Roman" w:hAnsi="Times New Roman" w:cs="Times New Roman"/>
              </w:rPr>
            </w:pPr>
            <w:r>
              <w:rPr>
                <w:rFonts w:ascii="Times New Roman" w:eastAsia="Times New Roman" w:hAnsi="Times New Roman" w:cs="Times New Roman"/>
              </w:rPr>
              <w:t>Выдана ФКЦБ России 12.03.2004 № 10-000-1-00304 без ограничения срока действия.</w:t>
            </w:r>
          </w:p>
        </w:tc>
      </w:tr>
    </w:tbl>
    <w:p w:rsidR="00D602D4" w:rsidRDefault="00D602D4">
      <w:pPr>
        <w:spacing w:after="0" w:line="240" w:lineRule="auto"/>
        <w:jc w:val="both"/>
        <w:rPr>
          <w:rFonts w:ascii="Times New Roman" w:hAnsi="Times New Roman" w:cs="Times New Roman"/>
          <w:b/>
          <w:sz w:val="24"/>
          <w:szCs w:val="24"/>
        </w:rPr>
      </w:pPr>
    </w:p>
    <w:p w:rsidR="00D602D4" w:rsidRDefault="000B4C86">
      <w:pPr>
        <w:pStyle w:val="220"/>
        <w:spacing w:after="0"/>
        <w:ind w:left="0" w:firstLine="709"/>
        <w:outlineLvl w:val="9"/>
        <w:rPr>
          <w:b w:val="0"/>
          <w:sz w:val="24"/>
          <w:szCs w:val="24"/>
        </w:rPr>
      </w:pPr>
      <w:r>
        <w:rPr>
          <w:b w:val="0"/>
          <w:sz w:val="24"/>
          <w:szCs w:val="24"/>
        </w:rPr>
        <w:t>ПАО «Россети Сибирь» включает себя:</w:t>
      </w:r>
    </w:p>
    <w:p w:rsidR="00D602D4" w:rsidRDefault="000B4C86">
      <w:pPr>
        <w:pStyle w:val="a1"/>
        <w:numPr>
          <w:ilvl w:val="0"/>
          <w:numId w:val="32"/>
        </w:numPr>
        <w:spacing w:after="0"/>
        <w:ind w:left="0" w:firstLine="709"/>
        <w:jc w:val="left"/>
        <w:outlineLvl w:val="9"/>
        <w:rPr>
          <w:b w:val="0"/>
          <w:bCs w:val="0"/>
          <w:sz w:val="24"/>
          <w:szCs w:val="24"/>
        </w:rPr>
      </w:pPr>
      <w:r>
        <w:rPr>
          <w:b w:val="0"/>
          <w:bCs w:val="0"/>
          <w:sz w:val="24"/>
          <w:szCs w:val="24"/>
        </w:rPr>
        <w:t>Исполнительный аппарат;</w:t>
      </w:r>
    </w:p>
    <w:p w:rsidR="00D602D4" w:rsidRDefault="000B4C86">
      <w:pPr>
        <w:pStyle w:val="a1"/>
        <w:numPr>
          <w:ilvl w:val="0"/>
          <w:numId w:val="32"/>
        </w:numPr>
        <w:spacing w:after="0"/>
        <w:ind w:left="0" w:firstLine="709"/>
        <w:jc w:val="both"/>
        <w:outlineLvl w:val="9"/>
        <w:rPr>
          <w:b w:val="0"/>
          <w:bCs w:val="0"/>
          <w:sz w:val="24"/>
          <w:szCs w:val="24"/>
        </w:rPr>
      </w:pPr>
      <w:r>
        <w:rPr>
          <w:b w:val="0"/>
          <w:bCs w:val="0"/>
          <w:sz w:val="24"/>
          <w:szCs w:val="24"/>
        </w:rPr>
        <w:t>Филиал ПАО «Россети Сибирь» - «Алтайэнерго»;</w:t>
      </w:r>
    </w:p>
    <w:p w:rsidR="00D602D4" w:rsidRDefault="000B4C86">
      <w:pPr>
        <w:pStyle w:val="a1"/>
        <w:numPr>
          <w:ilvl w:val="0"/>
          <w:numId w:val="32"/>
        </w:numPr>
        <w:spacing w:after="0"/>
        <w:ind w:left="0" w:firstLine="709"/>
        <w:jc w:val="left"/>
        <w:outlineLvl w:val="9"/>
        <w:rPr>
          <w:b w:val="0"/>
          <w:bCs w:val="0"/>
          <w:sz w:val="24"/>
          <w:szCs w:val="24"/>
        </w:rPr>
      </w:pPr>
      <w:r>
        <w:rPr>
          <w:b w:val="0"/>
          <w:bCs w:val="0"/>
          <w:sz w:val="24"/>
          <w:szCs w:val="24"/>
        </w:rPr>
        <w:t>Филиал ПАО «Россети Сибирь» - «Бурятэнерго»;</w:t>
      </w:r>
    </w:p>
    <w:p w:rsidR="00D602D4" w:rsidRDefault="000B4C86">
      <w:pPr>
        <w:pStyle w:val="a1"/>
        <w:numPr>
          <w:ilvl w:val="0"/>
          <w:numId w:val="32"/>
        </w:numPr>
        <w:spacing w:after="0"/>
        <w:ind w:left="0" w:firstLine="709"/>
        <w:jc w:val="left"/>
        <w:outlineLvl w:val="9"/>
        <w:rPr>
          <w:b w:val="0"/>
          <w:bCs w:val="0"/>
          <w:sz w:val="24"/>
          <w:szCs w:val="24"/>
        </w:rPr>
      </w:pPr>
      <w:r>
        <w:rPr>
          <w:b w:val="0"/>
          <w:bCs w:val="0"/>
          <w:sz w:val="24"/>
          <w:szCs w:val="24"/>
        </w:rPr>
        <w:t>Филиал ПАО «Россети Сибирь» - «Красноярскэнерго»;</w:t>
      </w:r>
    </w:p>
    <w:p w:rsidR="00D602D4" w:rsidRDefault="000B4C86">
      <w:pPr>
        <w:pStyle w:val="a1"/>
        <w:numPr>
          <w:ilvl w:val="0"/>
          <w:numId w:val="32"/>
        </w:numPr>
        <w:spacing w:after="0"/>
        <w:ind w:left="0" w:firstLine="709"/>
        <w:jc w:val="left"/>
        <w:outlineLvl w:val="9"/>
        <w:rPr>
          <w:b w:val="0"/>
          <w:bCs w:val="0"/>
          <w:sz w:val="24"/>
          <w:szCs w:val="24"/>
        </w:rPr>
      </w:pPr>
      <w:r>
        <w:rPr>
          <w:b w:val="0"/>
          <w:bCs w:val="0"/>
          <w:sz w:val="24"/>
          <w:szCs w:val="24"/>
        </w:rPr>
        <w:t>Филиал ПАО «Россети Сибирь» - «Кузбассэнерго-РЭС»;</w:t>
      </w:r>
    </w:p>
    <w:p w:rsidR="00D602D4" w:rsidRDefault="000B4C86">
      <w:pPr>
        <w:pStyle w:val="a1"/>
        <w:numPr>
          <w:ilvl w:val="0"/>
          <w:numId w:val="32"/>
        </w:numPr>
        <w:spacing w:after="0"/>
        <w:ind w:left="0" w:firstLine="709"/>
        <w:jc w:val="left"/>
        <w:outlineLvl w:val="9"/>
        <w:rPr>
          <w:b w:val="0"/>
          <w:bCs w:val="0"/>
          <w:sz w:val="24"/>
          <w:szCs w:val="24"/>
        </w:rPr>
      </w:pPr>
      <w:r>
        <w:rPr>
          <w:b w:val="0"/>
          <w:bCs w:val="0"/>
          <w:sz w:val="24"/>
          <w:szCs w:val="24"/>
        </w:rPr>
        <w:t>Филиал ПАО «Россети Сибирь» - «Омскэнерго»;</w:t>
      </w:r>
    </w:p>
    <w:p w:rsidR="00D602D4" w:rsidRDefault="000B4C86">
      <w:pPr>
        <w:pStyle w:val="a1"/>
        <w:numPr>
          <w:ilvl w:val="0"/>
          <w:numId w:val="32"/>
        </w:numPr>
        <w:spacing w:after="0"/>
        <w:ind w:left="0" w:firstLine="709"/>
        <w:jc w:val="left"/>
        <w:outlineLvl w:val="9"/>
        <w:rPr>
          <w:b w:val="0"/>
          <w:bCs w:val="0"/>
          <w:sz w:val="24"/>
          <w:szCs w:val="24"/>
        </w:rPr>
      </w:pPr>
      <w:r>
        <w:rPr>
          <w:b w:val="0"/>
          <w:bCs w:val="0"/>
          <w:sz w:val="24"/>
          <w:szCs w:val="24"/>
        </w:rPr>
        <w:t>Филиал ПАО «Россети Сибирь» - «Хакасэнерго»;</w:t>
      </w:r>
    </w:p>
    <w:p w:rsidR="00D602D4" w:rsidRDefault="000B4C86">
      <w:pPr>
        <w:pStyle w:val="a1"/>
        <w:numPr>
          <w:ilvl w:val="0"/>
          <w:numId w:val="32"/>
        </w:numPr>
        <w:spacing w:after="0"/>
        <w:ind w:left="0" w:firstLine="709"/>
        <w:jc w:val="left"/>
        <w:outlineLvl w:val="9"/>
        <w:rPr>
          <w:b w:val="0"/>
          <w:bCs w:val="0"/>
          <w:sz w:val="24"/>
          <w:szCs w:val="24"/>
        </w:rPr>
      </w:pPr>
      <w:r>
        <w:rPr>
          <w:b w:val="0"/>
          <w:bCs w:val="0"/>
          <w:sz w:val="24"/>
          <w:szCs w:val="24"/>
        </w:rPr>
        <w:t>Филиал ПАО «Россети Сибирь» - «Читаэнерго»;</w:t>
      </w:r>
    </w:p>
    <w:p w:rsidR="00D602D4" w:rsidRDefault="000B4C86">
      <w:pPr>
        <w:pStyle w:val="a1"/>
        <w:numPr>
          <w:ilvl w:val="0"/>
          <w:numId w:val="32"/>
        </w:numPr>
        <w:spacing w:after="0"/>
        <w:ind w:left="0" w:firstLine="709"/>
        <w:jc w:val="left"/>
        <w:outlineLvl w:val="9"/>
        <w:rPr>
          <w:b w:val="0"/>
          <w:bCs w:val="0"/>
          <w:sz w:val="24"/>
          <w:szCs w:val="24"/>
        </w:rPr>
      </w:pPr>
      <w:r>
        <w:rPr>
          <w:b w:val="0"/>
          <w:bCs w:val="0"/>
          <w:color w:val="000000"/>
          <w:sz w:val="24"/>
          <w:szCs w:val="24"/>
        </w:rPr>
        <w:t>Представительство в г. Москва.</w:t>
      </w:r>
    </w:p>
    <w:p w:rsidR="00D602D4" w:rsidRDefault="00D602D4">
      <w:pPr>
        <w:pStyle w:val="a1"/>
        <w:numPr>
          <w:ilvl w:val="0"/>
          <w:numId w:val="0"/>
        </w:numPr>
        <w:spacing w:after="0"/>
        <w:ind w:left="709"/>
        <w:jc w:val="left"/>
        <w:outlineLvl w:val="9"/>
        <w:rPr>
          <w:b w:val="0"/>
          <w:bCs w:val="0"/>
          <w:sz w:val="24"/>
          <w:szCs w:val="24"/>
        </w:rPr>
      </w:pPr>
    </w:p>
    <w:p w:rsidR="00D602D4" w:rsidRDefault="00D602D4">
      <w:pPr>
        <w:widowControl w:val="0"/>
        <w:spacing w:after="0" w:line="240" w:lineRule="auto"/>
        <w:ind w:firstLine="709"/>
        <w:jc w:val="both"/>
        <w:rPr>
          <w:rFonts w:ascii="Times New Roman" w:hAnsi="Times New Roman" w:cs="Times New Roman"/>
          <w:color w:val="000000"/>
          <w:sz w:val="24"/>
          <w:szCs w:val="24"/>
        </w:rPr>
      </w:pPr>
    </w:p>
    <w:p w:rsidR="00D602D4" w:rsidRDefault="000B4C86">
      <w:pPr>
        <w:widowControl w:val="0"/>
        <w:spacing w:after="0" w:line="240" w:lineRule="auto"/>
        <w:ind w:firstLine="709"/>
        <w:jc w:val="both"/>
        <w:rPr>
          <w:rFonts w:ascii="Times New Roman" w:hAnsi="Times New Roman" w:cs="Times New Roman"/>
          <w:bCs/>
          <w:color w:val="000000"/>
          <w:sz w:val="24"/>
          <w:szCs w:val="24"/>
        </w:rPr>
      </w:pPr>
      <w:r>
        <w:rPr>
          <w:rFonts w:ascii="Times New Roman" w:eastAsia="Times New Roman" w:hAnsi="Times New Roman" w:cs="Times New Roman"/>
          <w:bCs/>
          <w:color w:val="000000"/>
          <w:sz w:val="24"/>
          <w:szCs w:val="24"/>
        </w:rPr>
        <w:t>Компании, в которых ПАО «Россети Сибирь» выполняет функции единоличного исполнительного органа (Генерального директора):</w:t>
      </w:r>
    </w:p>
    <w:p w:rsidR="00D602D4" w:rsidRDefault="000B4C86">
      <w:pPr>
        <w:pStyle w:val="ac"/>
        <w:widowControl w:val="0"/>
        <w:numPr>
          <w:ilvl w:val="0"/>
          <w:numId w:val="14"/>
        </w:numPr>
        <w:tabs>
          <w:tab w:val="left" w:pos="993"/>
        </w:tabs>
        <w:spacing w:after="0" w:line="240" w:lineRule="auto"/>
        <w:ind w:left="0" w:firstLine="709"/>
        <w:jc w:val="both"/>
        <w:rPr>
          <w:rFonts w:ascii="Times New Roman" w:hAnsi="Times New Roman" w:cs="Times New Roman"/>
          <w:color w:val="000000"/>
          <w:sz w:val="24"/>
          <w:szCs w:val="24"/>
        </w:rPr>
      </w:pPr>
      <w:r>
        <w:rPr>
          <w:rFonts w:ascii="Times New Roman" w:eastAsia="Times New Roman" w:hAnsi="Times New Roman" w:cs="Times New Roman"/>
          <w:color w:val="000000"/>
          <w:sz w:val="24"/>
          <w:szCs w:val="24"/>
        </w:rPr>
        <w:t>АО «Россети Сибирь Тываэнерго».</w:t>
      </w:r>
    </w:p>
    <w:p w:rsidR="00D602D4" w:rsidRDefault="00D602D4">
      <w:pPr>
        <w:widowControl w:val="0"/>
        <w:spacing w:after="0" w:line="240" w:lineRule="auto"/>
        <w:ind w:firstLine="709"/>
        <w:jc w:val="both"/>
        <w:rPr>
          <w:rFonts w:ascii="Times New Roman" w:hAnsi="Times New Roman" w:cs="Times New Roman"/>
          <w:color w:val="000000"/>
          <w:sz w:val="24"/>
          <w:szCs w:val="24"/>
        </w:rPr>
      </w:pPr>
    </w:p>
    <w:p w:rsidR="00D602D4" w:rsidRDefault="000B4C86">
      <w:pPr>
        <w:widowControl w:val="0"/>
        <w:spacing w:after="0" w:line="240" w:lineRule="auto"/>
        <w:ind w:firstLine="709"/>
        <w:jc w:val="both"/>
        <w:rPr>
          <w:rFonts w:ascii="Times New Roman" w:hAnsi="Times New Roman" w:cs="Times New Roman"/>
          <w:bCs/>
          <w:color w:val="000000"/>
          <w:sz w:val="24"/>
          <w:szCs w:val="24"/>
        </w:rPr>
      </w:pPr>
      <w:r>
        <w:rPr>
          <w:rFonts w:ascii="Times New Roman" w:eastAsia="Times New Roman" w:hAnsi="Times New Roman" w:cs="Times New Roman"/>
          <w:bCs/>
          <w:color w:val="000000"/>
          <w:sz w:val="24"/>
          <w:szCs w:val="24"/>
        </w:rPr>
        <w:t>Дочерние общества (ДО):</w:t>
      </w:r>
    </w:p>
    <w:p w:rsidR="00D602D4" w:rsidRDefault="000B4C86">
      <w:pPr>
        <w:pStyle w:val="ac"/>
        <w:widowControl w:val="0"/>
        <w:numPr>
          <w:ilvl w:val="0"/>
          <w:numId w:val="15"/>
        </w:numPr>
        <w:tabs>
          <w:tab w:val="left" w:pos="993"/>
        </w:tabs>
        <w:spacing w:after="0" w:line="240" w:lineRule="auto"/>
        <w:ind w:left="0" w:firstLine="709"/>
        <w:jc w:val="both"/>
        <w:rPr>
          <w:rFonts w:ascii="Times New Roman" w:hAnsi="Times New Roman" w:cs="Times New Roman"/>
          <w:color w:val="000000"/>
          <w:sz w:val="24"/>
          <w:szCs w:val="24"/>
        </w:rPr>
      </w:pPr>
      <w:r>
        <w:rPr>
          <w:rFonts w:ascii="Times New Roman" w:eastAsia="Times New Roman" w:hAnsi="Times New Roman" w:cs="Times New Roman"/>
          <w:color w:val="000000"/>
          <w:sz w:val="24"/>
          <w:szCs w:val="24"/>
        </w:rPr>
        <w:t>АО «Соцсфера»;</w:t>
      </w:r>
    </w:p>
    <w:p w:rsidR="00D602D4" w:rsidRDefault="000B4C86">
      <w:pPr>
        <w:pStyle w:val="ac"/>
        <w:widowControl w:val="0"/>
        <w:numPr>
          <w:ilvl w:val="0"/>
          <w:numId w:val="15"/>
        </w:numPr>
        <w:tabs>
          <w:tab w:val="left" w:pos="993"/>
        </w:tabs>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АО «ЭСК Сибири».</w:t>
      </w: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D602D4">
      <w:pPr>
        <w:widowControl w:val="0"/>
        <w:tabs>
          <w:tab w:val="left" w:pos="993"/>
        </w:tabs>
        <w:spacing w:after="0" w:line="240" w:lineRule="auto"/>
        <w:jc w:val="both"/>
        <w:rPr>
          <w:rFonts w:ascii="Times New Roman" w:eastAsia="Times New Roman" w:hAnsi="Times New Roman" w:cs="Times New Roman"/>
          <w:color w:val="000000"/>
          <w:sz w:val="24"/>
          <w:szCs w:val="24"/>
        </w:rPr>
      </w:pPr>
    </w:p>
    <w:p w:rsidR="00D602D4" w:rsidRDefault="000B4C86">
      <w:pPr>
        <w:widowControl w:val="0"/>
        <w:tabs>
          <w:tab w:val="left" w:pos="993"/>
        </w:tabs>
        <w:spacing w:after="0" w:line="240" w:lineRule="auto"/>
        <w:jc w:val="both"/>
        <w:rPr>
          <w:rFonts w:ascii="Times New Roman" w:eastAsia="Times New Roman" w:hAnsi="Times New Roman" w:cs="Times New Roman"/>
          <w:color w:val="000000"/>
          <w:sz w:val="24"/>
          <w:szCs w:val="24"/>
        </w:rPr>
      </w:pPr>
      <w:bookmarkStart w:id="8" w:name="_Toc9"/>
      <w:r>
        <w:rPr>
          <w:rFonts w:ascii="Times New Roman" w:eastAsia="Times New Roman" w:hAnsi="Times New Roman" w:cs="Times New Roman"/>
          <w:b/>
          <w:bCs/>
          <w:color w:val="000000" w:themeColor="text1"/>
          <w:sz w:val="26"/>
          <w:szCs w:val="26"/>
        </w:rPr>
        <w:t>1</w:t>
      </w:r>
      <w:r>
        <w:rPr>
          <w:rStyle w:val="14"/>
          <w:rFonts w:ascii="Times New Roman" w:eastAsia="Times New Roman" w:hAnsi="Times New Roman" w:cs="Times New Roman"/>
          <w:b/>
          <w:bCs/>
          <w:color w:val="000000" w:themeColor="text1"/>
          <w:sz w:val="26"/>
          <w:szCs w:val="26"/>
        </w:rPr>
        <w:t>.2.2. География деятельности (карта) и основные активы</w:t>
      </w:r>
      <w:bookmarkEnd w:id="8"/>
    </w:p>
    <w:p w:rsidR="00D602D4" w:rsidRDefault="00D602D4">
      <w:pPr>
        <w:widowControl w:val="0"/>
        <w:spacing w:after="0" w:line="240" w:lineRule="auto"/>
        <w:ind w:firstLine="709"/>
        <w:jc w:val="both"/>
        <w:rPr>
          <w:rFonts w:ascii="Times New Roman" w:hAnsi="Times New Roman" w:cs="Times New Roman"/>
          <w:sz w:val="24"/>
          <w:szCs w:val="24"/>
        </w:rPr>
      </w:pP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Общество обслуживает 1,78 млн. условных единиц, 262,2 тыс. км линий электропередачи по цепям, 1,8 тыс. подстанций 35 кВ и выше трансформаторной мощностью 31,4 тыс. МВА.</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Компания обеспечивает работу промышленности, представленную крупнейшими предприятиями черной и цветной металлургии, тяжелого и точного машиностроения, горнодобывающей и транспортной отраслей.</w:t>
      </w:r>
    </w:p>
    <w:p w:rsidR="00D602D4" w:rsidRDefault="00D602D4">
      <w:pPr>
        <w:widowControl w:val="0"/>
        <w:spacing w:after="0" w:line="240" w:lineRule="auto"/>
        <w:ind w:firstLine="709"/>
        <w:jc w:val="both"/>
        <w:rPr>
          <w:rFonts w:ascii="Times New Roman" w:hAnsi="Times New Roman" w:cs="Times New Roman"/>
          <w:sz w:val="24"/>
          <w:szCs w:val="24"/>
        </w:rPr>
      </w:pPr>
    </w:p>
    <w:p w:rsidR="00D602D4" w:rsidRDefault="000B4C86">
      <w:pPr>
        <w:widowControl w:val="0"/>
        <w:spacing w:after="0" w:line="240" w:lineRule="auto"/>
        <w:jc w:val="center"/>
      </w:pPr>
      <w:r>
        <w:rPr>
          <w:noProof/>
          <w:lang w:eastAsia="ru-RU"/>
        </w:rPr>
        <w:drawing>
          <wp:inline distT="0" distB="0" distL="0" distR="0">
            <wp:extent cx="6084517" cy="707769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40340" name=""/>
                    <pic:cNvPicPr>
                      <a:picLocks noChangeAspect="1"/>
                    </pic:cNvPicPr>
                  </pic:nvPicPr>
                  <pic:blipFill>
                    <a:blip r:embed="rId12"/>
                    <a:stretch/>
                  </pic:blipFill>
                  <pic:spPr bwMode="auto">
                    <a:xfrm>
                      <a:off x="0" y="0"/>
                      <a:ext cx="6095065" cy="7089964"/>
                    </a:xfrm>
                    <a:prstGeom prst="rect">
                      <a:avLst/>
                    </a:prstGeom>
                  </pic:spPr>
                </pic:pic>
              </a:graphicData>
            </a:graphic>
          </wp:inline>
        </w:drawing>
      </w:r>
    </w:p>
    <w:p w:rsidR="00D602D4" w:rsidRDefault="000B4C86">
      <w:pPr>
        <w:widowControl w:val="0"/>
        <w:spacing w:after="0" w:line="240" w:lineRule="auto"/>
        <w:jc w:val="center"/>
      </w:pPr>
      <w:r>
        <w:rPr>
          <w:rFonts w:ascii="Times New Roman" w:hAnsi="Times New Roman" w:cs="Times New Roman"/>
          <w:sz w:val="24"/>
          <w:szCs w:val="24"/>
        </w:rPr>
        <w:t>Рис. 1. Территория обслуживания ПАО «Россети Сибирь»</w:t>
      </w:r>
      <w:r>
        <w:t xml:space="preserve"> </w:t>
      </w:r>
    </w:p>
    <w:p w:rsidR="00D602D4" w:rsidRDefault="000B4C86">
      <w:pPr>
        <w:pStyle w:val="13"/>
      </w:pPr>
      <w:bookmarkStart w:id="9" w:name="_Toc10"/>
      <w:r>
        <w:rPr>
          <w:rFonts w:ascii="Times New Roman" w:eastAsia="Times New Roman" w:hAnsi="Times New Roman" w:cs="Times New Roman"/>
          <w:b/>
          <w:color w:val="auto"/>
          <w:sz w:val="26"/>
          <w:szCs w:val="26"/>
        </w:rPr>
        <w:lastRenderedPageBreak/>
        <w:t>1.2.3. Информация о территориях функционирования компаний в субъектах Российской Федерации</w:t>
      </w:r>
      <w:bookmarkEnd w:id="9"/>
    </w:p>
    <w:p w:rsidR="00D602D4" w:rsidRDefault="00D602D4">
      <w:pPr>
        <w:widowControl w:val="0"/>
        <w:spacing w:after="0" w:line="240" w:lineRule="auto"/>
        <w:jc w:val="both"/>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ПАО «Россети Сибирь» – системообразующая электросетевая компания Сибири, лидер в сфере транспорта и распределения электроэнергии. Сети ПАО «Россети Сибирь» обслуживают потребителей на территории Сибирского и Дальневосточного федеральных округов в 8-ми субъектах Российской Федерации. Это Республики Алтай, Бурятия, Хакасия, Алтайский, Забайкальский, Красноярский края, Кемеровская и Омская области. Территория присутствия Компании превышает 1,7 млн квадратных километров, что составляет 10,5% территории Российской Федерации. Ежедневно Общество обеспечивает электроэнергией почти 13 млн человек или 8,6% численности населения России.</w:t>
      </w: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pStyle w:val="13"/>
        <w:spacing w:before="0" w:line="240" w:lineRule="auto"/>
        <w:rPr>
          <w:rFonts w:ascii="Times New Roman" w:eastAsia="Times New Roman" w:hAnsi="Times New Roman" w:cs="Times New Roman"/>
          <w:b/>
          <w:color w:val="auto"/>
          <w:sz w:val="26"/>
          <w:szCs w:val="26"/>
        </w:rPr>
        <w:sectPr w:rsidR="00D602D4">
          <w:headerReference w:type="even" r:id="rId13"/>
          <w:headerReference w:type="default" r:id="rId14"/>
          <w:footerReference w:type="default" r:id="rId15"/>
          <w:headerReference w:type="first" r:id="rId16"/>
          <w:footerReference w:type="first" r:id="rId17"/>
          <w:pgSz w:w="11906" w:h="16838"/>
          <w:pgMar w:top="-1134" w:right="849" w:bottom="1389" w:left="1276" w:header="709" w:footer="709" w:gutter="0"/>
          <w:cols w:space="708"/>
          <w:docGrid w:linePitch="360"/>
        </w:sectPr>
      </w:pPr>
      <w:bookmarkStart w:id="10" w:name="_Toc11"/>
    </w:p>
    <w:p w:rsidR="00D602D4" w:rsidRDefault="000B4C86">
      <w:pPr>
        <w:pStyle w:val="13"/>
        <w:spacing w:before="0" w:line="240" w:lineRule="auto"/>
        <w:rPr>
          <w:rFonts w:ascii="Times New Roman" w:eastAsia="Times New Roman" w:hAnsi="Times New Roman" w:cs="Times New Roman"/>
          <w:b/>
          <w:color w:val="auto"/>
          <w:sz w:val="26"/>
          <w:szCs w:val="26"/>
        </w:rPr>
      </w:pPr>
      <w:r>
        <w:rPr>
          <w:rFonts w:ascii="Times New Roman" w:eastAsia="Times New Roman" w:hAnsi="Times New Roman" w:cs="Times New Roman"/>
          <w:b/>
          <w:color w:val="auto"/>
          <w:sz w:val="26"/>
          <w:szCs w:val="26"/>
        </w:rPr>
        <w:lastRenderedPageBreak/>
        <w:t>1.2.4. Организационная структура</w:t>
      </w:r>
      <w:bookmarkEnd w:id="10"/>
    </w:p>
    <w:p w:rsidR="00D602D4" w:rsidRDefault="000B4C86">
      <w:pPr>
        <w:pStyle w:val="afff"/>
        <w:spacing w:before="0"/>
        <w:rPr>
          <w:color w:val="auto"/>
          <w:sz w:val="26"/>
          <w:szCs w:val="26"/>
        </w:rPr>
      </w:pPr>
      <w:r>
        <w:rPr>
          <w:noProof/>
        </w:rPr>
        <w:drawing>
          <wp:inline distT="0" distB="0" distL="0" distR="0">
            <wp:extent cx="9067401" cy="536776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666415" name=""/>
                    <pic:cNvPicPr>
                      <a:picLocks noChangeAspect="1"/>
                    </pic:cNvPicPr>
                  </pic:nvPicPr>
                  <pic:blipFill>
                    <a:blip r:embed="rId18"/>
                    <a:srcRect l="15690" t="16152" r="15965" b="6837"/>
                    <a:stretch/>
                  </pic:blipFill>
                  <pic:spPr bwMode="auto">
                    <a:xfrm>
                      <a:off x="0" y="0"/>
                      <a:ext cx="9067401" cy="5367765"/>
                    </a:xfrm>
                    <a:prstGeom prst="rect">
                      <a:avLst/>
                    </a:prstGeom>
                  </pic:spPr>
                </pic:pic>
              </a:graphicData>
            </a:graphic>
          </wp:inline>
        </w:drawing>
      </w:r>
    </w:p>
    <w:p w:rsidR="00D602D4" w:rsidRDefault="000B4C86">
      <w:pPr>
        <w:pStyle w:val="afff"/>
        <w:spacing w:before="0"/>
        <w:jc w:val="center"/>
        <w:rPr>
          <w:color w:val="auto"/>
          <w:sz w:val="26"/>
          <w:szCs w:val="26"/>
        </w:rPr>
      </w:pPr>
      <w:r>
        <w:rPr>
          <w:color w:val="000000" w:themeColor="text1"/>
          <w:sz w:val="24"/>
          <w:szCs w:val="24"/>
        </w:rPr>
        <w:t>Рис. 2. Организационная структура ПАО «Россети Сибирь»</w:t>
      </w:r>
      <w:r>
        <w:rPr>
          <w:color w:val="000000" w:themeColor="text1"/>
        </w:rPr>
        <w:t xml:space="preserve"> </w:t>
      </w:r>
    </w:p>
    <w:p w:rsidR="00D602D4" w:rsidRDefault="00D602D4">
      <w:pPr>
        <w:pStyle w:val="afff"/>
        <w:spacing w:before="0"/>
        <w:rPr>
          <w:color w:val="auto"/>
          <w:sz w:val="26"/>
          <w:szCs w:val="26"/>
        </w:rPr>
        <w:sectPr w:rsidR="00D602D4">
          <w:pgSz w:w="16838" w:h="11906" w:orient="landscape"/>
          <w:pgMar w:top="1276" w:right="1134" w:bottom="851" w:left="1389" w:header="709" w:footer="709" w:gutter="0"/>
          <w:cols w:space="708"/>
          <w:docGrid w:linePitch="360"/>
        </w:sectPr>
      </w:pPr>
      <w:bookmarkStart w:id="11" w:name="_Toc12"/>
      <w:bookmarkEnd w:id="11"/>
    </w:p>
    <w:p w:rsidR="00D602D4" w:rsidRDefault="000B4C86">
      <w:pPr>
        <w:pStyle w:val="afff"/>
        <w:spacing w:before="0"/>
        <w:rPr>
          <w:color w:val="auto"/>
          <w:sz w:val="26"/>
          <w:szCs w:val="26"/>
        </w:rPr>
      </w:pPr>
      <w:bookmarkStart w:id="12" w:name="_Toc13"/>
      <w:r>
        <w:rPr>
          <w:color w:val="auto"/>
          <w:sz w:val="26"/>
          <w:szCs w:val="26"/>
        </w:rPr>
        <w:lastRenderedPageBreak/>
        <w:t>1.2.5. Бизнес-модель</w:t>
      </w:r>
      <w:bookmarkEnd w:id="12"/>
    </w:p>
    <w:p w:rsidR="00D602D4" w:rsidRDefault="00D602D4">
      <w:pPr>
        <w:pStyle w:val="afff"/>
        <w:spacing w:before="0"/>
        <w:rPr>
          <w:color w:val="auto"/>
          <w:sz w:val="26"/>
          <w:szCs w:val="26"/>
        </w:rPr>
      </w:pPr>
    </w:p>
    <w:p w:rsidR="00D602D4" w:rsidRDefault="000B4C86">
      <w:pPr>
        <w:pStyle w:val="ac"/>
        <w:widowControl w:val="0"/>
        <w:spacing w:after="0" w:line="240" w:lineRule="auto"/>
        <w:ind w:left="0" w:firstLine="709"/>
        <w:jc w:val="both"/>
        <w:rPr>
          <w:rFonts w:ascii="Times New Roman" w:hAnsi="Times New Roman" w:cs="Times New Roman"/>
          <w:color w:val="000000"/>
          <w:sz w:val="24"/>
          <w:szCs w:val="24"/>
        </w:rPr>
      </w:pPr>
      <w:r>
        <w:rPr>
          <w:rFonts w:ascii="Times New Roman" w:eastAsia="Times New Roman" w:hAnsi="Times New Roman" w:cs="Times New Roman"/>
          <w:color w:val="000000"/>
          <w:sz w:val="24"/>
          <w:szCs w:val="24"/>
        </w:rPr>
        <w:t>При осуществлении операционной деятельности ПАО «Россети Сибирь» находит баланс интересов и создает ценности для всех заинтересованных сторон, способствует экономическому росту регионов присутствия и придерживается концепции устойчивого развития, обеспечивает надежное и доступное энергоснабжение потребителей.</w:t>
      </w:r>
    </w:p>
    <w:p w:rsidR="00D602D4" w:rsidRDefault="000B4C86">
      <w:pPr>
        <w:pStyle w:val="ac"/>
        <w:widowControl w:val="0"/>
        <w:spacing w:after="0" w:line="240" w:lineRule="auto"/>
        <w:ind w:left="0" w:firstLine="709"/>
        <w:jc w:val="both"/>
        <w:rPr>
          <w:rFonts w:ascii="Times New Roman" w:hAnsi="Times New Roman" w:cs="Times New Roman"/>
          <w:color w:val="000000"/>
          <w:sz w:val="24"/>
          <w:szCs w:val="24"/>
        </w:rPr>
      </w:pPr>
      <w:r>
        <w:rPr>
          <w:rFonts w:ascii="Times New Roman" w:eastAsia="Times New Roman" w:hAnsi="Times New Roman" w:cs="Times New Roman"/>
          <w:color w:val="000000"/>
          <w:sz w:val="24"/>
          <w:szCs w:val="24"/>
        </w:rPr>
        <w:t>В операционной деятельности Общество использует капиталы (ресурсы), указанные в таблице 2.</w:t>
      </w:r>
    </w:p>
    <w:p w:rsidR="00D602D4" w:rsidRDefault="000B4C86">
      <w:pPr>
        <w:pStyle w:val="ac"/>
        <w:widowControl w:val="0"/>
        <w:spacing w:after="0" w:line="240" w:lineRule="auto"/>
        <w:ind w:left="0"/>
        <w:jc w:val="right"/>
        <w:rPr>
          <w:rFonts w:ascii="Times New Roman" w:hAnsi="Times New Roman" w:cs="Times New Roman"/>
          <w:color w:val="000000"/>
          <w:sz w:val="24"/>
          <w:szCs w:val="24"/>
        </w:rPr>
      </w:pPr>
      <w:r>
        <w:rPr>
          <w:rFonts w:ascii="Times New Roman" w:eastAsia="Times New Roman" w:hAnsi="Times New Roman" w:cs="Times New Roman"/>
          <w:color w:val="000000"/>
          <w:sz w:val="24"/>
          <w:szCs w:val="24"/>
        </w:rPr>
        <w:t>Таблица 2</w:t>
      </w:r>
    </w:p>
    <w:p w:rsidR="00D602D4" w:rsidRDefault="000B4C86">
      <w:pPr>
        <w:pStyle w:val="ac"/>
        <w:widowControl w:val="0"/>
        <w:spacing w:after="0" w:line="240" w:lineRule="auto"/>
        <w:ind w:left="0"/>
        <w:jc w:val="center"/>
        <w:rPr>
          <w:rFonts w:ascii="Times New Roman" w:hAnsi="Times New Roman" w:cs="Times New Roman"/>
          <w:color w:val="000000"/>
          <w:sz w:val="24"/>
          <w:szCs w:val="24"/>
        </w:rPr>
      </w:pPr>
      <w:r>
        <w:rPr>
          <w:rFonts w:ascii="Times New Roman" w:eastAsia="Times New Roman" w:hAnsi="Times New Roman" w:cs="Times New Roman"/>
          <w:color w:val="000000"/>
          <w:sz w:val="24"/>
          <w:szCs w:val="24"/>
        </w:rPr>
        <w:t>Капиталы Компании</w:t>
      </w:r>
    </w:p>
    <w:tbl>
      <w:tblPr>
        <w:tblW w:w="15680"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6"/>
        <w:gridCol w:w="4051"/>
        <w:gridCol w:w="5069"/>
        <w:gridCol w:w="4374"/>
      </w:tblGrid>
      <w:tr w:rsidR="00D602D4">
        <w:tc>
          <w:tcPr>
            <w:tcW w:w="2186" w:type="dxa"/>
          </w:tcPr>
          <w:p w:rsidR="00D602D4" w:rsidRDefault="000B4C86">
            <w:pPr>
              <w:widowControl w:val="0"/>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rPr>
              <w:t>Капиталы (ресурсы)</w:t>
            </w:r>
          </w:p>
        </w:tc>
        <w:tc>
          <w:tcPr>
            <w:tcW w:w="4051"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Капиталы на </w:t>
            </w:r>
          </w:p>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01.01.2024</w:t>
            </w:r>
          </w:p>
        </w:tc>
        <w:tc>
          <w:tcPr>
            <w:tcW w:w="5069"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Как мы создаем стоимость (процесс создания стоимости)</w:t>
            </w:r>
          </w:p>
        </w:tc>
        <w:tc>
          <w:tcPr>
            <w:tcW w:w="4374" w:type="dxa"/>
          </w:tcPr>
          <w:p w:rsidR="00D602D4" w:rsidRDefault="000B4C86">
            <w:pPr>
              <w:widowControl w:val="0"/>
              <w:spacing w:after="0" w:line="240" w:lineRule="auto"/>
              <w:ind w:right="-102"/>
              <w:rPr>
                <w:rFonts w:ascii="Times New Roman" w:hAnsi="Times New Roman" w:cs="Times New Roman"/>
                <w:sz w:val="24"/>
                <w:szCs w:val="24"/>
              </w:rPr>
            </w:pPr>
            <w:r>
              <w:rPr>
                <w:rFonts w:ascii="Times New Roman" w:hAnsi="Times New Roman" w:cs="Times New Roman"/>
                <w:sz w:val="24"/>
                <w:szCs w:val="24"/>
              </w:rPr>
              <w:t xml:space="preserve">Результаты </w:t>
            </w:r>
          </w:p>
          <w:p w:rsidR="00D602D4" w:rsidRDefault="000B4C86">
            <w:pPr>
              <w:widowControl w:val="0"/>
              <w:spacing w:after="0" w:line="240" w:lineRule="auto"/>
              <w:ind w:right="-102"/>
              <w:rPr>
                <w:rFonts w:ascii="Times New Roman" w:hAnsi="Times New Roman" w:cs="Times New Roman"/>
                <w:sz w:val="24"/>
                <w:szCs w:val="24"/>
              </w:rPr>
            </w:pPr>
            <w:r>
              <w:rPr>
                <w:rFonts w:ascii="Times New Roman" w:hAnsi="Times New Roman" w:cs="Times New Roman"/>
                <w:sz w:val="24"/>
                <w:szCs w:val="24"/>
              </w:rPr>
              <w:t>2024 года</w:t>
            </w:r>
          </w:p>
        </w:tc>
      </w:tr>
      <w:tr w:rsidR="00D602D4">
        <w:tc>
          <w:tcPr>
            <w:tcW w:w="2186" w:type="dxa"/>
          </w:tcPr>
          <w:p w:rsidR="00D602D4" w:rsidRDefault="000B4C86">
            <w:pPr>
              <w:widowControl w:val="0"/>
              <w:spacing w:after="0" w:line="240" w:lineRule="auto"/>
              <w:rPr>
                <w:rFonts w:ascii="Times New Roman" w:hAnsi="Times New Roman" w:cs="Times New Roman"/>
                <w:sz w:val="24"/>
                <w:szCs w:val="24"/>
                <w:highlight w:val="yellow"/>
              </w:rPr>
            </w:pPr>
            <w:r>
              <w:rPr>
                <w:rFonts w:ascii="Times New Roman" w:eastAsia="Times New Roman" w:hAnsi="Times New Roman" w:cs="Times New Roman"/>
                <w:sz w:val="24"/>
                <w:szCs w:val="24"/>
              </w:rPr>
              <w:t>Финансовый</w:t>
            </w:r>
          </w:p>
        </w:tc>
        <w:tc>
          <w:tcPr>
            <w:tcW w:w="4051"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Финансовый результат по итогам 2023 года составил (-)729 млн руб.  </w:t>
            </w: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Стоимость чистых активов на конец 2023 года составила 20 989 млн руб.</w:t>
            </w:r>
          </w:p>
        </w:tc>
        <w:tc>
          <w:tcPr>
            <w:tcW w:w="5069"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Увеличение маржинального дохода по передаче электроэнергии (с учетом оценочных резервов) на 3 109 млн руб., что нивелировано ростом процентных расходов на 2 906 млн руб. </w:t>
            </w:r>
          </w:p>
          <w:p w:rsidR="00D602D4" w:rsidRDefault="00D602D4">
            <w:pPr>
              <w:widowControl w:val="0"/>
              <w:spacing w:after="0" w:line="240" w:lineRule="auto"/>
              <w:rPr>
                <w:rFonts w:ascii="Times New Roman" w:hAnsi="Times New Roman" w:cs="Times New Roman"/>
                <w:sz w:val="24"/>
                <w:szCs w:val="24"/>
              </w:rPr>
            </w:pPr>
          </w:p>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Показатель EBITDA – 13 196</w:t>
            </w:r>
            <w:r>
              <w:rPr>
                <w:rFonts w:ascii="Times New Roman" w:hAnsi="Times New Roman" w:cs="Times New Roman"/>
                <w:sz w:val="24"/>
                <w:szCs w:val="24"/>
                <w:shd w:val="clear" w:color="auto" w:fill="FFFFFF"/>
              </w:rPr>
              <w:t xml:space="preserve"> </w:t>
            </w:r>
            <w:r>
              <w:rPr>
                <w:rFonts w:ascii="Times New Roman" w:hAnsi="Times New Roman" w:cs="Times New Roman"/>
                <w:sz w:val="24"/>
                <w:szCs w:val="24"/>
              </w:rPr>
              <w:t>млн руб., что выше уровня 2023 года на 4 026 млн руб.</w:t>
            </w:r>
          </w:p>
          <w:p w:rsidR="00D602D4" w:rsidRDefault="00D602D4">
            <w:pPr>
              <w:widowControl w:val="0"/>
              <w:spacing w:after="0" w:line="240" w:lineRule="auto"/>
              <w:rPr>
                <w:rFonts w:ascii="Times New Roman" w:hAnsi="Times New Roman" w:cs="Times New Roman"/>
                <w:sz w:val="24"/>
                <w:szCs w:val="24"/>
              </w:rPr>
            </w:pPr>
          </w:p>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Снижение стоимости чистых активов на конец 2024 года на 381 млн руб. в основном за счет отрицательного эффекта, отраженного в нераспределенной прибыли прошлых лет при применении требований нового ФСБУ №14/2022 «Нематериальные активы»</w:t>
            </w:r>
          </w:p>
        </w:tc>
        <w:tc>
          <w:tcPr>
            <w:tcW w:w="4374"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Финансовый результат по итогам 2024 года составил (-)696 млн руб.</w:t>
            </w:r>
          </w:p>
          <w:p w:rsidR="00D602D4" w:rsidRDefault="00D602D4">
            <w:pPr>
              <w:widowControl w:val="0"/>
              <w:spacing w:after="0" w:line="240" w:lineRule="auto"/>
              <w:rPr>
                <w:rFonts w:ascii="Times New Roman" w:hAnsi="Times New Roman" w:cs="Times New Roman"/>
                <w:sz w:val="24"/>
                <w:szCs w:val="24"/>
              </w:rPr>
            </w:pPr>
          </w:p>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Улучшение финансового результата по итогам 2024 года на 33 млн руб.</w:t>
            </w: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Стоимость чистых активов на конец 2024 года составила 20 608 млн руб.</w:t>
            </w: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tc>
      </w:tr>
      <w:tr w:rsidR="00D602D4">
        <w:tc>
          <w:tcPr>
            <w:tcW w:w="2186" w:type="dxa"/>
          </w:tcPr>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Производственный</w:t>
            </w:r>
          </w:p>
        </w:tc>
        <w:tc>
          <w:tcPr>
            <w:tcW w:w="4051" w:type="dxa"/>
          </w:tcPr>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Количество ПС— 60 119 шт. </w:t>
            </w:r>
          </w:p>
          <w:p w:rsidR="00D602D4" w:rsidRDefault="00D602D4">
            <w:pPr>
              <w:widowControl w:val="0"/>
              <w:spacing w:after="0" w:line="240" w:lineRule="auto"/>
              <w:rPr>
                <w:rFonts w:ascii="Times New Roman" w:hAnsi="Times New Roman" w:cs="Times New Roman"/>
                <w:sz w:val="24"/>
                <w:szCs w:val="24"/>
                <w:highlight w:val="white"/>
              </w:rPr>
            </w:pPr>
          </w:p>
          <w:p w:rsidR="00D602D4" w:rsidRDefault="00D602D4">
            <w:pPr>
              <w:widowControl w:val="0"/>
              <w:spacing w:after="0" w:line="240" w:lineRule="auto"/>
              <w:rPr>
                <w:rFonts w:ascii="Times New Roman" w:hAnsi="Times New Roman" w:cs="Times New Roman"/>
                <w:sz w:val="24"/>
                <w:szCs w:val="24"/>
                <w:highlight w:val="white"/>
              </w:rPr>
            </w:pPr>
          </w:p>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Суммарная мощность ПС — 44,9 тыс. МВА.</w:t>
            </w:r>
          </w:p>
          <w:p w:rsidR="00D602D4" w:rsidRDefault="00D602D4">
            <w:pPr>
              <w:widowControl w:val="0"/>
              <w:spacing w:after="0" w:line="240" w:lineRule="auto"/>
              <w:rPr>
                <w:rFonts w:ascii="Times New Roman" w:hAnsi="Times New Roman" w:cs="Times New Roman"/>
                <w:sz w:val="24"/>
                <w:szCs w:val="24"/>
                <w:highlight w:val="white"/>
              </w:rPr>
            </w:pPr>
          </w:p>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Протяженность ЛЭП — 261,5 тыс. км</w:t>
            </w:r>
          </w:p>
        </w:tc>
        <w:tc>
          <w:tcPr>
            <w:tcW w:w="5069" w:type="dxa"/>
          </w:tcPr>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Объем услуг по передаче электрической энергии 59 041,7 млн кВт*ч.</w:t>
            </w:r>
          </w:p>
          <w:p w:rsidR="00D602D4" w:rsidRDefault="00D602D4">
            <w:pPr>
              <w:widowControl w:val="0"/>
              <w:spacing w:after="0" w:line="240" w:lineRule="auto"/>
              <w:rPr>
                <w:rFonts w:ascii="Times New Roman" w:hAnsi="Times New Roman" w:cs="Times New Roman"/>
                <w:sz w:val="24"/>
                <w:szCs w:val="24"/>
                <w:highlight w:val="white"/>
              </w:rPr>
            </w:pPr>
          </w:p>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Капитальные вложения </w:t>
            </w:r>
          </w:p>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11 851 млн руб. без НДС.</w:t>
            </w:r>
          </w:p>
          <w:p w:rsidR="00D602D4" w:rsidRDefault="00D602D4">
            <w:pPr>
              <w:widowControl w:val="0"/>
              <w:spacing w:after="0" w:line="240" w:lineRule="auto"/>
              <w:rPr>
                <w:rFonts w:ascii="Times New Roman" w:hAnsi="Times New Roman" w:cs="Times New Roman"/>
                <w:sz w:val="24"/>
                <w:szCs w:val="24"/>
                <w:highlight w:val="white"/>
              </w:rPr>
            </w:pPr>
          </w:p>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Количество выполненных технологических присоединений в 2022 год — </w:t>
            </w:r>
            <w:r>
              <w:rPr>
                <w:rFonts w:ascii="Times New Roman" w:eastAsia="Times New Roman" w:hAnsi="Times New Roman" w:cs="Times New Roman"/>
                <w:bCs/>
                <w:sz w:val="24"/>
                <w:szCs w:val="24"/>
                <w:highlight w:val="white"/>
              </w:rPr>
              <w:t xml:space="preserve">26 884 </w:t>
            </w:r>
            <w:r>
              <w:rPr>
                <w:rFonts w:ascii="Times New Roman" w:eastAsia="Times New Roman" w:hAnsi="Times New Roman" w:cs="Times New Roman"/>
                <w:sz w:val="24"/>
                <w:szCs w:val="24"/>
                <w:highlight w:val="white"/>
              </w:rPr>
              <w:t xml:space="preserve">шт. суммарной мощностью 929,5 МВт. </w:t>
            </w:r>
          </w:p>
        </w:tc>
        <w:tc>
          <w:tcPr>
            <w:tcW w:w="4374" w:type="dxa"/>
          </w:tcPr>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Количество ПС— 61 176 шт. </w:t>
            </w:r>
          </w:p>
          <w:p w:rsidR="00D602D4" w:rsidRDefault="00D602D4">
            <w:pPr>
              <w:widowControl w:val="0"/>
              <w:spacing w:after="0" w:line="240" w:lineRule="auto"/>
              <w:rPr>
                <w:rFonts w:ascii="Times New Roman" w:hAnsi="Times New Roman" w:cs="Times New Roman"/>
                <w:sz w:val="24"/>
                <w:szCs w:val="24"/>
                <w:highlight w:val="white"/>
              </w:rPr>
            </w:pPr>
          </w:p>
          <w:p w:rsidR="00D602D4" w:rsidRDefault="00D602D4">
            <w:pPr>
              <w:widowControl w:val="0"/>
              <w:spacing w:after="0" w:line="240" w:lineRule="auto"/>
              <w:rPr>
                <w:rFonts w:ascii="Times New Roman" w:hAnsi="Times New Roman" w:cs="Times New Roman"/>
                <w:sz w:val="24"/>
                <w:szCs w:val="24"/>
                <w:highlight w:val="white"/>
              </w:rPr>
            </w:pPr>
          </w:p>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Суммарная мощность ПС — 45,7 тыс. МВА.</w:t>
            </w:r>
          </w:p>
          <w:p w:rsidR="00D602D4" w:rsidRDefault="00D602D4">
            <w:pPr>
              <w:widowControl w:val="0"/>
              <w:spacing w:after="0" w:line="240" w:lineRule="auto"/>
              <w:rPr>
                <w:rFonts w:ascii="Times New Roman" w:hAnsi="Times New Roman" w:cs="Times New Roman"/>
                <w:sz w:val="24"/>
                <w:szCs w:val="24"/>
                <w:highlight w:val="white"/>
              </w:rPr>
            </w:pPr>
          </w:p>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Протяженность ЛЭП — 262,6 тыс. км</w:t>
            </w:r>
          </w:p>
          <w:p w:rsidR="00D602D4" w:rsidRDefault="00D602D4">
            <w:pPr>
              <w:widowControl w:val="0"/>
              <w:spacing w:after="0" w:line="240" w:lineRule="auto"/>
              <w:rPr>
                <w:rFonts w:ascii="Times New Roman" w:hAnsi="Times New Roman" w:cs="Times New Roman"/>
                <w:sz w:val="24"/>
                <w:szCs w:val="24"/>
                <w:highlight w:val="white"/>
              </w:rPr>
            </w:pPr>
          </w:p>
          <w:p w:rsidR="00D602D4" w:rsidRDefault="00D602D4">
            <w:pPr>
              <w:widowControl w:val="0"/>
              <w:spacing w:after="0" w:line="240" w:lineRule="auto"/>
              <w:rPr>
                <w:rFonts w:ascii="Times New Roman" w:hAnsi="Times New Roman" w:cs="Times New Roman"/>
                <w:sz w:val="24"/>
                <w:szCs w:val="24"/>
                <w:highlight w:val="white"/>
              </w:rPr>
            </w:pPr>
          </w:p>
        </w:tc>
      </w:tr>
      <w:tr w:rsidR="00D602D4">
        <w:tc>
          <w:tcPr>
            <w:tcW w:w="2186"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Человеческий</w:t>
            </w:r>
          </w:p>
        </w:tc>
        <w:tc>
          <w:tcPr>
            <w:tcW w:w="4051"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Среднесписочная численность персонала 18 603 человек.</w:t>
            </w:r>
          </w:p>
          <w:p w:rsidR="00D602D4" w:rsidRDefault="00D602D4">
            <w:pPr>
              <w:widowControl w:val="0"/>
              <w:spacing w:after="0" w:line="240" w:lineRule="auto"/>
              <w:rPr>
                <w:rFonts w:ascii="Times New Roman" w:hAnsi="Times New Roman" w:cs="Times New Roman"/>
                <w:sz w:val="24"/>
                <w:szCs w:val="24"/>
              </w:rPr>
            </w:pPr>
          </w:p>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Укомплектованность персоналом на конец 2023 года составила 90,4%. </w:t>
            </w: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88,5% сотрудников имеют профессиональное образование. </w:t>
            </w:r>
          </w:p>
        </w:tc>
        <w:tc>
          <w:tcPr>
            <w:tcW w:w="5069"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Обучено 39 508 тыс.  сотрудников </w:t>
            </w:r>
          </w:p>
          <w:p w:rsidR="00D602D4" w:rsidRDefault="00D602D4">
            <w:pPr>
              <w:widowControl w:val="0"/>
              <w:spacing w:after="0" w:line="240" w:lineRule="auto"/>
              <w:jc w:val="both"/>
              <w:rPr>
                <w:rFonts w:ascii="Times New Roman" w:eastAsia="Times New Roman" w:hAnsi="Times New Roman" w:cs="Times New Roman"/>
                <w:sz w:val="24"/>
                <w:szCs w:val="24"/>
              </w:rPr>
            </w:pPr>
          </w:p>
          <w:p w:rsidR="00D602D4" w:rsidRDefault="00D602D4">
            <w:pPr>
              <w:widowControl w:val="0"/>
              <w:spacing w:after="0" w:line="240" w:lineRule="auto"/>
              <w:jc w:val="both"/>
              <w:rPr>
                <w:rFonts w:ascii="Times New Roman" w:hAnsi="Times New Roman" w:cs="Times New Roman"/>
                <w:sz w:val="24"/>
                <w:szCs w:val="24"/>
              </w:rPr>
            </w:pPr>
          </w:p>
        </w:tc>
        <w:tc>
          <w:tcPr>
            <w:tcW w:w="4374"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Среднесписочная численность персонала 18 095 человек.</w:t>
            </w:r>
          </w:p>
          <w:p w:rsidR="00D602D4" w:rsidRDefault="00D602D4">
            <w:pPr>
              <w:widowControl w:val="0"/>
              <w:spacing w:after="0" w:line="240" w:lineRule="auto"/>
              <w:rPr>
                <w:rFonts w:ascii="Times New Roman" w:hAnsi="Times New Roman" w:cs="Times New Roman"/>
                <w:sz w:val="24"/>
                <w:szCs w:val="24"/>
              </w:rPr>
            </w:pPr>
          </w:p>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Укомплектованность персоналом на конец 2024 года составила 87,7%. </w:t>
            </w: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88,5% сотрудников имеют профессиональное образование. </w:t>
            </w:r>
          </w:p>
        </w:tc>
      </w:tr>
      <w:tr w:rsidR="00D602D4">
        <w:tc>
          <w:tcPr>
            <w:tcW w:w="2186" w:type="dxa"/>
          </w:tcPr>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Социально-репутационный</w:t>
            </w:r>
          </w:p>
        </w:tc>
        <w:tc>
          <w:tcPr>
            <w:tcW w:w="4051" w:type="dxa"/>
          </w:tcPr>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Накопление репутационного капитала.</w:t>
            </w:r>
          </w:p>
          <w:p w:rsidR="00D602D4" w:rsidRDefault="00D602D4">
            <w:pPr>
              <w:widowControl w:val="0"/>
              <w:spacing w:after="0" w:line="240" w:lineRule="auto"/>
              <w:rPr>
                <w:rFonts w:ascii="Times New Roman" w:hAnsi="Times New Roman" w:cs="Times New Roman"/>
                <w:sz w:val="24"/>
                <w:szCs w:val="24"/>
                <w:highlight w:val="white"/>
              </w:rPr>
            </w:pPr>
          </w:p>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Объем закупок у субъектов малого и среднего предпринимательства составил 70,72% от общего объема закупок в стоимостном выражении.</w:t>
            </w:r>
          </w:p>
          <w:p w:rsidR="00D602D4" w:rsidRDefault="00D602D4">
            <w:pPr>
              <w:widowControl w:val="0"/>
              <w:spacing w:after="0" w:line="240" w:lineRule="auto"/>
              <w:rPr>
                <w:rFonts w:ascii="Times New Roman" w:hAnsi="Times New Roman" w:cs="Times New Roman"/>
                <w:sz w:val="24"/>
                <w:szCs w:val="24"/>
                <w:highlight w:val="white"/>
              </w:rPr>
            </w:pPr>
          </w:p>
          <w:p w:rsidR="00D602D4" w:rsidRDefault="00D602D4">
            <w:pPr>
              <w:widowControl w:val="0"/>
              <w:spacing w:after="0" w:line="240" w:lineRule="auto"/>
              <w:rPr>
                <w:rFonts w:ascii="Times New Roman" w:hAnsi="Times New Roman" w:cs="Times New Roman"/>
                <w:sz w:val="24"/>
                <w:szCs w:val="24"/>
                <w:highlight w:val="white"/>
              </w:rPr>
            </w:pPr>
          </w:p>
        </w:tc>
        <w:tc>
          <w:tcPr>
            <w:tcW w:w="5069" w:type="dxa"/>
          </w:tcPr>
          <w:p w:rsidR="00D602D4" w:rsidRDefault="000B4C86">
            <w:pPr>
              <w:widowControl w:val="0"/>
              <w:spacing w:after="0" w:line="240" w:lineRule="auto"/>
              <w:rPr>
                <w:rFonts w:ascii="Times New Roman" w:hAnsi="Times New Roman" w:cs="Times New Roman"/>
                <w:bCs/>
                <w:sz w:val="24"/>
                <w:szCs w:val="24"/>
                <w:highlight w:val="white"/>
              </w:rPr>
            </w:pPr>
            <w:r>
              <w:rPr>
                <w:rFonts w:ascii="Times New Roman" w:eastAsia="Times New Roman" w:hAnsi="Times New Roman" w:cs="Times New Roman"/>
                <w:sz w:val="24"/>
                <w:szCs w:val="24"/>
                <w:highlight w:val="white"/>
              </w:rPr>
              <w:t>Регулярное информирование общественности о деятельности Компании: в</w:t>
            </w:r>
            <w:r>
              <w:rPr>
                <w:rFonts w:ascii="Times New Roman" w:eastAsia="Times New Roman" w:hAnsi="Times New Roman" w:cs="Times New Roman"/>
                <w:bCs/>
                <w:sz w:val="24"/>
                <w:szCs w:val="24"/>
                <w:highlight w:val="white"/>
              </w:rPr>
              <w:t xml:space="preserve"> российских и региональных СМИ вышли </w:t>
            </w:r>
          </w:p>
          <w:p w:rsidR="00D602D4" w:rsidRDefault="000B4C86">
            <w:pPr>
              <w:widowControl w:val="0"/>
              <w:spacing w:after="0" w:line="240" w:lineRule="auto"/>
              <w:rPr>
                <w:rFonts w:ascii="Times New Roman" w:hAnsi="Times New Roman" w:cs="Times New Roman"/>
                <w:bCs/>
                <w:sz w:val="24"/>
                <w:szCs w:val="24"/>
                <w:highlight w:val="white"/>
              </w:rPr>
            </w:pPr>
            <w:r>
              <w:rPr>
                <w:rFonts w:ascii="Times New Roman" w:eastAsia="Times New Roman" w:hAnsi="Times New Roman" w:cs="Times New Roman"/>
                <w:bCs/>
                <w:sz w:val="24"/>
                <w:szCs w:val="24"/>
                <w:highlight w:val="white"/>
              </w:rPr>
              <w:t>52 003 материалов о деятельности Общества.</w:t>
            </w:r>
          </w:p>
          <w:p w:rsidR="00D602D4" w:rsidRDefault="00D602D4">
            <w:pPr>
              <w:widowControl w:val="0"/>
              <w:spacing w:after="0" w:line="240" w:lineRule="auto"/>
              <w:rPr>
                <w:rFonts w:ascii="Times New Roman" w:hAnsi="Times New Roman" w:cs="Times New Roman"/>
                <w:bCs/>
                <w:sz w:val="24"/>
                <w:szCs w:val="24"/>
                <w:highlight w:val="white"/>
              </w:rPr>
            </w:pPr>
          </w:p>
          <w:p w:rsidR="00D602D4" w:rsidRDefault="00D602D4">
            <w:pPr>
              <w:widowControl w:val="0"/>
              <w:spacing w:after="0" w:line="240" w:lineRule="auto"/>
              <w:rPr>
                <w:rFonts w:ascii="Times New Roman" w:hAnsi="Times New Roman" w:cs="Times New Roman"/>
                <w:sz w:val="24"/>
                <w:szCs w:val="24"/>
                <w:highlight w:val="white"/>
              </w:rPr>
            </w:pPr>
          </w:p>
        </w:tc>
        <w:tc>
          <w:tcPr>
            <w:tcW w:w="4374" w:type="dxa"/>
          </w:tcPr>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Накопление репутационного капитала.</w:t>
            </w:r>
          </w:p>
          <w:p w:rsidR="00D602D4" w:rsidRDefault="00D602D4">
            <w:pPr>
              <w:widowControl w:val="0"/>
              <w:spacing w:after="0" w:line="240" w:lineRule="auto"/>
              <w:rPr>
                <w:rFonts w:ascii="Times New Roman" w:hAnsi="Times New Roman" w:cs="Times New Roman"/>
                <w:sz w:val="24"/>
                <w:szCs w:val="24"/>
                <w:highlight w:val="white"/>
              </w:rPr>
            </w:pPr>
          </w:p>
          <w:p w:rsidR="00D602D4" w:rsidRDefault="000B4C86">
            <w:pPr>
              <w:widowControl w:val="0"/>
              <w:spacing w:after="0" w:line="240" w:lineRule="auto"/>
              <w:rPr>
                <w:rFonts w:ascii="Times New Roman" w:hAnsi="Times New Roman" w:cs="Times New Roman"/>
                <w:sz w:val="24"/>
                <w:szCs w:val="24"/>
                <w:highlight w:val="white"/>
              </w:rPr>
            </w:pPr>
            <w:r>
              <w:rPr>
                <w:rFonts w:ascii="Times New Roman" w:eastAsia="Times New Roman" w:hAnsi="Times New Roman" w:cs="Times New Roman"/>
                <w:sz w:val="24"/>
                <w:szCs w:val="24"/>
                <w:highlight w:val="white"/>
              </w:rPr>
              <w:t>Объем закупок у субъектов малого и среднего предпринимательства составил 90,42% от общего объема закупок в стоимостном выражении.</w:t>
            </w:r>
          </w:p>
          <w:p w:rsidR="00D602D4" w:rsidRDefault="00D602D4">
            <w:pPr>
              <w:widowControl w:val="0"/>
              <w:spacing w:after="0" w:line="240" w:lineRule="auto"/>
              <w:ind w:firstLine="567"/>
              <w:rPr>
                <w:rFonts w:ascii="Times New Roman" w:hAnsi="Times New Roman" w:cs="Times New Roman"/>
                <w:sz w:val="24"/>
                <w:szCs w:val="24"/>
                <w:highlight w:val="white"/>
              </w:rPr>
            </w:pPr>
          </w:p>
        </w:tc>
      </w:tr>
      <w:tr w:rsidR="00D602D4">
        <w:tc>
          <w:tcPr>
            <w:tcW w:w="2186"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Природный</w:t>
            </w:r>
          </w:p>
        </w:tc>
        <w:tc>
          <w:tcPr>
            <w:tcW w:w="4051"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В 2023 году затраты на охрану окружающей среды составили 36,23 млн. руб.</w:t>
            </w:r>
          </w:p>
        </w:tc>
        <w:tc>
          <w:tcPr>
            <w:tcW w:w="5069" w:type="dxa"/>
          </w:tcPr>
          <w:p w:rsidR="00D602D4" w:rsidRDefault="000B4C86">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Экологическая политика ПАО «Россети Сибирь» введена распоряжением ПАО «Россети Сибирь» от 04.06.2024 №147 «О введении в действие Экологической политики ПАО «Россети Сибирь», выписка из протокола №525/24 заседания Совета директоров ПАО «Россети Сибирь» от 24.05.2024. </w:t>
            </w:r>
          </w:p>
        </w:tc>
        <w:tc>
          <w:tcPr>
            <w:tcW w:w="4374" w:type="dxa"/>
          </w:tcPr>
          <w:p w:rsidR="00D602D4" w:rsidRDefault="000B4C86">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В 2024 году затраты на охрану окружающей среды составили 30,66 млн. руб.</w:t>
            </w:r>
          </w:p>
        </w:tc>
      </w:tr>
    </w:tbl>
    <w:p w:rsidR="00D602D4" w:rsidRDefault="00D602D4">
      <w:pPr>
        <w:pStyle w:val="ac"/>
        <w:widowControl w:val="0"/>
        <w:spacing w:after="0" w:line="240" w:lineRule="auto"/>
        <w:ind w:left="0" w:firstLine="709"/>
        <w:jc w:val="both"/>
        <w:rPr>
          <w:rFonts w:ascii="Times New Roman" w:hAnsi="Times New Roman" w:cs="Times New Roman"/>
          <w:color w:val="000000"/>
          <w:sz w:val="24"/>
          <w:szCs w:val="24"/>
        </w:rPr>
      </w:pPr>
    </w:p>
    <w:p w:rsidR="00D602D4" w:rsidRDefault="000B4C86">
      <w:pPr>
        <w:pStyle w:val="ac"/>
        <w:widowControl w:val="0"/>
        <w:spacing w:after="0" w:line="240" w:lineRule="auto"/>
        <w:ind w:left="0" w:firstLine="709"/>
        <w:jc w:val="center"/>
        <w:rPr>
          <w:rFonts w:ascii="Times New Roman" w:hAnsi="Times New Roman" w:cs="Times New Roman"/>
          <w:color w:val="000000"/>
          <w:sz w:val="24"/>
          <w:szCs w:val="24"/>
        </w:rPr>
      </w:pPr>
      <w:r>
        <w:rPr>
          <w:rFonts w:ascii="Times New Roman" w:eastAsia="Times New Roman" w:hAnsi="Times New Roman" w:cs="Times New Roman"/>
          <w:color w:val="000000"/>
          <w:sz w:val="24"/>
          <w:szCs w:val="24"/>
        </w:rPr>
        <w:t>Место ПАО «Россети Сибирь» в структуре отрасли и бизнес-модель представлены на рис. 3.</w:t>
      </w:r>
    </w:p>
    <w:p w:rsidR="00D602D4" w:rsidRDefault="000B4C86">
      <w:pPr>
        <w:pStyle w:val="ac"/>
        <w:widowControl w:val="0"/>
        <w:spacing w:after="0" w:line="240" w:lineRule="auto"/>
        <w:ind w:left="0"/>
        <w:rPr>
          <w:rFonts w:ascii="Times New Roman" w:hAnsi="Times New Roman" w:cs="Times New Roman"/>
          <w:color w:val="000000"/>
          <w:sz w:val="24"/>
          <w:szCs w:val="24"/>
        </w:rPr>
        <w:sectPr w:rsidR="00D602D4">
          <w:pgSz w:w="16838" w:h="11906" w:orient="landscape"/>
          <w:pgMar w:top="1701" w:right="709" w:bottom="851" w:left="425" w:header="708" w:footer="708" w:gutter="0"/>
          <w:cols w:space="708"/>
          <w:docGrid w:linePitch="360"/>
        </w:sectPr>
      </w:pPr>
      <w:r>
        <w:rPr>
          <w:rFonts w:ascii="Times New Roman" w:eastAsia="Times New Roman" w:hAnsi="Times New Roman" w:cs="Times New Roman"/>
          <w:noProof/>
          <w:lang w:eastAsia="ru-RU"/>
        </w:rPr>
        <w:lastRenderedPageBreak/>
        <mc:AlternateContent>
          <mc:Choice Requires="wps">
            <w:drawing>
              <wp:anchor distT="0" distB="0" distL="114300" distR="114300" simplePos="0" relativeHeight="251618816" behindDoc="0" locked="0" layoutInCell="1" allowOverlap="1">
                <wp:simplePos x="0" y="0"/>
                <wp:positionH relativeFrom="column">
                  <wp:posOffset>2836545</wp:posOffset>
                </wp:positionH>
                <wp:positionV relativeFrom="paragraph">
                  <wp:posOffset>6009640</wp:posOffset>
                </wp:positionV>
                <wp:extent cx="3700780" cy="304800"/>
                <wp:effectExtent l="3810" t="3175" r="635" b="0"/>
                <wp:wrapNone/>
                <wp:docPr id="3"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0780" cy="304800"/>
                        </a:xfrm>
                        <a:prstGeom prst="rect">
                          <a:avLst/>
                        </a:prstGeom>
                        <a:solidFill>
                          <a:srgbClr val="FFFFFF"/>
                        </a:solidFill>
                        <a:ln>
                          <a:noFill/>
                        </a:ln>
                      </wps:spPr>
                      <wps:txbx>
                        <w:txbxContent>
                          <w:p w:rsidR="00D602D4" w:rsidRDefault="000B4C86">
                            <w:pPr>
                              <w:rPr>
                                <w:rFonts w:ascii="Times New Roman" w:hAnsi="Times New Roman" w:cs="Times New Roman"/>
                                <w:sz w:val="24"/>
                                <w:szCs w:val="24"/>
                              </w:rPr>
                            </w:pPr>
                            <w:r>
                              <w:rPr>
                                <w:rFonts w:ascii="Times New Roman" w:hAnsi="Times New Roman" w:cs="Times New Roman"/>
                                <w:sz w:val="24"/>
                                <w:szCs w:val="24"/>
                              </w:rPr>
                              <w:t>Рис.3. Бизнес-модель</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5" o:spid="_x0000_s1026" type="#_x0000_t202" style="position:absolute;margin-left:223.35pt;margin-top:473.2pt;width:291.4pt;height:24pt;z-index:25161881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" stroked="f">
                <v:textbox>
                  <w:txbxContent>
                    <w:p w:rsidR="00D602D4" w:rsidRDefault="000B4C86">
                      <w:pPr>
                        <w:rPr>
                          <w:rFonts w:ascii="Times New Roman" w:hAnsi="Times New Roman" w:cs="Times New Roman"/>
                          <w:sz w:val="24"/>
                          <w:szCs w:val="24"/>
                        </w:rPr>
                      </w:pPr>
                      <w:r>
                        <w:rPr>
                          <w:rFonts w:ascii="Times New Roman" w:hAnsi="Times New Roman" w:cs="Times New Roman"/>
                          <w:sz w:val="24"/>
                          <w:szCs w:val="24"/>
                        </w:rPr>
                        <w:t>Рис.3. Бизнес-модель</w:t>
                      </w:r>
                    </w:p>
                  </w:txbxContent>
                </v:textbox>
              </v:shape>
            </w:pict>
          </mc:Fallback>
        </mc:AlternateContent>
      </w:r>
      <w:r>
        <w:rPr>
          <w:rFonts w:ascii="Times New Roman" w:eastAsia="Times New Roman" w:hAnsi="Times New Roman" w:cs="Times New Roman"/>
          <w:noProof/>
          <w:color w:val="000000"/>
          <w:sz w:val="24"/>
          <w:szCs w:val="24"/>
          <w:lang w:eastAsia="ru-RU"/>
        </w:rPr>
        <mc:AlternateContent>
          <mc:Choice Requires="wpg">
            <w:drawing>
              <wp:inline distT="0" distB="0" distL="0" distR="0">
                <wp:extent cx="9970475" cy="5962015"/>
                <wp:effectExtent l="0" t="0" r="0" b="0"/>
                <wp:docPr id="4" name="Группа 2"/>
                <wp:cNvGraphicFramePr/>
                <a:graphic xmlns:a="http://schemas.openxmlformats.org/drawingml/2006/main">
                  <a:graphicData uri="http://schemas.microsoft.com/office/word/2010/wordprocessingGroup">
                    <wpg:wgp>
                      <wpg:cNvGrpSpPr/>
                      <wpg:grpSpPr bwMode="auto">
                        <a:xfrm>
                          <a:off x="0" y="0"/>
                          <a:ext cx="9970474" cy="5962014"/>
                          <a:chOff x="0" y="0"/>
                          <a:chExt cx="9970474" cy="5962014"/>
                        </a:xfrm>
                      </wpg:grpSpPr>
                      <pic:pic xmlns:pic="http://schemas.openxmlformats.org/drawingml/2006/picture">
                        <pic:nvPicPr>
                          <pic:cNvPr id="504" name="Рисунок 11"/>
                          <pic:cNvPicPr>
                            <a:picLocks noChangeAspect="1" noChangeArrowheads="1"/>
                          </pic:cNvPicPr>
                        </pic:nvPicPr>
                        <pic:blipFill>
                          <a:blip r:embed="rId19"/>
                          <a:stretch/>
                        </pic:blipFill>
                        <pic:spPr bwMode="auto">
                          <a:xfrm>
                            <a:off x="1829751" y="3052332"/>
                            <a:ext cx="5120258" cy="2219388"/>
                          </a:xfrm>
                          <a:prstGeom prst="rect">
                            <a:avLst/>
                          </a:prstGeom>
                          <a:noFill/>
                        </pic:spPr>
                      </pic:pic>
                      <pic:pic xmlns:pic="http://schemas.openxmlformats.org/drawingml/2006/picture">
                        <pic:nvPicPr>
                          <pic:cNvPr id="505" name="Рисунок 12"/>
                          <pic:cNvPicPr>
                            <a:picLocks noChangeAspect="1" noChangeArrowheads="1"/>
                          </pic:cNvPicPr>
                        </pic:nvPicPr>
                        <pic:blipFill>
                          <a:blip r:embed="rId20"/>
                          <a:stretch/>
                        </pic:blipFill>
                        <pic:spPr bwMode="auto">
                          <a:xfrm>
                            <a:off x="6950010" y="3052332"/>
                            <a:ext cx="2340985" cy="1257473"/>
                          </a:xfrm>
                          <a:prstGeom prst="rect">
                            <a:avLst/>
                          </a:prstGeom>
                          <a:noFill/>
                        </pic:spPr>
                      </pic:pic>
                      <wps:wsp>
                        <wps:cNvPr id="506" name="Надпись 506"/>
                        <wps:cNvSpPr txBox="1">
                          <a:spLocks noChangeArrowheads="1"/>
                        </wps:cNvSpPr>
                        <wps:spPr bwMode="auto">
                          <a:xfrm>
                            <a:off x="2439838" y="3478231"/>
                            <a:ext cx="1892843" cy="726345"/>
                          </a:xfrm>
                          <a:prstGeom prst="rect">
                            <a:avLst/>
                          </a:prstGeom>
                          <a:noFill/>
                          <a:ln w="9525">
                            <a:solidFill>
                              <a:schemeClr val="bg1">
                                <a:lumMod val="100000"/>
                                <a:lumOff val="0"/>
                              </a:schemeClr>
                            </a:solidFill>
                            <a:miter lim="800000"/>
                            <a:headEnd/>
                            <a:tailEnd/>
                          </a:ln>
                        </wps:spPr>
                        <wps:txbx>
                          <w:txbxContent>
                            <w:p w:rsidR="00D602D4" w:rsidRDefault="000B4C86">
                              <w:pPr>
                                <w:pStyle w:val="afd"/>
                                <w:spacing w:after="0"/>
                              </w:pPr>
                              <w:r>
                                <w:rPr>
                                  <w:rFonts w:asciiTheme="minorHAnsi" w:hAnsi="Calibri" w:cstheme="minorBidi"/>
                                </w:rPr>
                                <w:t xml:space="preserve">Передача электрической энергии     </w:t>
                              </w:r>
                            </w:p>
                            <w:p w:rsidR="00D602D4" w:rsidRDefault="000B4C86">
                              <w:pPr>
                                <w:pStyle w:val="afd"/>
                                <w:spacing w:after="0"/>
                              </w:pPr>
                              <w:r>
                                <w:rPr>
                                  <w:rFonts w:asciiTheme="minorHAnsi" w:hAnsi="Calibri" w:cstheme="minorBidi"/>
                                </w:rPr>
                                <w:t>94,7% / 73 716 млн руб.</w:t>
                              </w:r>
                            </w:p>
                          </w:txbxContent>
                        </wps:txbx>
                        <wps:bodyPr rot="0" vert="horz" wrap="square" lIns="91440" tIns="45720" rIns="91440" bIns="45720" anchor="t" anchorCtr="0" upright="1">
                          <a:noAutofit/>
                        </wps:bodyPr>
                      </wps:wsp>
                      <wps:wsp>
                        <wps:cNvPr id="507" name="Надпись 507"/>
                        <wps:cNvSpPr txBox="1">
                          <a:spLocks noChangeArrowheads="1"/>
                        </wps:cNvSpPr>
                        <wps:spPr bwMode="auto">
                          <a:xfrm>
                            <a:off x="6593813" y="4351918"/>
                            <a:ext cx="1673903" cy="782037"/>
                          </a:xfrm>
                          <a:prstGeom prst="rect">
                            <a:avLst/>
                          </a:prstGeom>
                          <a:noFill/>
                          <a:ln w="9525">
                            <a:solidFill>
                              <a:schemeClr val="bg1">
                                <a:lumMod val="100000"/>
                                <a:lumOff val="0"/>
                              </a:schemeClr>
                            </a:solidFill>
                            <a:miter lim="800000"/>
                            <a:headEnd/>
                            <a:tailEnd/>
                          </a:ln>
                        </wps:spPr>
                        <wps:txbx>
                          <w:txbxContent>
                            <w:p w:rsidR="00D602D4" w:rsidRDefault="000B4C86">
                              <w:pPr>
                                <w:pStyle w:val="afd"/>
                                <w:spacing w:after="0"/>
                              </w:pPr>
                              <w:r>
                                <w:rPr>
                                  <w:rFonts w:asciiTheme="minorHAnsi" w:hAnsi="Calibri" w:cstheme="minorBidi"/>
                                  <w:color w:val="000000" w:themeColor="text1"/>
                                </w:rPr>
                                <w:t>Технологическое присоединение</w:t>
                              </w:r>
                            </w:p>
                            <w:p w:rsidR="00D602D4" w:rsidRDefault="000B4C86">
                              <w:pPr>
                                <w:pStyle w:val="afd"/>
                                <w:spacing w:after="0"/>
                                <w:rPr>
                                  <w:sz w:val="22"/>
                                  <w:szCs w:val="22"/>
                                </w:rPr>
                              </w:pPr>
                              <w:r>
                                <w:rPr>
                                  <w:rFonts w:asciiTheme="minorHAnsi" w:hAnsi="Calibri" w:cstheme="minorBidi"/>
                                  <w:color w:val="000000" w:themeColor="text1"/>
                                  <w:sz w:val="22"/>
                                  <w:szCs w:val="22"/>
                                </w:rPr>
                                <w:t>3,6 % /2 816 млн руб.</w:t>
                              </w:r>
                            </w:p>
                          </w:txbxContent>
                        </wps:txbx>
                        <wps:bodyPr rot="0" vert="horz" wrap="square" lIns="91440" tIns="45720" rIns="91440" bIns="45720" anchor="t" anchorCtr="0" upright="1">
                          <a:noAutofit/>
                        </wps:bodyPr>
                      </wps:wsp>
                      <wps:wsp>
                        <wps:cNvPr id="508" name="Надпись 508"/>
                        <wps:cNvSpPr txBox="1">
                          <a:spLocks noChangeArrowheads="1"/>
                        </wps:cNvSpPr>
                        <wps:spPr bwMode="auto">
                          <a:xfrm>
                            <a:off x="8340866" y="4351918"/>
                            <a:ext cx="1629606" cy="731327"/>
                          </a:xfrm>
                          <a:prstGeom prst="rect">
                            <a:avLst/>
                          </a:prstGeom>
                          <a:noFill/>
                          <a:ln w="9525">
                            <a:solidFill>
                              <a:schemeClr val="bg1">
                                <a:lumMod val="100000"/>
                                <a:lumOff val="0"/>
                              </a:schemeClr>
                            </a:solidFill>
                            <a:miter lim="800000"/>
                            <a:headEnd/>
                            <a:tailEnd/>
                          </a:ln>
                        </wps:spPr>
                        <wps:txbx>
                          <w:txbxContent>
                            <w:p w:rsidR="00D602D4" w:rsidRDefault="000B4C86">
                              <w:pPr>
                                <w:pStyle w:val="afd"/>
                                <w:spacing w:after="0"/>
                              </w:pPr>
                              <w:r>
                                <w:rPr>
                                  <w:rFonts w:asciiTheme="minorHAnsi" w:hAnsi="Calibri" w:cstheme="minorBidi"/>
                                  <w:color w:val="000000" w:themeColor="text1"/>
                                </w:rPr>
                                <w:t>Прочие виды деятельности</w:t>
                              </w:r>
                            </w:p>
                            <w:p w:rsidR="00D602D4" w:rsidRDefault="000B4C86">
                              <w:pPr>
                                <w:pStyle w:val="afd"/>
                                <w:spacing w:after="0"/>
                              </w:pPr>
                              <w:r>
                                <w:rPr>
                                  <w:rFonts w:asciiTheme="minorHAnsi" w:hAnsi="Calibri" w:cstheme="minorBidi"/>
                                  <w:color w:val="000000" w:themeColor="text1"/>
                                </w:rPr>
                                <w:t>1,7% / 1 343 млн руб.</w:t>
                              </w:r>
                            </w:p>
                          </w:txbxContent>
                        </wps:txbx>
                        <wps:bodyPr rot="0" vert="horz" wrap="square" lIns="91440" tIns="45720" rIns="91440" bIns="45720" anchor="t" anchorCtr="0" upright="1">
                          <a:noAutofit/>
                        </wps:bodyPr>
                      </wps:wsp>
                      <wps:wsp>
                        <wps:cNvPr id="509" name="Надпись 509"/>
                        <wps:cNvSpPr txBox="1">
                          <a:spLocks noChangeArrowheads="1"/>
                        </wps:cNvSpPr>
                        <wps:spPr bwMode="auto">
                          <a:xfrm>
                            <a:off x="7544553" y="0"/>
                            <a:ext cx="1901885" cy="1543654"/>
                          </a:xfrm>
                          <a:prstGeom prst="rect">
                            <a:avLst/>
                          </a:prstGeom>
                          <a:noFill/>
                          <a:ln>
                            <a:noFill/>
                          </a:ln>
                        </wps:spPr>
                        <wps:txbx>
                          <w:txbxContent>
                            <w:p w:rsidR="00D602D4" w:rsidRDefault="000B4C86">
                              <w:pPr>
                                <w:pStyle w:val="afd"/>
                                <w:spacing w:after="0"/>
                              </w:pPr>
                              <w:r>
                                <w:rPr>
                                  <w:rFonts w:asciiTheme="minorHAnsi" w:hAnsi="Calibri" w:cstheme="minorBidi"/>
                                  <w:color w:val="000000" w:themeColor="text1"/>
                                </w:rPr>
                                <w:t>АКЦИОНЕРЫ И ИНВЕСТОРЫ</w:t>
                              </w:r>
                            </w:p>
                            <w:p w:rsidR="00D602D4" w:rsidRDefault="000B4C86">
                              <w:pPr>
                                <w:pStyle w:val="afd"/>
                                <w:spacing w:after="0"/>
                              </w:pPr>
                              <w:r>
                                <w:rPr>
                                  <w:rFonts w:asciiTheme="minorHAnsi" w:hAnsi="Calibri" w:cstheme="minorBidi"/>
                                  <w:color w:val="000000" w:themeColor="text1"/>
                                </w:rPr>
                                <w:t>- Государство</w:t>
                              </w:r>
                            </w:p>
                            <w:p w:rsidR="00D602D4" w:rsidRDefault="000B4C86">
                              <w:pPr>
                                <w:pStyle w:val="afd"/>
                                <w:spacing w:after="0"/>
                              </w:pPr>
                              <w:r>
                                <w:rPr>
                                  <w:rFonts w:asciiTheme="minorHAnsi" w:hAnsi="Calibri" w:cstheme="minorBidi"/>
                                  <w:color w:val="000000" w:themeColor="text1"/>
                                </w:rPr>
                                <w:t>- Мажоритарный акционер</w:t>
                              </w:r>
                            </w:p>
                            <w:p w:rsidR="00D602D4" w:rsidRDefault="000B4C86">
                              <w:pPr>
                                <w:pStyle w:val="afd"/>
                                <w:spacing w:after="0"/>
                              </w:pPr>
                              <w:r>
                                <w:rPr>
                                  <w:rFonts w:asciiTheme="minorHAnsi" w:hAnsi="Calibri" w:cstheme="minorBidi"/>
                                  <w:color w:val="000000" w:themeColor="text1"/>
                                </w:rPr>
                                <w:t>- Миноритарные акционеры</w:t>
                              </w:r>
                            </w:p>
                            <w:p w:rsidR="00D602D4" w:rsidRDefault="000B4C86">
                              <w:pPr>
                                <w:pStyle w:val="afd"/>
                                <w:spacing w:after="0"/>
                              </w:pPr>
                              <w:r>
                                <w:rPr>
                                  <w:rFonts w:asciiTheme="minorHAnsi" w:hAnsi="Calibri" w:cstheme="minorBidi"/>
                                  <w:color w:val="000000" w:themeColor="text1"/>
                                </w:rPr>
                                <w:t>- Прочие акционеры</w:t>
                              </w:r>
                            </w:p>
                          </w:txbxContent>
                        </wps:txbx>
                        <wps:bodyPr rot="0" vert="horz" wrap="square" lIns="91440" tIns="45720" rIns="91440" bIns="45720" anchor="t" anchorCtr="0" upright="1">
                          <a:noAutofit/>
                        </wps:bodyPr>
                      </wps:wsp>
                      <wps:wsp>
                        <wps:cNvPr id="510" name="Надпись 510"/>
                        <wps:cNvSpPr txBox="1">
                          <a:spLocks noChangeArrowheads="1"/>
                        </wps:cNvSpPr>
                        <wps:spPr bwMode="auto">
                          <a:xfrm>
                            <a:off x="7654277" y="1627486"/>
                            <a:ext cx="2121231" cy="1543654"/>
                          </a:xfrm>
                          <a:prstGeom prst="rect">
                            <a:avLst/>
                          </a:prstGeom>
                          <a:noFill/>
                          <a:ln>
                            <a:noFill/>
                          </a:ln>
                        </wps:spPr>
                        <wps:txbx>
                          <w:txbxContent>
                            <w:p w:rsidR="00D602D4" w:rsidRDefault="000B4C86">
                              <w:pPr>
                                <w:pStyle w:val="afd"/>
                                <w:spacing w:after="0"/>
                                <w:rPr>
                                  <w:rFonts w:asciiTheme="minorHAnsi" w:hAnsi="Calibri" w:cstheme="minorBidi"/>
                                  <w:color w:val="000000" w:themeColor="text1"/>
                                </w:rPr>
                              </w:pPr>
                              <w:r>
                                <w:rPr>
                                  <w:rFonts w:asciiTheme="minorHAnsi" w:hAnsi="Calibri" w:cstheme="minorBidi"/>
                                  <w:color w:val="000000" w:themeColor="text1"/>
                                </w:rPr>
                                <w:t>ПОТРЕБИТЕЛИ</w:t>
                              </w:r>
                            </w:p>
                            <w:p w:rsidR="00D602D4" w:rsidRDefault="000B4C86">
                              <w:pPr>
                                <w:pStyle w:val="afd"/>
                                <w:spacing w:after="0"/>
                              </w:pPr>
                              <w:r>
                                <w:rPr>
                                  <w:rFonts w:asciiTheme="minorHAnsi" w:hAnsi="Calibri" w:cstheme="minorBidi"/>
                                  <w:color w:val="000000" w:themeColor="text1"/>
                                </w:rPr>
                                <w:t>ЭЛЕКТРИЧЕСКОЙ ЭНЕРГИИ</w:t>
                              </w:r>
                            </w:p>
                            <w:p w:rsidR="00D602D4" w:rsidRDefault="000B4C86">
                              <w:pPr>
                                <w:pStyle w:val="afd"/>
                                <w:spacing w:after="0"/>
                              </w:pPr>
                              <w:r>
                                <w:rPr>
                                  <w:rFonts w:asciiTheme="minorHAnsi" w:hAnsi="Calibri" w:cstheme="minorBidi"/>
                                  <w:color w:val="000000" w:themeColor="text1"/>
                                </w:rPr>
                                <w:t>- Государство</w:t>
                              </w:r>
                            </w:p>
                            <w:p w:rsidR="00D602D4" w:rsidRDefault="000B4C86">
                              <w:pPr>
                                <w:pStyle w:val="afd"/>
                                <w:spacing w:after="0"/>
                              </w:pPr>
                              <w:r>
                                <w:rPr>
                                  <w:rFonts w:asciiTheme="minorHAnsi" w:hAnsi="Calibri" w:cstheme="minorBidi"/>
                                  <w:color w:val="000000" w:themeColor="text1"/>
                                </w:rPr>
                                <w:t>- Энергосбытовые компании</w:t>
                              </w:r>
                            </w:p>
                            <w:p w:rsidR="00D602D4" w:rsidRDefault="000B4C86">
                              <w:pPr>
                                <w:pStyle w:val="afd"/>
                                <w:spacing w:after="0"/>
                              </w:pPr>
                              <w:r>
                                <w:rPr>
                                  <w:rFonts w:asciiTheme="minorHAnsi" w:hAnsi="Calibri" w:cstheme="minorBidi"/>
                                  <w:color w:val="000000" w:themeColor="text1"/>
                                </w:rPr>
                                <w:t>(Гарантирующие поставщики)</w:t>
                              </w:r>
                            </w:p>
                            <w:p w:rsidR="00D602D4" w:rsidRDefault="000B4C86">
                              <w:pPr>
                                <w:pStyle w:val="afd"/>
                                <w:spacing w:after="0"/>
                              </w:pPr>
                              <w:r>
                                <w:rPr>
                                  <w:rFonts w:asciiTheme="minorHAnsi" w:hAnsi="Calibri" w:cstheme="minorBidi"/>
                                  <w:color w:val="000000" w:themeColor="text1"/>
                                </w:rPr>
                                <w:t>- Прямые потребители</w:t>
                              </w:r>
                            </w:p>
                            <w:p w:rsidR="00D602D4" w:rsidRDefault="000B4C86">
                              <w:pPr>
                                <w:pStyle w:val="afd"/>
                                <w:spacing w:after="0"/>
                              </w:pPr>
                              <w:r>
                                <w:rPr>
                                  <w:rFonts w:asciiTheme="minorHAnsi" w:hAnsi="Calibri" w:cstheme="minorBidi"/>
                                  <w:color w:val="000000" w:themeColor="text1"/>
                                </w:rPr>
                                <w:t>-Территориальные сетевые организации</w:t>
                              </w:r>
                            </w:p>
                          </w:txbxContent>
                        </wps:txbx>
                        <wps:bodyPr rot="0" vert="horz" wrap="square" lIns="91440" tIns="45720" rIns="91440" bIns="45720" anchor="t" anchorCtr="0" upright="1">
                          <a:noAutofit/>
                        </wps:bodyPr>
                      </wps:wsp>
                      <wps:wsp>
                        <wps:cNvPr id="511" name="Надпись 511"/>
                        <wps:cNvSpPr txBox="1">
                          <a:spLocks noChangeArrowheads="1"/>
                        </wps:cNvSpPr>
                        <wps:spPr bwMode="auto">
                          <a:xfrm>
                            <a:off x="2496631" y="410754"/>
                            <a:ext cx="4170736" cy="1007542"/>
                          </a:xfrm>
                          <a:prstGeom prst="rect">
                            <a:avLst/>
                          </a:prstGeom>
                          <a:noFill/>
                          <a:ln w="9525">
                            <a:solidFill>
                              <a:srgbClr val="FF0000"/>
                            </a:solidFill>
                            <a:miter lim="800000"/>
                            <a:headEnd/>
                            <a:tailEnd/>
                          </a:ln>
                        </wps:spPr>
                        <wps:txbx>
                          <w:txbxContent>
                            <w:p w:rsidR="00D602D4" w:rsidRDefault="000B4C86">
                              <w:pPr>
                                <w:pStyle w:val="afd"/>
                                <w:spacing w:after="0"/>
                                <w:jc w:val="center"/>
                              </w:pPr>
                              <w:r>
                                <w:rPr>
                                  <w:rFonts w:asciiTheme="minorHAnsi" w:hAnsi="Calibri" w:cstheme="minorBidi"/>
                                  <w:color w:val="000000" w:themeColor="text1"/>
                                </w:rPr>
                                <w:t>ОРГАНЫ ГОСУДАРСТВЕННОЙ ВЛАСТИ</w:t>
                              </w:r>
                            </w:p>
                            <w:p w:rsidR="00D602D4" w:rsidRDefault="000B4C86">
                              <w:pPr>
                                <w:pStyle w:val="afd"/>
                                <w:spacing w:after="0"/>
                                <w:jc w:val="center"/>
                                <w:rPr>
                                  <w:rFonts w:asciiTheme="minorHAnsi" w:hAnsi="Calibri" w:cstheme="minorBidi"/>
                                  <w:color w:val="000000" w:themeColor="text1"/>
                                </w:rPr>
                              </w:pPr>
                              <w:r>
                                <w:rPr>
                                  <w:rFonts w:asciiTheme="minorHAnsi" w:hAnsi="Calibri" w:cstheme="minorBidi"/>
                                  <w:color w:val="000000" w:themeColor="text1"/>
                                </w:rPr>
                                <w:t xml:space="preserve">Минэнерго России, Росимущество, ФАС России, РЭК, Росстандарт, Росаккредитация, Ростехнадзор, </w:t>
                              </w:r>
                            </w:p>
                            <w:p w:rsidR="00D602D4" w:rsidRDefault="000B4C86">
                              <w:pPr>
                                <w:pStyle w:val="afd"/>
                                <w:spacing w:after="0"/>
                                <w:jc w:val="center"/>
                              </w:pPr>
                              <w:r>
                                <w:rPr>
                                  <w:rFonts w:asciiTheme="minorHAnsi" w:hAnsi="Calibri" w:cstheme="minorBidi"/>
                                  <w:color w:val="000000" w:themeColor="text1"/>
                                </w:rPr>
                                <w:t>региональные органы власти</w:t>
                              </w:r>
                            </w:p>
                            <w:p w:rsidR="00D602D4" w:rsidRDefault="000B4C86">
                              <w:pPr>
                                <w:pStyle w:val="afd"/>
                                <w:spacing w:after="0"/>
                                <w:jc w:val="center"/>
                              </w:pPr>
                              <w:r>
                                <w:rPr>
                                  <w:rFonts w:asciiTheme="minorHAnsi" w:hAnsi="Calibri" w:cstheme="minorBidi"/>
                                  <w:color w:val="000000" w:themeColor="text1"/>
                                </w:rPr>
                                <w:t>(регулирование, надзор, стандартизация)</w:t>
                              </w:r>
                            </w:p>
                          </w:txbxContent>
                        </wps:txbx>
                        <wps:bodyPr rot="0" vert="horz" wrap="square" lIns="91440" tIns="45720" rIns="91440" bIns="45720" anchor="t" anchorCtr="0" upright="1">
                          <a:noAutofit/>
                        </wps:bodyPr>
                      </wps:wsp>
                      <pic:pic xmlns:pic="http://schemas.openxmlformats.org/drawingml/2006/picture">
                        <pic:nvPicPr>
                          <pic:cNvPr id="513" name="Picture 3"/>
                          <pic:cNvPicPr>
                            <a:picLocks noChangeAspect="1" noChangeArrowheads="1"/>
                          </pic:cNvPicPr>
                        </pic:nvPicPr>
                        <pic:blipFill>
                          <a:blip r:embed="rId21"/>
                          <a:stretch/>
                        </pic:blipFill>
                        <pic:spPr bwMode="auto">
                          <a:xfrm>
                            <a:off x="202582" y="1925684"/>
                            <a:ext cx="1406907" cy="1046233"/>
                          </a:xfrm>
                          <a:prstGeom prst="rect">
                            <a:avLst/>
                          </a:prstGeom>
                          <a:noFill/>
                        </pic:spPr>
                      </pic:pic>
                      <wps:wsp>
                        <wps:cNvPr id="514" name="Надпись 514"/>
                        <wps:cNvSpPr txBox="1">
                          <a:spLocks noChangeArrowheads="1"/>
                        </wps:cNvSpPr>
                        <wps:spPr bwMode="auto">
                          <a:xfrm>
                            <a:off x="236007" y="1096740"/>
                            <a:ext cx="1593743" cy="747459"/>
                          </a:xfrm>
                          <a:prstGeom prst="rect">
                            <a:avLst/>
                          </a:prstGeom>
                          <a:noFill/>
                          <a:ln>
                            <a:noFill/>
                          </a:ln>
                        </wps:spPr>
                        <wps:txbx>
                          <w:txbxContent>
                            <w:p w:rsidR="00D602D4" w:rsidRDefault="000B4C86">
                              <w:pPr>
                                <w:pStyle w:val="afd"/>
                                <w:spacing w:after="0"/>
                                <w:rPr>
                                  <w:rFonts w:asciiTheme="minorHAnsi" w:hAnsi="Calibri" w:cstheme="minorBidi"/>
                                  <w:color w:val="000000" w:themeColor="text1"/>
                                </w:rPr>
                              </w:pPr>
                              <w:r>
                                <w:rPr>
                                  <w:rFonts w:asciiTheme="minorHAnsi" w:hAnsi="Calibri" w:cstheme="minorBidi"/>
                                  <w:color w:val="000000" w:themeColor="text1"/>
                                </w:rPr>
                                <w:t>ГЕНЕРАЦИЯ ЭЛЕКТРИЧЕСКОЙ</w:t>
                              </w:r>
                            </w:p>
                            <w:p w:rsidR="00D602D4" w:rsidRDefault="000B4C86">
                              <w:pPr>
                                <w:pStyle w:val="afd"/>
                                <w:spacing w:after="0"/>
                                <w:rPr>
                                  <w:rFonts w:asciiTheme="minorHAnsi" w:hAnsi="Calibri" w:cstheme="minorBidi"/>
                                  <w:color w:val="000000" w:themeColor="text1"/>
                                </w:rPr>
                              </w:pPr>
                              <w:r>
                                <w:rPr>
                                  <w:rFonts w:asciiTheme="minorHAnsi" w:hAnsi="Calibri" w:cstheme="minorBidi"/>
                                  <w:color w:val="000000" w:themeColor="text1"/>
                                </w:rPr>
                                <w:t>ЭНЕРГИИ</w:t>
                              </w:r>
                            </w:p>
                          </w:txbxContent>
                        </wps:txbx>
                        <wps:bodyPr rot="0" vert="horz" wrap="square" lIns="91440" tIns="45720" rIns="91440" bIns="45720" anchor="t" anchorCtr="0" upright="1">
                          <a:noAutofit/>
                        </wps:bodyPr>
                      </wps:wsp>
                      <pic:pic xmlns:pic="http://schemas.openxmlformats.org/drawingml/2006/picture">
                        <pic:nvPicPr>
                          <pic:cNvPr id="515" name="Picture 6"/>
                          <pic:cNvPicPr>
                            <a:picLocks noChangeAspect="1" noChangeArrowheads="1"/>
                          </pic:cNvPicPr>
                        </pic:nvPicPr>
                        <pic:blipFill>
                          <a:blip r:embed="rId22"/>
                          <a:stretch/>
                        </pic:blipFill>
                        <pic:spPr bwMode="auto">
                          <a:xfrm>
                            <a:off x="0" y="3161273"/>
                            <a:ext cx="1857488" cy="1710242"/>
                          </a:xfrm>
                          <a:prstGeom prst="rect">
                            <a:avLst/>
                          </a:prstGeom>
                          <a:noFill/>
                        </pic:spPr>
                      </pic:pic>
                      <wps:wsp>
                        <wps:cNvPr id="516" name="Надпись 516"/>
                        <wps:cNvSpPr txBox="1">
                          <a:spLocks noChangeArrowheads="1"/>
                        </wps:cNvSpPr>
                        <wps:spPr bwMode="auto">
                          <a:xfrm>
                            <a:off x="0" y="4983586"/>
                            <a:ext cx="1609490" cy="451107"/>
                          </a:xfrm>
                          <a:prstGeom prst="rect">
                            <a:avLst/>
                          </a:prstGeom>
                          <a:noFill/>
                          <a:ln>
                            <a:noFill/>
                          </a:ln>
                        </wps:spPr>
                        <wps:txbx>
                          <w:txbxContent>
                            <w:p w:rsidR="00D602D4" w:rsidRDefault="000B4C86">
                              <w:pPr>
                                <w:pStyle w:val="afd"/>
                                <w:spacing w:after="0"/>
                              </w:pPr>
                              <w:r>
                                <w:rPr>
                                  <w:rFonts w:asciiTheme="minorHAnsi" w:hAnsi="Calibri" w:cstheme="minorBidi"/>
                                  <w:color w:val="000000" w:themeColor="text1"/>
                                </w:rPr>
                                <w:t>Магистральные сети</w:t>
                              </w:r>
                            </w:p>
                            <w:p w:rsidR="00D602D4" w:rsidRDefault="000B4C86">
                              <w:pPr>
                                <w:pStyle w:val="afd"/>
                                <w:spacing w:after="0"/>
                              </w:pPr>
                              <w:r>
                                <w:rPr>
                                  <w:rFonts w:asciiTheme="minorHAnsi" w:hAnsi="Calibri" w:cstheme="minorBidi"/>
                                  <w:color w:val="000000" w:themeColor="text1"/>
                                </w:rPr>
                                <w:t>ПАО «Россети»</w:t>
                              </w:r>
                            </w:p>
                          </w:txbxContent>
                        </wps:txbx>
                        <wps:bodyPr rot="0" vert="horz" wrap="square" lIns="91440" tIns="45720" rIns="91440" bIns="45720" anchor="t" anchorCtr="0" upright="1">
                          <a:noAutofit/>
                        </wps:bodyPr>
                      </wps:wsp>
                      <wps:wsp>
                        <wps:cNvPr id="517" name="Надпись 517"/>
                        <wps:cNvSpPr txBox="1">
                          <a:spLocks noChangeArrowheads="1"/>
                        </wps:cNvSpPr>
                        <wps:spPr bwMode="auto">
                          <a:xfrm>
                            <a:off x="3324134" y="5209092"/>
                            <a:ext cx="3130085" cy="752920"/>
                          </a:xfrm>
                          <a:prstGeom prst="rect">
                            <a:avLst/>
                          </a:prstGeom>
                          <a:noFill/>
                          <a:ln w="9525">
                            <a:solidFill>
                              <a:srgbClr val="0070C0"/>
                            </a:solidFill>
                            <a:miter lim="800000"/>
                            <a:headEnd/>
                            <a:tailEnd/>
                          </a:ln>
                        </wps:spPr>
                        <wps:txbx>
                          <w:txbxContent>
                            <w:p w:rsidR="00D602D4" w:rsidRDefault="000B4C86">
                              <w:pPr>
                                <w:pStyle w:val="afd"/>
                                <w:spacing w:after="0"/>
                                <w:jc w:val="center"/>
                              </w:pPr>
                              <w:r>
                                <w:rPr>
                                  <w:rFonts w:asciiTheme="minorHAnsi" w:hAnsi="Calibri" w:cstheme="minorBidi"/>
                                  <w:color w:val="000000" w:themeColor="text1"/>
                                </w:rPr>
                                <w:t xml:space="preserve">ПАО «Россети Сибирь» </w:t>
                              </w:r>
                            </w:p>
                            <w:p w:rsidR="00D602D4" w:rsidRDefault="000B4C86">
                              <w:pPr>
                                <w:pStyle w:val="afd"/>
                                <w:spacing w:after="0"/>
                                <w:jc w:val="center"/>
                              </w:pPr>
                              <w:r>
                                <w:rPr>
                                  <w:rFonts w:asciiTheme="minorHAnsi" w:hAnsi="Calibri" w:cstheme="minorBidi"/>
                                  <w:color w:val="000000" w:themeColor="text1"/>
                                </w:rPr>
                                <w:t>Сети 262,6 тыс. км</w:t>
                              </w:r>
                            </w:p>
                            <w:p w:rsidR="00D602D4" w:rsidRDefault="000B4C86">
                              <w:pPr>
                                <w:pStyle w:val="afd"/>
                                <w:spacing w:after="0"/>
                                <w:jc w:val="center"/>
                              </w:pPr>
                              <w:r>
                                <w:rPr>
                                  <w:rFonts w:asciiTheme="minorHAnsi" w:hAnsi="Calibri" w:cstheme="minorBidi"/>
                                  <w:color w:val="000000" w:themeColor="text1"/>
                                </w:rPr>
                                <w:t>Количество ПС/ТП 61,2 тыс. шт.</w:t>
                              </w:r>
                            </w:p>
                          </w:txbxContent>
                        </wps:txbx>
                        <wps:bodyPr rot="0" vert="horz" wrap="square" lIns="91440" tIns="45720" rIns="91440" bIns="45720" anchor="t" anchorCtr="0" upright="1">
                          <a:noAutofit/>
                        </wps:bodyPr>
                      </wps:wsp>
                      <wps:wsp>
                        <wps:cNvPr id="518" name="Надпись 518"/>
                        <wps:cNvSpPr txBox="1">
                          <a:spLocks noChangeArrowheads="1"/>
                        </wps:cNvSpPr>
                        <wps:spPr bwMode="auto">
                          <a:xfrm>
                            <a:off x="3324337" y="1918944"/>
                            <a:ext cx="2531478" cy="1300464"/>
                          </a:xfrm>
                          <a:prstGeom prst="rect">
                            <a:avLst/>
                          </a:prstGeom>
                          <a:noFill/>
                          <a:ln w="9525">
                            <a:solidFill>
                              <a:schemeClr val="tx2">
                                <a:lumMod val="60000"/>
                                <a:lumOff val="40000"/>
                              </a:schemeClr>
                            </a:solidFill>
                            <a:miter lim="800000"/>
                            <a:headEnd/>
                            <a:tailEnd/>
                          </a:ln>
                        </wps:spPr>
                        <wps:txbx>
                          <w:txbxContent>
                            <w:p w:rsidR="00D602D4" w:rsidRDefault="000B4C86">
                              <w:pPr>
                                <w:pStyle w:val="afd"/>
                                <w:spacing w:after="0"/>
                                <w:jc w:val="center"/>
                                <w:rPr>
                                  <w:rFonts w:asciiTheme="minorHAnsi" w:hAnsi="Calibri" w:cstheme="minorBidi"/>
                                  <w:color w:val="000000" w:themeColor="text1"/>
                                </w:rPr>
                              </w:pPr>
                              <w:r>
                                <w:rPr>
                                  <w:rFonts w:asciiTheme="minorHAnsi" w:hAnsi="Calibri" w:cstheme="minorBidi"/>
                                  <w:color w:val="000000" w:themeColor="text1"/>
                                </w:rPr>
                                <w:t>ПАО «Россети Сибирь»</w:t>
                              </w:r>
                            </w:p>
                            <w:p w:rsidR="00D602D4" w:rsidRDefault="00D602D4">
                              <w:pPr>
                                <w:pStyle w:val="afd"/>
                                <w:spacing w:after="0"/>
                              </w:pPr>
                            </w:p>
                            <w:p w:rsidR="00D602D4" w:rsidRDefault="000B4C86">
                              <w:pPr>
                                <w:pStyle w:val="afd"/>
                                <w:spacing w:after="0"/>
                                <w:jc w:val="center"/>
                                <w:rPr>
                                  <w:rFonts w:asciiTheme="minorHAnsi" w:hAnsi="Calibri" w:cstheme="minorBidi"/>
                                  <w:color w:val="000000" w:themeColor="text1"/>
                                  <w:sz w:val="22"/>
                                  <w:szCs w:val="22"/>
                                </w:rPr>
                              </w:pPr>
                              <w:r>
                                <w:rPr>
                                  <w:rFonts w:asciiTheme="minorHAnsi" w:hAnsi="Calibri" w:cstheme="minorBidi"/>
                                  <w:color w:val="000000" w:themeColor="text1"/>
                                  <w:sz w:val="22"/>
                                  <w:szCs w:val="22"/>
                                </w:rPr>
                                <w:t>Объем переданной электрической энергии 59 000 млн кВт·ч</w:t>
                              </w:r>
                            </w:p>
                            <w:p w:rsidR="00D602D4" w:rsidRDefault="000B4C86">
                              <w:pPr>
                                <w:pStyle w:val="afd"/>
                                <w:spacing w:after="0"/>
                                <w:jc w:val="center"/>
                                <w:rPr>
                                  <w:sz w:val="22"/>
                                  <w:szCs w:val="22"/>
                                </w:rPr>
                              </w:pPr>
                              <w:r>
                                <w:rPr>
                                  <w:rFonts w:asciiTheme="minorHAnsi" w:hAnsi="Calibri" w:cstheme="minorBidi"/>
                                  <w:color w:val="000000" w:themeColor="text1"/>
                                  <w:sz w:val="22"/>
                                  <w:szCs w:val="22"/>
                                </w:rPr>
                                <w:t>Выручка 77 875 млн руб.</w:t>
                              </w:r>
                            </w:p>
                          </w:txbxContent>
                        </wps:txbx>
                        <wps:bodyPr rot="0" vert="horz" wrap="square" lIns="91440" tIns="45720" rIns="91440" bIns="45720" anchor="t" anchorCtr="0" upright="1">
                          <a:noAutofit/>
                        </wps:bodyPr>
                      </wps:wsp>
                      <wps:wsp>
                        <wps:cNvPr id="519" name="Скругленная соединительная линия 519"/>
                        <wps:cNvCnPr/>
                        <wps:spPr bwMode="auto">
                          <a:xfrm rot="10800000" flipV="1">
                            <a:off x="5859576" y="766794"/>
                            <a:ext cx="1685280" cy="997966"/>
                          </a:xfrm>
                          <a:prstGeom prst="curvedConnector3">
                            <a:avLst>
                              <a:gd name="adj1" fmla="val 22148"/>
                            </a:avLst>
                          </a:prstGeom>
                          <a:noFill/>
                          <a:ln w="25400">
                            <a:solidFill>
                              <a:schemeClr val="accent1">
                                <a:lumMod val="100000"/>
                                <a:lumOff val="0"/>
                              </a:schemeClr>
                            </a:solidFill>
                            <a:prstDash val="sysDash"/>
                            <a:round/>
                            <a:headEnd/>
                            <a:tailEnd type="arrow" w="med" len="med"/>
                          </a:ln>
                          <a:effectLst>
                            <a:outerShdw dist="20000" dir="5400000" rotWithShape="0">
                              <a:srgbClr val="000000">
                                <a:alpha val="37999"/>
                              </a:srgbClr>
                            </a:outerShdw>
                          </a:effectLst>
                        </wps:spPr>
                        <wps:bodyPr/>
                      </wps:wsp>
                      <wps:wsp>
                        <wps:cNvPr id="520" name="Скругленная соединительная линия 520"/>
                        <wps:cNvCnPr/>
                        <wps:spPr bwMode="auto">
                          <a:xfrm>
                            <a:off x="1609490" y="2448802"/>
                            <a:ext cx="247994" cy="1567593"/>
                          </a:xfrm>
                          <a:prstGeom prst="curvedConnector3">
                            <a:avLst>
                              <a:gd name="adj1" fmla="val 193667"/>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wps:spPr>
                        <wps:bodyPr/>
                      </wps:wsp>
                      <wps:wsp>
                        <wps:cNvPr id="521" name="Скругленная соединительная линия 521"/>
                        <wps:cNvCnPr/>
                        <wps:spPr bwMode="auto">
                          <a:xfrm flipV="1">
                            <a:off x="1965179" y="2971625"/>
                            <a:ext cx="1358852" cy="1010473"/>
                          </a:xfrm>
                          <a:prstGeom prst="curvedConnector3">
                            <a:avLst>
                              <a:gd name="adj1" fmla="val 39310"/>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wps:spPr>
                        <wps:bodyPr/>
                      </wps:wsp>
                      <wps:wsp>
                        <wps:cNvPr id="522" name="Скругленная соединительная линия 522"/>
                        <wps:cNvCnPr/>
                        <wps:spPr bwMode="auto">
                          <a:xfrm flipV="1">
                            <a:off x="5860895" y="1764762"/>
                            <a:ext cx="1830360" cy="1207155"/>
                          </a:xfrm>
                          <a:prstGeom prst="curvedConnector3">
                            <a:avLst>
                              <a:gd name="adj1" fmla="val 50000"/>
                            </a:avLst>
                          </a:prstGeom>
                          <a:noFill/>
                          <a:ln w="28575">
                            <a:solidFill>
                              <a:schemeClr val="accent1">
                                <a:lumMod val="100000"/>
                                <a:lumOff val="0"/>
                              </a:schemeClr>
                            </a:solidFill>
                            <a:round/>
                            <a:headEnd/>
                            <a:tailEnd type="arrow" w="med" len="med"/>
                          </a:ln>
                          <a:effectLst>
                            <a:outerShdw dist="20000" dir="5400000" rotWithShape="0">
                              <a:srgbClr val="000000">
                                <a:alpha val="37999"/>
                              </a:srgbClr>
                            </a:outerShdw>
                          </a:effectLst>
                        </wps:spPr>
                        <wps:bodyPr/>
                      </wps:wsp>
                      <wps:wsp>
                        <wps:cNvPr id="523" name="Прямая со стрелкой 523"/>
                        <wps:cNvCnPr/>
                        <wps:spPr bwMode="auto">
                          <a:xfrm>
                            <a:off x="4589925" y="1392991"/>
                            <a:ext cx="0" cy="370107"/>
                          </a:xfrm>
                          <a:prstGeom prst="straightConnector1">
                            <a:avLst/>
                          </a:prstGeom>
                          <a:noFill/>
                          <a:ln w="28575">
                            <a:solidFill>
                              <a:srgbClr val="C00000"/>
                            </a:solidFill>
                            <a:round/>
                            <a:headEnd type="none" w="sm" len="sm"/>
                            <a:tailEnd type="arrow" w="lg" len="lg"/>
                          </a:ln>
                          <a:effectLst>
                            <a:outerShdw dist="20000" dir="5400000" rotWithShape="0">
                              <a:srgbClr val="000000">
                                <a:alpha val="37999"/>
                              </a:srgbClr>
                            </a:outerShdw>
                          </a:effectLst>
                        </wps:spPr>
                        <wps:bodyPr/>
                      </wps:wsp>
                      <wps:wsp>
                        <wps:cNvPr id="524" name="Скругленная соединительная линия 524"/>
                        <wps:cNvCnPr/>
                        <wps:spPr bwMode="auto">
                          <a:xfrm rot="10800000" flipV="1">
                            <a:off x="5860895" y="2870892"/>
                            <a:ext cx="1830360" cy="281489"/>
                          </a:xfrm>
                          <a:prstGeom prst="curvedConnector3">
                            <a:avLst>
                              <a:gd name="adj1" fmla="val 50000"/>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wps:spPr>
                        <wps:bodyPr/>
                      </wps:wsp>
                      <wps:wsp>
                        <wps:cNvPr id="525" name="Скругленная соединительная линия 525"/>
                        <wps:cNvCnPr/>
                        <wps:spPr bwMode="auto">
                          <a:xfrm rot="16199998" flipV="1">
                            <a:off x="7309976" y="2455641"/>
                            <a:ext cx="762562" cy="72691"/>
                          </a:xfrm>
                          <a:prstGeom prst="curvedConnector4">
                            <a:avLst>
                              <a:gd name="adj1" fmla="val 1088"/>
                              <a:gd name="adj2" fmla="val 470926"/>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wps:spPr>
                        <wps:bodyPr/>
                      </wps:wsp>
                      <wps:wsp>
                        <wps:cNvPr id="526" name="Скругленная соединительная линия 526"/>
                        <wps:cNvCnPr/>
                        <wps:spPr bwMode="auto">
                          <a:xfrm rot="16199998" flipV="1">
                            <a:off x="7611423" y="2755208"/>
                            <a:ext cx="196245" cy="36345"/>
                          </a:xfrm>
                          <a:prstGeom prst="curvedConnector4">
                            <a:avLst>
                              <a:gd name="adj1" fmla="val -19157"/>
                              <a:gd name="adj2" fmla="val 734894"/>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wps:spPr>
                        <wps:bodyPr/>
                      </wps:wsp>
                      <wps:wsp>
                        <wps:cNvPr id="527" name="Скругленная соединительная линия 527"/>
                        <wps:cNvCnPr/>
                        <wps:spPr bwMode="auto">
                          <a:xfrm rot="16199998" flipV="1">
                            <a:off x="7226500" y="2336441"/>
                            <a:ext cx="965886" cy="109039"/>
                          </a:xfrm>
                          <a:prstGeom prst="curvedConnector4">
                            <a:avLst>
                              <a:gd name="adj1" fmla="val 1241"/>
                              <a:gd name="adj2" fmla="val 445306"/>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wps:spPr>
                        <wps:bodyPr/>
                      </wps:wsp>
                      <wps:wsp>
                        <wps:cNvPr id="528" name="Надпись 528"/>
                        <wps:cNvSpPr txBox="1">
                          <a:spLocks noChangeArrowheads="1"/>
                        </wps:cNvSpPr>
                        <wps:spPr bwMode="auto">
                          <a:xfrm>
                            <a:off x="7816730" y="5353794"/>
                            <a:ext cx="1959388" cy="451009"/>
                          </a:xfrm>
                          <a:prstGeom prst="rect">
                            <a:avLst/>
                          </a:prstGeom>
                          <a:noFill/>
                          <a:ln>
                            <a:noFill/>
                          </a:ln>
                        </wps:spPr>
                        <wps:txbx>
                          <w:txbxContent>
                            <w:p w:rsidR="00D602D4" w:rsidRDefault="000B4C86">
                              <w:pPr>
                                <w:pStyle w:val="afd"/>
                                <w:spacing w:after="0"/>
                              </w:pPr>
                              <w:r>
                                <w:rPr>
                                  <w:rFonts w:asciiTheme="minorHAnsi" w:hAnsi="Calibri" w:cstheme="minorBidi"/>
                                  <w:color w:val="000000" w:themeColor="text1"/>
                                </w:rPr>
                                <w:t>Перетоки электрической энергии</w:t>
                              </w:r>
                            </w:p>
                          </w:txbxContent>
                        </wps:txbx>
                        <wps:bodyPr rot="0" vert="horz" wrap="square" lIns="91440" tIns="45720" rIns="91440" bIns="45720" anchor="t" anchorCtr="0" upright="1">
                          <a:noAutofit/>
                        </wps:bodyPr>
                      </wps:wsp>
                      <wps:wsp>
                        <wps:cNvPr id="529" name="Прямая со стрелкой 529"/>
                        <wps:cNvCnPr/>
                        <wps:spPr bwMode="auto">
                          <a:xfrm>
                            <a:off x="6666963" y="5544418"/>
                            <a:ext cx="1060869" cy="0"/>
                          </a:xfrm>
                          <a:prstGeom prst="straightConnector1">
                            <a:avLst/>
                          </a:prstGeom>
                          <a:noFill/>
                          <a:ln w="25400">
                            <a:solidFill>
                              <a:schemeClr val="accent1">
                                <a:lumMod val="100000"/>
                                <a:lumOff val="0"/>
                              </a:schemeClr>
                            </a:solidFill>
                            <a:round/>
                            <a:headEnd/>
                            <a:tailEnd type="arrow" w="med" len="med"/>
                          </a:ln>
                          <a:effectLst>
                            <a:outerShdw dist="20000" dir="5400000" rotWithShape="0">
                              <a:srgbClr val="000000">
                                <a:alpha val="37999"/>
                              </a:srgbClr>
                            </a:outerShdw>
                          </a:effectLst>
                        </wps:spPr>
                        <wps:bodyPr/>
                      </wps:wsp>
                    </wpg:wgp>
                  </a:graphicData>
                </a:graphic>
              </wp:inline>
            </w:drawing>
          </mc:Choice>
          <mc:Fallback>
            <w:pict>
              <v:group id="Группа 2" o:spid="_x0000_s1027" style="width:785.1pt;height:469.45pt;mso-position-horizontal-relative:char;mso-position-vertical-relative:line" coordsize="99704,5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1" o:spid="_x0000_s1028" type="#_x0000_t75" style="position:absolute;left:18297;top:30523;width:51203;height:22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">
                  <v:imagedata r:id="rId23" o:title=""/>
                </v:shape>
                <v:shape id="Рисунок 12" o:spid="_x0000_s1029" type="#_x0000_t75" style="position:absolute;left:69500;top:30523;width:23409;height:12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">
                  <v:imagedata r:id="rId24" o:title=""/>
                </v:shape>
                <v:shape id="Надпись 506" o:spid="_x0000_s1030" type="#_x0000_t202" style="position:absolute;left:24398;top:34782;width:18928;height:7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" filled="f" strokecolor="white [3212]">
                  <v:textbox>
                    <w:txbxContent>
                      <w:p w:rsidR="00D602D4" w:rsidRDefault="000B4C86">
                        <w:pPr>
                          <w:pStyle w:val="afd"/>
                          <w:spacing w:after="0"/>
                        </w:pPr>
                        <w:r>
                          <w:rPr>
                            <w:rFonts w:asciiTheme="minorHAnsi" w:hAnsi="Calibri" w:cstheme="minorBidi"/>
                          </w:rPr>
                          <w:t xml:space="preserve">Передача электрической энергии     </w:t>
                        </w:r>
                      </w:p>
                      <w:p w:rsidR="00D602D4" w:rsidRDefault="000B4C86">
                        <w:pPr>
                          <w:pStyle w:val="afd"/>
                          <w:spacing w:after="0"/>
                        </w:pPr>
                        <w:r>
                          <w:rPr>
                            <w:rFonts w:asciiTheme="minorHAnsi" w:hAnsi="Calibri" w:cstheme="minorBidi"/>
                          </w:rPr>
                          <w:t>94,7% / 73 716 млн руб.</w:t>
                        </w:r>
                      </w:p>
                    </w:txbxContent>
                  </v:textbox>
                </v:shape>
                <v:shape id="Надпись 507" o:spid="_x0000_s1031" type="#_x0000_t202" style="position:absolute;left:65938;top:43519;width:16739;height:7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" filled="f" strokecolor="white [3212]">
                  <v:textbox>
                    <w:txbxContent>
                      <w:p w:rsidR="00D602D4" w:rsidRDefault="000B4C86">
                        <w:pPr>
                          <w:pStyle w:val="afd"/>
                          <w:spacing w:after="0"/>
                        </w:pPr>
                        <w:r>
                          <w:rPr>
                            <w:rFonts w:asciiTheme="minorHAnsi" w:hAnsi="Calibri" w:cstheme="minorBidi"/>
                            <w:color w:val="000000" w:themeColor="text1"/>
                          </w:rPr>
                          <w:t>Технологическое присоединение</w:t>
                        </w:r>
                      </w:p>
                      <w:p w:rsidR="00D602D4" w:rsidRDefault="000B4C86">
                        <w:pPr>
                          <w:pStyle w:val="afd"/>
                          <w:spacing w:after="0"/>
                          <w:rPr>
                            <w:sz w:val="22"/>
                            <w:szCs w:val="22"/>
                          </w:rPr>
                        </w:pPr>
                        <w:r>
                          <w:rPr>
                            <w:rFonts w:asciiTheme="minorHAnsi" w:hAnsi="Calibri" w:cstheme="minorBidi"/>
                            <w:color w:val="000000" w:themeColor="text1"/>
                            <w:sz w:val="22"/>
                            <w:szCs w:val="22"/>
                          </w:rPr>
                          <w:t>3,6 % /2 816 млн руб.</w:t>
                        </w:r>
                      </w:p>
                    </w:txbxContent>
                  </v:textbox>
                </v:shape>
                <v:shape id="Надпись 508" o:spid="_x0000_s1032" type="#_x0000_t202" style="position:absolute;left:83408;top:43519;width:16296;height:7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" filled="f" strokecolor="white [3212]">
                  <v:textbox>
                    <w:txbxContent>
                      <w:p w:rsidR="00D602D4" w:rsidRDefault="000B4C86">
                        <w:pPr>
                          <w:pStyle w:val="afd"/>
                          <w:spacing w:after="0"/>
                        </w:pPr>
                        <w:r>
                          <w:rPr>
                            <w:rFonts w:asciiTheme="minorHAnsi" w:hAnsi="Calibri" w:cstheme="minorBidi"/>
                            <w:color w:val="000000" w:themeColor="text1"/>
                          </w:rPr>
                          <w:t>Прочие виды деятельности</w:t>
                        </w:r>
                      </w:p>
                      <w:p w:rsidR="00D602D4" w:rsidRDefault="000B4C86">
                        <w:pPr>
                          <w:pStyle w:val="afd"/>
                          <w:spacing w:after="0"/>
                        </w:pPr>
                        <w:r>
                          <w:rPr>
                            <w:rFonts w:asciiTheme="minorHAnsi" w:hAnsi="Calibri" w:cstheme="minorBidi"/>
                            <w:color w:val="000000" w:themeColor="text1"/>
                          </w:rPr>
                          <w:t>1,7% / 1 343 млн руб.</w:t>
                        </w:r>
                      </w:p>
                    </w:txbxContent>
                  </v:textbox>
                </v:shape>
                <v:shape id="Надпись 509" o:spid="_x0000_s1033" type="#_x0000_t202" style="position:absolute;left:75445;width:19019;height:1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" filled="f" stroked="f">
                  <v:textbox>
                    <w:txbxContent>
                      <w:p w:rsidR="00D602D4" w:rsidRDefault="000B4C86">
                        <w:pPr>
                          <w:pStyle w:val="afd"/>
                          <w:spacing w:after="0"/>
                        </w:pPr>
                        <w:r>
                          <w:rPr>
                            <w:rFonts w:asciiTheme="minorHAnsi" w:hAnsi="Calibri" w:cstheme="minorBidi"/>
                            <w:color w:val="000000" w:themeColor="text1"/>
                          </w:rPr>
                          <w:t>АКЦИОНЕРЫ И ИНВЕСТОРЫ</w:t>
                        </w:r>
                      </w:p>
                      <w:p w:rsidR="00D602D4" w:rsidRDefault="000B4C86">
                        <w:pPr>
                          <w:pStyle w:val="afd"/>
                          <w:spacing w:after="0"/>
                        </w:pPr>
                        <w:r>
                          <w:rPr>
                            <w:rFonts w:asciiTheme="minorHAnsi" w:hAnsi="Calibri" w:cstheme="minorBidi"/>
                            <w:color w:val="000000" w:themeColor="text1"/>
                          </w:rPr>
                          <w:t>- Государство</w:t>
                        </w:r>
                      </w:p>
                      <w:p w:rsidR="00D602D4" w:rsidRDefault="000B4C86">
                        <w:pPr>
                          <w:pStyle w:val="afd"/>
                          <w:spacing w:after="0"/>
                        </w:pPr>
                        <w:r>
                          <w:rPr>
                            <w:rFonts w:asciiTheme="minorHAnsi" w:hAnsi="Calibri" w:cstheme="minorBidi"/>
                            <w:color w:val="000000" w:themeColor="text1"/>
                          </w:rPr>
                          <w:t>- Мажоритарный акционер</w:t>
                        </w:r>
                      </w:p>
                      <w:p w:rsidR="00D602D4" w:rsidRDefault="000B4C86">
                        <w:pPr>
                          <w:pStyle w:val="afd"/>
                          <w:spacing w:after="0"/>
                        </w:pPr>
                        <w:r>
                          <w:rPr>
                            <w:rFonts w:asciiTheme="minorHAnsi" w:hAnsi="Calibri" w:cstheme="minorBidi"/>
                            <w:color w:val="000000" w:themeColor="text1"/>
                          </w:rPr>
                          <w:t>- Миноритарные акционеры</w:t>
                        </w:r>
                      </w:p>
                      <w:p w:rsidR="00D602D4" w:rsidRDefault="000B4C86">
                        <w:pPr>
                          <w:pStyle w:val="afd"/>
                          <w:spacing w:after="0"/>
                        </w:pPr>
                        <w:r>
                          <w:rPr>
                            <w:rFonts w:asciiTheme="minorHAnsi" w:hAnsi="Calibri" w:cstheme="minorBidi"/>
                            <w:color w:val="000000" w:themeColor="text1"/>
                          </w:rPr>
                          <w:t>- Прочие акционеры</w:t>
                        </w:r>
                      </w:p>
                    </w:txbxContent>
                  </v:textbox>
                </v:shape>
                <v:shape id="Надпись 510" o:spid="_x0000_s1034" type="#_x0000_t202" style="position:absolute;left:76542;top:16274;width:21213;height:15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" filled="f" stroked="f">
                  <v:textbox>
                    <w:txbxContent>
                      <w:p w:rsidR="00D602D4" w:rsidRDefault="000B4C86">
                        <w:pPr>
                          <w:pStyle w:val="afd"/>
                          <w:spacing w:after="0"/>
                          <w:rPr>
                            <w:rFonts w:asciiTheme="minorHAnsi" w:hAnsi="Calibri" w:cstheme="minorBidi"/>
                            <w:color w:val="000000" w:themeColor="text1"/>
                          </w:rPr>
                        </w:pPr>
                        <w:r>
                          <w:rPr>
                            <w:rFonts w:asciiTheme="minorHAnsi" w:hAnsi="Calibri" w:cstheme="minorBidi"/>
                            <w:color w:val="000000" w:themeColor="text1"/>
                          </w:rPr>
                          <w:t>ПОТРЕБИТЕЛИ</w:t>
                        </w:r>
                      </w:p>
                      <w:p w:rsidR="00D602D4" w:rsidRDefault="000B4C86">
                        <w:pPr>
                          <w:pStyle w:val="afd"/>
                          <w:spacing w:after="0"/>
                        </w:pPr>
                        <w:r>
                          <w:rPr>
                            <w:rFonts w:asciiTheme="minorHAnsi" w:hAnsi="Calibri" w:cstheme="minorBidi"/>
                            <w:color w:val="000000" w:themeColor="text1"/>
                          </w:rPr>
                          <w:t>ЭЛЕКТРИЧЕСКОЙ ЭНЕРГИИ</w:t>
                        </w:r>
                      </w:p>
                      <w:p w:rsidR="00D602D4" w:rsidRDefault="000B4C86">
                        <w:pPr>
                          <w:pStyle w:val="afd"/>
                          <w:spacing w:after="0"/>
                        </w:pPr>
                        <w:r>
                          <w:rPr>
                            <w:rFonts w:asciiTheme="minorHAnsi" w:hAnsi="Calibri" w:cstheme="minorBidi"/>
                            <w:color w:val="000000" w:themeColor="text1"/>
                          </w:rPr>
                          <w:t>- Государство</w:t>
                        </w:r>
                      </w:p>
                      <w:p w:rsidR="00D602D4" w:rsidRDefault="000B4C86">
                        <w:pPr>
                          <w:pStyle w:val="afd"/>
                          <w:spacing w:after="0"/>
                        </w:pPr>
                        <w:r>
                          <w:rPr>
                            <w:rFonts w:asciiTheme="minorHAnsi" w:hAnsi="Calibri" w:cstheme="minorBidi"/>
                            <w:color w:val="000000" w:themeColor="text1"/>
                          </w:rPr>
                          <w:t>- Энергосбытовые компании</w:t>
                        </w:r>
                      </w:p>
                      <w:p w:rsidR="00D602D4" w:rsidRDefault="000B4C86">
                        <w:pPr>
                          <w:pStyle w:val="afd"/>
                          <w:spacing w:after="0"/>
                        </w:pPr>
                        <w:r>
                          <w:rPr>
                            <w:rFonts w:asciiTheme="minorHAnsi" w:hAnsi="Calibri" w:cstheme="minorBidi"/>
                            <w:color w:val="000000" w:themeColor="text1"/>
                          </w:rPr>
                          <w:t>(Гарантирующие поставщики)</w:t>
                        </w:r>
                      </w:p>
                      <w:p w:rsidR="00D602D4" w:rsidRDefault="000B4C86">
                        <w:pPr>
                          <w:pStyle w:val="afd"/>
                          <w:spacing w:after="0"/>
                        </w:pPr>
                        <w:r>
                          <w:rPr>
                            <w:rFonts w:asciiTheme="minorHAnsi" w:hAnsi="Calibri" w:cstheme="minorBidi"/>
                            <w:color w:val="000000" w:themeColor="text1"/>
                          </w:rPr>
                          <w:t>- Прямые потребители</w:t>
                        </w:r>
                      </w:p>
                      <w:p w:rsidR="00D602D4" w:rsidRDefault="000B4C86">
                        <w:pPr>
                          <w:pStyle w:val="afd"/>
                          <w:spacing w:after="0"/>
                        </w:pPr>
                        <w:r>
                          <w:rPr>
                            <w:rFonts w:asciiTheme="minorHAnsi" w:hAnsi="Calibri" w:cstheme="minorBidi"/>
                            <w:color w:val="000000" w:themeColor="text1"/>
                          </w:rPr>
                          <w:t>-Территориальные сетевые организации</w:t>
                        </w:r>
                      </w:p>
                    </w:txbxContent>
                  </v:textbox>
                </v:shape>
                <v:shape id="Надпись 511" o:spid="_x0000_s1035" type="#_x0000_t202" style="position:absolute;left:24966;top:4107;width:41707;height:10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" filled="f" strokecolor="red">
                  <v:textbox>
                    <w:txbxContent>
                      <w:p w:rsidR="00D602D4" w:rsidRDefault="000B4C86">
                        <w:pPr>
                          <w:pStyle w:val="afd"/>
                          <w:spacing w:after="0"/>
                          <w:jc w:val="center"/>
                        </w:pPr>
                        <w:r>
                          <w:rPr>
                            <w:rFonts w:asciiTheme="minorHAnsi" w:hAnsi="Calibri" w:cstheme="minorBidi"/>
                            <w:color w:val="000000" w:themeColor="text1"/>
                          </w:rPr>
                          <w:t>ОРГАНЫ ГОСУДАРСТВЕННОЙ ВЛАСТИ</w:t>
                        </w:r>
                      </w:p>
                      <w:p w:rsidR="00D602D4" w:rsidRDefault="000B4C86">
                        <w:pPr>
                          <w:pStyle w:val="afd"/>
                          <w:spacing w:after="0"/>
                          <w:jc w:val="center"/>
                          <w:rPr>
                            <w:rFonts w:asciiTheme="minorHAnsi" w:hAnsi="Calibri" w:cstheme="minorBidi"/>
                            <w:color w:val="000000" w:themeColor="text1"/>
                          </w:rPr>
                        </w:pPr>
                        <w:r>
                          <w:rPr>
                            <w:rFonts w:asciiTheme="minorHAnsi" w:hAnsi="Calibri" w:cstheme="minorBidi"/>
                            <w:color w:val="000000" w:themeColor="text1"/>
                          </w:rPr>
                          <w:t xml:space="preserve">Минэнерго России, Росимущество, ФАС России, РЭК, Росстандарт, Росаккредитация, Ростехнадзор, </w:t>
                        </w:r>
                      </w:p>
                      <w:p w:rsidR="00D602D4" w:rsidRDefault="000B4C86">
                        <w:pPr>
                          <w:pStyle w:val="afd"/>
                          <w:spacing w:after="0"/>
                          <w:jc w:val="center"/>
                        </w:pPr>
                        <w:r>
                          <w:rPr>
                            <w:rFonts w:asciiTheme="minorHAnsi" w:hAnsi="Calibri" w:cstheme="minorBidi"/>
                            <w:color w:val="000000" w:themeColor="text1"/>
                          </w:rPr>
                          <w:t>региональные органы власти</w:t>
                        </w:r>
                      </w:p>
                      <w:p w:rsidR="00D602D4" w:rsidRDefault="000B4C86">
                        <w:pPr>
                          <w:pStyle w:val="afd"/>
                          <w:spacing w:after="0"/>
                          <w:jc w:val="center"/>
                        </w:pPr>
                        <w:r>
                          <w:rPr>
                            <w:rFonts w:asciiTheme="minorHAnsi" w:hAnsi="Calibri" w:cstheme="minorBidi"/>
                            <w:color w:val="000000" w:themeColor="text1"/>
                          </w:rPr>
                          <w:t>(регулирование, надзор, стандартизация)</w:t>
                        </w:r>
                      </w:p>
                    </w:txbxContent>
                  </v:textbox>
                </v:shape>
                <v:shape id="Picture 3" o:spid="_x0000_s1036" type="#_x0000_t75" style="position:absolute;left:2025;top:19256;width:14069;height:10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">
                  <v:imagedata r:id="rId25" o:title=""/>
                </v:shape>
                <v:shape id="Надпись 514" o:spid="_x0000_s1037" type="#_x0000_t202" style="position:absolute;left:2360;top:10967;width:15937;height:7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rsidR="00D602D4" w:rsidRDefault="000B4C86">
                        <w:pPr>
                          <w:pStyle w:val="afd"/>
                          <w:spacing w:after="0"/>
                          <w:rPr>
                            <w:rFonts w:asciiTheme="minorHAnsi" w:hAnsi="Calibri" w:cstheme="minorBidi"/>
                            <w:color w:val="000000" w:themeColor="text1"/>
                          </w:rPr>
                        </w:pPr>
                        <w:r>
                          <w:rPr>
                            <w:rFonts w:asciiTheme="minorHAnsi" w:hAnsi="Calibri" w:cstheme="minorBidi"/>
                            <w:color w:val="000000" w:themeColor="text1"/>
                          </w:rPr>
                          <w:t>ГЕНЕРАЦИЯ ЭЛЕКТРИЧЕСКОЙ</w:t>
                        </w:r>
                      </w:p>
                      <w:p w:rsidR="00D602D4" w:rsidRDefault="000B4C86">
                        <w:pPr>
                          <w:pStyle w:val="afd"/>
                          <w:spacing w:after="0"/>
                          <w:rPr>
                            <w:rFonts w:asciiTheme="minorHAnsi" w:hAnsi="Calibri" w:cstheme="minorBidi"/>
                            <w:color w:val="000000" w:themeColor="text1"/>
                          </w:rPr>
                        </w:pPr>
                        <w:r>
                          <w:rPr>
                            <w:rFonts w:asciiTheme="minorHAnsi" w:hAnsi="Calibri" w:cstheme="minorBidi"/>
                            <w:color w:val="000000" w:themeColor="text1"/>
                          </w:rPr>
                          <w:t>ЭНЕРГИИ</w:t>
                        </w:r>
                      </w:p>
                    </w:txbxContent>
                  </v:textbox>
                </v:shape>
                <v:shape id="Picture 6" o:spid="_x0000_s1038" type="#_x0000_t75" style="position:absolute;top:31612;width:18574;height:17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">
                  <v:imagedata r:id="rId26" o:title=""/>
                </v:shape>
                <v:shape id="Надпись 516" o:spid="_x0000_s1039" type="#_x0000_t202" style="position:absolute;top:49835;width:16094;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" filled="f" stroked="f">
                  <v:textbox>
                    <w:txbxContent>
                      <w:p w:rsidR="00D602D4" w:rsidRDefault="000B4C86">
                        <w:pPr>
                          <w:pStyle w:val="afd"/>
                          <w:spacing w:after="0"/>
                        </w:pPr>
                        <w:r>
                          <w:rPr>
                            <w:rFonts w:asciiTheme="minorHAnsi" w:hAnsi="Calibri" w:cstheme="minorBidi"/>
                            <w:color w:val="000000" w:themeColor="text1"/>
                          </w:rPr>
                          <w:t>Магистральные сети</w:t>
                        </w:r>
                      </w:p>
                      <w:p w:rsidR="00D602D4" w:rsidRDefault="000B4C86">
                        <w:pPr>
                          <w:pStyle w:val="afd"/>
                          <w:spacing w:after="0"/>
                        </w:pPr>
                        <w:r>
                          <w:rPr>
                            <w:rFonts w:asciiTheme="minorHAnsi" w:hAnsi="Calibri" w:cstheme="minorBidi"/>
                            <w:color w:val="000000" w:themeColor="text1"/>
                          </w:rPr>
                          <w:t>ПАО «Россети»</w:t>
                        </w:r>
                      </w:p>
                    </w:txbxContent>
                  </v:textbox>
                </v:shape>
                <v:shape id="Надпись 517" o:spid="_x0000_s1040" type="#_x0000_t202" style="position:absolute;left:33241;top:52090;width:31301;height:7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" filled="f" strokecolor="#0070c0">
                  <v:textbox>
                    <w:txbxContent>
                      <w:p w:rsidR="00D602D4" w:rsidRDefault="000B4C86">
                        <w:pPr>
                          <w:pStyle w:val="afd"/>
                          <w:spacing w:after="0"/>
                          <w:jc w:val="center"/>
                        </w:pPr>
                        <w:r>
                          <w:rPr>
                            <w:rFonts w:asciiTheme="minorHAnsi" w:hAnsi="Calibri" w:cstheme="minorBidi"/>
                            <w:color w:val="000000" w:themeColor="text1"/>
                          </w:rPr>
                          <w:t xml:space="preserve">ПАО «Россети Сибирь» </w:t>
                        </w:r>
                      </w:p>
                      <w:p w:rsidR="00D602D4" w:rsidRDefault="000B4C86">
                        <w:pPr>
                          <w:pStyle w:val="afd"/>
                          <w:spacing w:after="0"/>
                          <w:jc w:val="center"/>
                        </w:pPr>
                        <w:r>
                          <w:rPr>
                            <w:rFonts w:asciiTheme="minorHAnsi" w:hAnsi="Calibri" w:cstheme="minorBidi"/>
                            <w:color w:val="000000" w:themeColor="text1"/>
                          </w:rPr>
                          <w:t>Сети 262,6 тыс. км</w:t>
                        </w:r>
                      </w:p>
                      <w:p w:rsidR="00D602D4" w:rsidRDefault="000B4C86">
                        <w:pPr>
                          <w:pStyle w:val="afd"/>
                          <w:spacing w:after="0"/>
                          <w:jc w:val="center"/>
                        </w:pPr>
                        <w:r>
                          <w:rPr>
                            <w:rFonts w:asciiTheme="minorHAnsi" w:hAnsi="Calibri" w:cstheme="minorBidi"/>
                            <w:color w:val="000000" w:themeColor="text1"/>
                          </w:rPr>
                          <w:t>Количество ПС/ТП 61,2 тыс. шт.</w:t>
                        </w:r>
                      </w:p>
                    </w:txbxContent>
                  </v:textbox>
                </v:shape>
                <v:shape id="Надпись 518" o:spid="_x0000_s1041" type="#_x0000_t202" style="position:absolute;left:33243;top:19189;width:25315;height:13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" filled="f" strokecolor="#8496b0 [1951]">
                  <v:textbox>
                    <w:txbxContent>
                      <w:p w:rsidR="00D602D4" w:rsidRDefault="000B4C86">
                        <w:pPr>
                          <w:pStyle w:val="afd"/>
                          <w:spacing w:after="0"/>
                          <w:jc w:val="center"/>
                          <w:rPr>
                            <w:rFonts w:asciiTheme="minorHAnsi" w:hAnsi="Calibri" w:cstheme="minorBidi"/>
                            <w:color w:val="000000" w:themeColor="text1"/>
                          </w:rPr>
                        </w:pPr>
                        <w:r>
                          <w:rPr>
                            <w:rFonts w:asciiTheme="minorHAnsi" w:hAnsi="Calibri" w:cstheme="minorBidi"/>
                            <w:color w:val="000000" w:themeColor="text1"/>
                          </w:rPr>
                          <w:t>ПАО «Россети Сибирь»</w:t>
                        </w:r>
                      </w:p>
                      <w:p w:rsidR="00D602D4" w:rsidRDefault="00D602D4">
                        <w:pPr>
                          <w:pStyle w:val="afd"/>
                          <w:spacing w:after="0"/>
                        </w:pPr>
                      </w:p>
                      <w:p w:rsidR="00D602D4" w:rsidRDefault="000B4C86">
                        <w:pPr>
                          <w:pStyle w:val="afd"/>
                          <w:spacing w:after="0"/>
                          <w:jc w:val="center"/>
                          <w:rPr>
                            <w:rFonts w:asciiTheme="minorHAnsi" w:hAnsi="Calibri" w:cstheme="minorBidi"/>
                            <w:color w:val="000000" w:themeColor="text1"/>
                            <w:sz w:val="22"/>
                            <w:szCs w:val="22"/>
                          </w:rPr>
                        </w:pPr>
                        <w:r>
                          <w:rPr>
                            <w:rFonts w:asciiTheme="minorHAnsi" w:hAnsi="Calibri" w:cstheme="minorBidi"/>
                            <w:color w:val="000000" w:themeColor="text1"/>
                            <w:sz w:val="22"/>
                            <w:szCs w:val="22"/>
                          </w:rPr>
                          <w:t>Объем переданной электрической энергии 59 000 млн кВт·ч</w:t>
                        </w:r>
                      </w:p>
                      <w:p w:rsidR="00D602D4" w:rsidRDefault="000B4C86">
                        <w:pPr>
                          <w:pStyle w:val="afd"/>
                          <w:spacing w:after="0"/>
                          <w:jc w:val="center"/>
                          <w:rPr>
                            <w:sz w:val="22"/>
                            <w:szCs w:val="22"/>
                          </w:rPr>
                        </w:pPr>
                        <w:r>
                          <w:rPr>
                            <w:rFonts w:asciiTheme="minorHAnsi" w:hAnsi="Calibri" w:cstheme="minorBidi"/>
                            <w:color w:val="000000" w:themeColor="text1"/>
                            <w:sz w:val="22"/>
                            <w:szCs w:val="22"/>
                          </w:rPr>
                          <w:t>Выручка 77 875 млн руб.</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Скругленная соединительная линия 519" o:spid="_x0000_s1042" type="#_x0000_t38" style="position:absolute;left:58595;top:7667;width:16853;height:9980;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" adj="4784" strokecolor="#5b9bd5 [3204]" strokeweight="2pt">
                  <v:stroke dashstyle="3 1" endarrow="open"/>
                  <v:shadow on="t" color="black" opacity="24903f" origin=",.5" offset="0,.55556mm"/>
                </v:shape>
                <v:shape id="Скругленная соединительная линия 520" o:spid="_x0000_s1043" type="#_x0000_t38" style="position:absolute;left:16094;top:24488;width:2480;height:15675;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" adj="41832" strokecolor="#5b9bd5 [3204]" strokeweight="2pt">
                  <v:stroke endarrow="open"/>
                  <v:shadow on="t" color="black" opacity="24903f" origin=",.5" offset="0,.55556mm"/>
                </v:shape>
                <v:shape id="Скругленная соединительная линия 521" o:spid="_x0000_s1044" type="#_x0000_t38" style="position:absolute;left:19651;top:29716;width:13589;height:10104;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" adj="8491" strokecolor="#5b9bd5 [3204]" strokeweight="2pt">
                  <v:stroke endarrow="open"/>
                  <v:shadow on="t" color="black" opacity="24903f" origin=",.5" offset="0,.55556mm"/>
                </v:shape>
                <v:shape id="Скругленная соединительная линия 522" o:spid="_x0000_s1045" type="#_x0000_t38" style="position:absolute;left:58608;top:17647;width:18304;height:12072;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" adj="10800" strokecolor="#5b9bd5 [3204]" strokeweight="2.25pt">
                  <v:stroke endarrow="open"/>
                  <v:shadow on="t" color="black" opacity="24903f" origin=",.5" offset="0,.55556mm"/>
                </v:shape>
                <v:shapetype id="_x0000_t32" coordsize="21600,21600" o:spt="32" o:oned="t" path="m,l21600,21600e" filled="f">
                  <v:path arrowok="t" fillok="f" o:connecttype="none"/>
                  <o:lock v:ext="edit" shapetype="t"/>
                </v:shapetype>
                <v:shape id="Прямая со стрелкой 523" o:spid="_x0000_s1046" type="#_x0000_t32" style="position:absolute;left:45899;top:13929;width:0;height:37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" strokecolor="#c00000" strokeweight="2.25pt">
                  <v:stroke startarrowwidth="narrow" startarrowlength="short" endarrow="open" endarrowwidth="wide" endarrowlength="long"/>
                  <v:shadow on="t" color="black" opacity="24903f" origin=",.5" offset="0,.55556mm"/>
                </v:shape>
                <v:shape id="Скругленная соединительная линия 524" o:spid="_x0000_s1047" type="#_x0000_t38" style="position:absolute;left:58608;top:28708;width:18304;height:2815;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" adj="10800" strokecolor="#5b9bd5 [3204]" strokeweight="2pt">
                  <v:stroke endarrow="open"/>
                  <v:shadow on="t" color="black" opacity="24903f" origin=",.5" offset="0,.55556mm"/>
                </v:shape>
                <v:shapetype id="_x0000_t39" coordsize="21600,21600" o:spt="39" o:oned="t" path="m,c@0,0@1@6@1@5@1@7@3@8@2@8@4@8,21600@9,21600,21600e" filled="f">
                  <v:formulas>
                    <v:f eqn="mid #0 0"/>
                    <v:f eqn="val #0"/>
                    <v:f eqn="mid #0 21600"/>
                    <v:f eqn="mid #0 @2"/>
                    <v:f eqn="mid @2 21600"/>
                    <v:f eqn="mid #1 0"/>
                    <v:f eqn="mid @5 0"/>
                    <v:f eqn="mid #1 @5"/>
                    <v:f eqn="val #1"/>
                    <v:f eqn="mid #1 21600"/>
                  </v:formulas>
                  <v:path arrowok="t" fillok="f" o:connecttype="none"/>
                  <v:handles>
                    <v:h position="#0,@5"/>
                    <v:h position="@2,#1"/>
                  </v:handles>
                  <o:lock v:ext="edit" shapetype="t"/>
                </v:shapetype>
                <v:shape id="Скругленная соединительная линия 525" o:spid="_x0000_s1048" type="#_x0000_t39" style="position:absolute;left:73100;top:24556;width:7625;height:727;rotation:5898242fd;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" adj="235,101720" strokecolor="#5b9bd5 [3204]" strokeweight="2pt">
                  <v:stroke endarrow="open"/>
                  <v:shadow on="t" color="black" opacity="24903f" origin=",.5" offset="0,.55556mm"/>
                </v:shape>
                <v:shape id="Скругленная соединительная линия 526" o:spid="_x0000_s1049" type="#_x0000_t39" style="position:absolute;left:76113;top:27552;width:1963;height:364;rotation:5898242fd;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" adj="-4138,158737" strokecolor="#5b9bd5 [3204]" strokeweight="2pt">
                  <v:stroke endarrow="open"/>
                  <v:shadow on="t" color="black" opacity="24903f" origin=",.5" offset="0,.55556mm"/>
                </v:shape>
                <v:shape id="Скругленная соединительная линия 527" o:spid="_x0000_s1050" type="#_x0000_t39" style="position:absolute;left:72264;top:23365;width:9659;height:1090;rotation:5898242fd;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" adj="268,96186" strokecolor="#5b9bd5 [3204]" strokeweight="2pt">
                  <v:stroke endarrow="open"/>
                  <v:shadow on="t" color="black" opacity="24903f" origin=",.5" offset="0,.55556mm"/>
                </v:shape>
                <v:shape id="Надпись 528" o:spid="_x0000_s1051" type="#_x0000_t202" style="position:absolute;left:78167;top:53537;width:19594;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rsidR="00D602D4" w:rsidRDefault="000B4C86">
                        <w:pPr>
                          <w:pStyle w:val="afd"/>
                          <w:spacing w:after="0"/>
                        </w:pPr>
                        <w:r>
                          <w:rPr>
                            <w:rFonts w:asciiTheme="minorHAnsi" w:hAnsi="Calibri" w:cstheme="minorBidi"/>
                            <w:color w:val="000000" w:themeColor="text1"/>
                          </w:rPr>
                          <w:t>Перетоки электрической энергии</w:t>
                        </w:r>
                      </w:p>
                    </w:txbxContent>
                  </v:textbox>
                </v:shape>
                <v:shape id="Прямая со стрелкой 529" o:spid="_x0000_s1052" type="#_x0000_t32" style="position:absolute;left:66669;top:55444;width:106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" strokecolor="#5b9bd5 [3204]" strokeweight="2pt">
                  <v:stroke endarrow="open"/>
                  <v:shadow on="t" color="black" opacity="24903f" origin=",.5" offset="0,.55556mm"/>
                </v:shape>
                <w10:anchorlock/>
              </v:group>
            </w:pict>
          </mc:Fallback>
        </mc:AlternateContent>
      </w:r>
    </w:p>
    <w:p w:rsidR="00D602D4" w:rsidRDefault="00D602D4">
      <w:pPr>
        <w:spacing w:line="240" w:lineRule="auto"/>
        <w:jc w:val="both"/>
        <w:rPr>
          <w:rFonts w:ascii="Times New Roman" w:hAnsi="Times New Roman" w:cs="Times New Roman"/>
          <w:b/>
          <w:bCs/>
          <w:sz w:val="24"/>
          <w:szCs w:val="24"/>
        </w:rPr>
      </w:pPr>
    </w:p>
    <w:p w:rsidR="00D602D4" w:rsidRDefault="000B4C86">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sz w:val="24"/>
          <w:szCs w:val="24"/>
        </w:rPr>
        <w:t>Ключевые события 2024 года</w:t>
      </w:r>
    </w:p>
    <w:p w:rsidR="00D602D4" w:rsidRDefault="00D602D4">
      <w:pPr>
        <w:spacing w:after="0" w:line="240" w:lineRule="auto"/>
        <w:jc w:val="both"/>
        <w:rPr>
          <w:rFonts w:ascii="Times New Roman" w:hAnsi="Times New Roman" w:cs="Times New Roman"/>
          <w:b/>
          <w:sz w:val="24"/>
          <w:szCs w:val="24"/>
        </w:rPr>
      </w:pPr>
    </w:p>
    <w:p w:rsidR="00D602D4" w:rsidRDefault="000B4C86">
      <w:pPr>
        <w:spacing w:after="0" w:line="240" w:lineRule="auto"/>
        <w:jc w:val="both"/>
        <w:rPr>
          <w:rFonts w:ascii="Times New Roman" w:eastAsia="Times New Roman" w:hAnsi="Times New Roman"/>
          <w:b/>
          <w:color w:val="000000" w:themeColor="text1"/>
          <w:sz w:val="24"/>
          <w:szCs w:val="24"/>
        </w:rPr>
      </w:pPr>
      <w:r>
        <w:rPr>
          <w:rFonts w:ascii="Times New Roman" w:eastAsia="Times New Roman" w:hAnsi="Times New Roman"/>
          <w:b/>
          <w:bCs/>
          <w:color w:val="000000" w:themeColor="text1"/>
          <w:sz w:val="24"/>
          <w:szCs w:val="24"/>
        </w:rPr>
        <w:t>Январь</w:t>
      </w:r>
    </w:p>
    <w:p w:rsidR="00D602D4" w:rsidRDefault="000B4C86">
      <w:pPr>
        <w:spacing w:after="0" w:line="24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В Омской области заключено одно из первых регуляторных соглашений в электроэнергетике России между властью региона и «Россети Сибирь» сроком на 10 лет. Объем инвестиций в энергетику в рамках регуляторного соглашения – порядка 3 млрд рублей.</w:t>
      </w:r>
    </w:p>
    <w:p w:rsidR="00D602D4" w:rsidRDefault="00D602D4">
      <w:pPr>
        <w:spacing w:after="0" w:line="240" w:lineRule="auto"/>
        <w:jc w:val="both"/>
        <w:rPr>
          <w:rFonts w:ascii="Times New Roman" w:hAnsi="Times New Roman"/>
          <w:color w:val="000000" w:themeColor="text1"/>
          <w:sz w:val="24"/>
          <w:szCs w:val="24"/>
        </w:rPr>
      </w:pPr>
    </w:p>
    <w:p w:rsidR="00D602D4" w:rsidRDefault="000B4C86">
      <w:pPr>
        <w:spacing w:after="0" w:line="240" w:lineRule="auto"/>
        <w:jc w:val="both"/>
        <w:rPr>
          <w:rFonts w:ascii="Times New Roman" w:eastAsia="Times New Roman" w:hAnsi="Times New Roman"/>
          <w:b/>
          <w:iCs/>
          <w:color w:val="000000" w:themeColor="text1"/>
          <w:sz w:val="24"/>
          <w:szCs w:val="24"/>
        </w:rPr>
      </w:pPr>
      <w:r>
        <w:rPr>
          <w:rFonts w:ascii="Times New Roman" w:eastAsia="Times New Roman" w:hAnsi="Times New Roman"/>
          <w:b/>
          <w:bCs/>
          <w:color w:val="000000" w:themeColor="text1"/>
          <w:sz w:val="24"/>
          <w:szCs w:val="24"/>
        </w:rPr>
        <w:t>Февраль</w:t>
      </w:r>
    </w:p>
    <w:p w:rsidR="00D602D4" w:rsidRDefault="000B4C86">
      <w:pPr>
        <w:spacing w:after="0" w:line="24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В преддверии старта ремонтной программы энергетики Кузбасса получили новые автомобили. Среди них 28 бригадных автомобилей марки «Соболь» и 2 единицы тяжелой техники. Это стало продолжением реализации масштабной программы по обновлению автопарка «Россети Сибирь».</w:t>
      </w:r>
    </w:p>
    <w:p w:rsidR="00D602D4" w:rsidRDefault="00D602D4">
      <w:pPr>
        <w:spacing w:after="0" w:line="240" w:lineRule="auto"/>
        <w:jc w:val="both"/>
        <w:rPr>
          <w:rFonts w:ascii="Times New Roman" w:eastAsia="Times New Roman" w:hAnsi="Times New Roman"/>
          <w:color w:val="000000" w:themeColor="text1"/>
          <w:sz w:val="24"/>
          <w:szCs w:val="24"/>
        </w:rPr>
      </w:pPr>
    </w:p>
    <w:p w:rsidR="00D602D4" w:rsidRDefault="000B4C86">
      <w:pPr>
        <w:spacing w:after="0" w:line="240" w:lineRule="auto"/>
        <w:jc w:val="both"/>
        <w:rPr>
          <w:rFonts w:ascii="Times New Roman" w:eastAsia="Times New Roman" w:hAnsi="Times New Roman"/>
          <w:b/>
          <w:bCs/>
          <w:color w:val="000000" w:themeColor="text1"/>
          <w:sz w:val="24"/>
          <w:szCs w:val="24"/>
        </w:rPr>
      </w:pPr>
      <w:r>
        <w:rPr>
          <w:rFonts w:ascii="Times New Roman" w:eastAsia="Times New Roman" w:hAnsi="Times New Roman"/>
          <w:b/>
          <w:bCs/>
          <w:color w:val="000000" w:themeColor="text1"/>
          <w:sz w:val="24"/>
          <w:szCs w:val="24"/>
        </w:rPr>
        <w:t>Март</w:t>
      </w:r>
    </w:p>
    <w:p w:rsidR="00D602D4" w:rsidRDefault="000B4C86">
      <w:pPr>
        <w:spacing w:after="0" w:line="240" w:lineRule="auto"/>
        <w:jc w:val="both"/>
        <w:rPr>
          <w:rFonts w:ascii="Times New Roman" w:hAnsi="Times New Roman"/>
          <w:b/>
          <w:bCs/>
          <w:i/>
          <w:color w:val="000000" w:themeColor="text1"/>
          <w:sz w:val="24"/>
          <w:szCs w:val="24"/>
        </w:rPr>
      </w:pPr>
      <w:r>
        <w:rPr>
          <w:rFonts w:ascii="Times New Roman" w:eastAsia="Times New Roman" w:hAnsi="Times New Roman"/>
          <w:color w:val="000000" w:themeColor="text1"/>
          <w:sz w:val="24"/>
          <w:szCs w:val="24"/>
        </w:rPr>
        <w:t xml:space="preserve">Компания «Россети Сибирь» запустила экскурсионные программы на свои подстанции и в Центры управления сетями во всех регионах присутствия - от Омска до Забайкалья. Новый профориентационный проект для школьников стартовал в марте 2024 года. Для учеников это уникальная возможность побывать на действующей подстанции, своими глазами увидеть повседневную жизнь и работу энергетиков изнутри. В роли экскурсоводов выступают действующие сотрудники компании. </w:t>
      </w:r>
    </w:p>
    <w:p w:rsidR="00D602D4" w:rsidRDefault="00D602D4">
      <w:pPr>
        <w:spacing w:after="0" w:line="240" w:lineRule="auto"/>
        <w:jc w:val="both"/>
        <w:rPr>
          <w:rFonts w:ascii="Times New Roman" w:hAnsi="Times New Roman"/>
          <w:b/>
          <w:bCs/>
          <w:i/>
          <w:color w:val="000000" w:themeColor="text1"/>
          <w:sz w:val="24"/>
          <w:szCs w:val="24"/>
        </w:rPr>
      </w:pPr>
    </w:p>
    <w:p w:rsidR="00D602D4" w:rsidRDefault="000B4C86">
      <w:pPr>
        <w:spacing w:after="0" w:line="240" w:lineRule="auto"/>
        <w:jc w:val="both"/>
        <w:rPr>
          <w:rFonts w:ascii="Times New Roman" w:hAnsi="Times New Roman"/>
          <w:b/>
          <w:bCs/>
          <w:i/>
          <w:color w:val="000000" w:themeColor="text1"/>
          <w:sz w:val="24"/>
          <w:szCs w:val="24"/>
        </w:rPr>
      </w:pPr>
      <w:r>
        <w:rPr>
          <w:rFonts w:ascii="Times New Roman" w:eastAsia="Times New Roman" w:hAnsi="Times New Roman"/>
          <w:b/>
          <w:bCs/>
          <w:color w:val="000000" w:themeColor="text1"/>
          <w:sz w:val="24"/>
          <w:szCs w:val="24"/>
        </w:rPr>
        <w:t>Апрель</w:t>
      </w:r>
      <w:r>
        <w:rPr>
          <w:rFonts w:ascii="Times New Roman" w:eastAsia="Times New Roman" w:hAnsi="Times New Roman"/>
          <w:b/>
          <w:i/>
          <w:iCs/>
          <w:color w:val="000000" w:themeColor="text1"/>
          <w:sz w:val="24"/>
          <w:szCs w:val="24"/>
        </w:rPr>
        <w:t xml:space="preserve"> </w:t>
      </w:r>
    </w:p>
    <w:p w:rsidR="00D602D4" w:rsidRDefault="000B4C86">
      <w:pPr>
        <w:pBdr>
          <w:top w:val="none" w:sz="4" w:space="0" w:color="000000"/>
          <w:left w:val="none" w:sz="4" w:space="0" w:color="000000"/>
          <w:bottom w:val="none" w:sz="4" w:space="0" w:color="000000"/>
          <w:right w:val="none" w:sz="4" w:space="0" w:color="000000"/>
        </w:pBdr>
        <w:spacing w:after="0" w:line="24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pacing w:val="9"/>
          <w:sz w:val="24"/>
          <w:szCs w:val="24"/>
        </w:rPr>
        <w:t xml:space="preserve">ПАО «Россети Сибирь» и «eCars» открыли электрозарядный хаб в Красноярске </w:t>
      </w:r>
      <w:r>
        <w:rPr>
          <w:rFonts w:ascii="Times New Roman" w:eastAsia="Times New Roman" w:hAnsi="Times New Roman"/>
          <w:color w:val="000000" w:themeColor="text1"/>
          <w:sz w:val="24"/>
          <w:szCs w:val="24"/>
        </w:rPr>
        <w:t>на новой многоуровневой парковке на улице Красной Армии. Она является круглосуточной, рассчитана на 447 парковочных мест. Ранее в рамках совместного проекта были установлены 3 медленных электрозаряднях станции (ЭЗС) в спальных районах Омска, еще 5 - в Чите, 10 - в Улан-Удэ.</w:t>
      </w:r>
      <w:r>
        <w:rPr>
          <w:rFonts w:ascii="Times New Roman" w:eastAsia="Times New Roman" w:hAnsi="Times New Roman"/>
          <w:color w:val="000000" w:themeColor="text1"/>
          <w:spacing w:val="9"/>
          <w:sz w:val="24"/>
          <w:szCs w:val="24"/>
        </w:rPr>
        <w:t xml:space="preserve"> Следом «Россети Сибирь» открыли первую ЭЗС в Дивногорске Красноярского края</w:t>
      </w:r>
      <w:r>
        <w:rPr>
          <w:rFonts w:ascii="Times New Roman" w:eastAsia="Times New Roman" w:hAnsi="Times New Roman"/>
          <w:color w:val="000000" w:themeColor="text1"/>
          <w:sz w:val="24"/>
          <w:szCs w:val="24"/>
        </w:rPr>
        <w:t>.</w:t>
      </w:r>
    </w:p>
    <w:p w:rsidR="00D602D4" w:rsidRDefault="00D602D4">
      <w:pPr>
        <w:pBdr>
          <w:top w:val="none" w:sz="4" w:space="0" w:color="000000"/>
          <w:left w:val="none" w:sz="4" w:space="0" w:color="000000"/>
          <w:bottom w:val="none" w:sz="4" w:space="0" w:color="000000"/>
          <w:right w:val="none" w:sz="4" w:space="0" w:color="000000"/>
        </w:pBdr>
        <w:spacing w:after="0" w:line="240" w:lineRule="auto"/>
        <w:jc w:val="both"/>
        <w:rPr>
          <w:rFonts w:ascii="Times New Roman" w:hAnsi="Times New Roman"/>
          <w:color w:val="000000" w:themeColor="text1"/>
          <w:sz w:val="24"/>
          <w:szCs w:val="24"/>
        </w:rPr>
      </w:pPr>
    </w:p>
    <w:p w:rsidR="00D602D4" w:rsidRDefault="000B4C86">
      <w:pPr>
        <w:spacing w:after="0" w:line="240" w:lineRule="auto"/>
        <w:jc w:val="both"/>
        <w:rPr>
          <w:rFonts w:ascii="Times New Roman" w:hAnsi="Times New Roman"/>
          <w:b/>
          <w:bCs/>
          <w:i/>
          <w:color w:val="000000" w:themeColor="text1"/>
          <w:sz w:val="24"/>
          <w:szCs w:val="24"/>
        </w:rPr>
      </w:pPr>
      <w:r>
        <w:rPr>
          <w:rFonts w:ascii="Times New Roman" w:eastAsia="Times New Roman" w:hAnsi="Times New Roman"/>
          <w:b/>
          <w:bCs/>
          <w:color w:val="000000" w:themeColor="text1"/>
          <w:sz w:val="24"/>
          <w:szCs w:val="24"/>
        </w:rPr>
        <w:t>Май</w:t>
      </w:r>
    </w:p>
    <w:p w:rsidR="00D602D4" w:rsidRDefault="000B4C86">
      <w:pPr>
        <w:spacing w:after="0" w:line="24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pacing w:val="9"/>
          <w:sz w:val="24"/>
          <w:szCs w:val="24"/>
        </w:rPr>
        <w:t>ПАО «Россети Сибирь» обеспечили электроэнергией крупнейший музейно-театральный комплекс в Кузбассе.</w:t>
      </w:r>
      <w:r>
        <w:rPr>
          <w:rFonts w:ascii="Times New Roman" w:eastAsia="Times New Roman" w:hAnsi="Times New Roman"/>
          <w:color w:val="000000" w:themeColor="text1"/>
          <w:sz w:val="24"/>
          <w:szCs w:val="24"/>
        </w:rPr>
        <w:t xml:space="preserve"> Проект реализуется в рамках создания культурных кластеров по поручению Президента Российской Федерации. Для подключения к сетям нового объекта «Россети Сибирь» провели реконструкцию подстанции 110 кВ «Имени В.И. Лапина», которая обеспечивает электроснабжение потребителей в Кемерове. На техническое перевооружение подстанции энергетики направили 43 млн рублей.  Мощность присоединения составила 5 МВт.</w:t>
      </w:r>
    </w:p>
    <w:p w:rsidR="00D602D4" w:rsidRDefault="00D602D4">
      <w:pPr>
        <w:spacing w:after="0" w:line="240" w:lineRule="auto"/>
        <w:jc w:val="both"/>
        <w:rPr>
          <w:rFonts w:ascii="Times New Roman" w:eastAsia="Times New Roman" w:hAnsi="Times New Roman"/>
          <w:color w:val="000000" w:themeColor="text1"/>
          <w:sz w:val="24"/>
          <w:szCs w:val="24"/>
        </w:rPr>
      </w:pPr>
    </w:p>
    <w:p w:rsidR="00D602D4" w:rsidRDefault="000B4C86">
      <w:pPr>
        <w:spacing w:after="0" w:line="240" w:lineRule="auto"/>
        <w:jc w:val="both"/>
        <w:rPr>
          <w:rFonts w:ascii="Times New Roman" w:hAnsi="Times New Roman"/>
          <w:b/>
          <w:bCs/>
          <w:color w:val="000000" w:themeColor="text1"/>
          <w:sz w:val="24"/>
          <w:szCs w:val="24"/>
        </w:rPr>
      </w:pPr>
      <w:r>
        <w:rPr>
          <w:rFonts w:ascii="Times New Roman" w:eastAsia="Times New Roman" w:hAnsi="Times New Roman"/>
          <w:b/>
          <w:bCs/>
          <w:color w:val="000000" w:themeColor="text1"/>
          <w:sz w:val="24"/>
          <w:szCs w:val="24"/>
        </w:rPr>
        <w:t xml:space="preserve">Июнь </w:t>
      </w:r>
    </w:p>
    <w:p w:rsidR="00D602D4" w:rsidRDefault="000B4C86">
      <w:pPr>
        <w:spacing w:after="0" w:line="240" w:lineRule="auto"/>
        <w:jc w:val="both"/>
        <w:rPr>
          <w:rFonts w:ascii="Times New Roman" w:eastAsia="Times New Roman" w:hAnsi="Times New Roman"/>
          <w:color w:val="000000" w:themeColor="text1"/>
          <w:spacing w:val="9"/>
          <w:sz w:val="24"/>
          <w:szCs w:val="24"/>
        </w:rPr>
      </w:pPr>
      <w:r>
        <w:rPr>
          <w:rFonts w:ascii="Times New Roman" w:eastAsia="Times New Roman" w:hAnsi="Times New Roman"/>
          <w:color w:val="000000" w:themeColor="text1"/>
          <w:spacing w:val="9"/>
          <w:sz w:val="24"/>
          <w:szCs w:val="24"/>
        </w:rPr>
        <w:t>18 июня в форме заочного голосования состоялось годовое общее собрание акционеров ПАО «Россети Сибирь», на котором были утверждены годовой отчёт и годовая бухгалтерская (финансовая) отчётность за 2023 год, а также избран новый состав Совета директоров и ревизионной комиссии Общества.</w:t>
      </w:r>
    </w:p>
    <w:p w:rsidR="00D602D4" w:rsidRDefault="00D602D4">
      <w:pPr>
        <w:spacing w:after="0" w:line="240" w:lineRule="auto"/>
        <w:jc w:val="both"/>
        <w:rPr>
          <w:rFonts w:ascii="Times New Roman" w:eastAsia="Times New Roman" w:hAnsi="Times New Roman"/>
          <w:color w:val="000000" w:themeColor="text1"/>
          <w:spacing w:val="9"/>
          <w:sz w:val="24"/>
          <w:szCs w:val="24"/>
        </w:rPr>
      </w:pPr>
    </w:p>
    <w:p w:rsidR="00D602D4" w:rsidRDefault="000B4C86">
      <w:pPr>
        <w:spacing w:after="0" w:line="240" w:lineRule="auto"/>
        <w:jc w:val="both"/>
        <w:rPr>
          <w:rFonts w:ascii="Times New Roman" w:hAnsi="Times New Roman"/>
          <w:b/>
          <w:bCs/>
          <w:color w:val="000000" w:themeColor="text1"/>
          <w:sz w:val="24"/>
          <w:szCs w:val="24"/>
        </w:rPr>
      </w:pPr>
      <w:r>
        <w:rPr>
          <w:rFonts w:ascii="Times New Roman" w:eastAsia="Times New Roman" w:hAnsi="Times New Roman"/>
          <w:b/>
          <w:bCs/>
          <w:color w:val="000000" w:themeColor="text1"/>
          <w:sz w:val="24"/>
          <w:szCs w:val="24"/>
        </w:rPr>
        <w:t xml:space="preserve">Июль </w:t>
      </w:r>
    </w:p>
    <w:p w:rsidR="00D602D4" w:rsidRDefault="000B4C86">
      <w:pPr>
        <w:spacing w:after="0" w:line="240" w:lineRule="auto"/>
        <w:jc w:val="both"/>
        <w:rPr>
          <w:rFonts w:ascii="Times New Roman" w:hAnsi="Times New Roman"/>
          <w:i/>
          <w:color w:val="000000" w:themeColor="text1"/>
          <w:sz w:val="24"/>
          <w:szCs w:val="24"/>
        </w:rPr>
      </w:pPr>
      <w:r>
        <w:rPr>
          <w:rFonts w:ascii="Times New Roman" w:eastAsia="Times New Roman" w:hAnsi="Times New Roman"/>
          <w:color w:val="000000" w:themeColor="text1"/>
          <w:spacing w:val="9"/>
          <w:sz w:val="24"/>
          <w:szCs w:val="24"/>
        </w:rPr>
        <w:t xml:space="preserve">В ПАО «Россети Сибирь» стартовал </w:t>
      </w:r>
      <w:r>
        <w:rPr>
          <w:rFonts w:ascii="Times New Roman" w:eastAsia="Times New Roman" w:hAnsi="Times New Roman"/>
          <w:color w:val="000000" w:themeColor="text1"/>
          <w:sz w:val="24"/>
          <w:szCs w:val="24"/>
        </w:rPr>
        <w:t>XV</w:t>
      </w:r>
      <w:r>
        <w:rPr>
          <w:rFonts w:ascii="Times New Roman" w:eastAsia="Times New Roman" w:hAnsi="Times New Roman"/>
          <w:color w:val="000000" w:themeColor="text1"/>
          <w:spacing w:val="9"/>
          <w:sz w:val="24"/>
          <w:szCs w:val="24"/>
        </w:rPr>
        <w:t xml:space="preserve"> юбилейный сезон студенческих энергоотрядов.</w:t>
      </w:r>
      <w:r>
        <w:rPr>
          <w:rFonts w:ascii="Times New Roman" w:eastAsia="Times New Roman" w:hAnsi="Times New Roman"/>
          <w:color w:val="000000" w:themeColor="text1"/>
          <w:sz w:val="24"/>
          <w:szCs w:val="24"/>
        </w:rPr>
        <w:t xml:space="preserve"> К работе приступили 368 студентов </w:t>
      </w:r>
      <w:r>
        <w:rPr>
          <w:rFonts w:ascii="Times New Roman" w:eastAsia="Times New Roman" w:hAnsi="Times New Roman"/>
          <w:color w:val="000000" w:themeColor="text1"/>
          <w:sz w:val="24"/>
          <w:szCs w:val="24"/>
          <w:highlight w:val="white"/>
        </w:rPr>
        <w:t>энергетических факультетов </w:t>
      </w:r>
      <w:r>
        <w:rPr>
          <w:rFonts w:ascii="Times New Roman" w:eastAsia="Times New Roman" w:hAnsi="Times New Roman"/>
          <w:color w:val="000000" w:themeColor="text1"/>
          <w:sz w:val="24"/>
          <w:szCs w:val="24"/>
        </w:rPr>
        <w:t>из 17 вузов и 22 ссузов. География проекта – все регионы присутствия компании «Россети Сибирь» от Омска до Забайкалья.</w:t>
      </w:r>
      <w:r>
        <w:rPr>
          <w:rFonts w:ascii="Times New Roman" w:eastAsia="Times New Roman" w:hAnsi="Times New Roman"/>
          <w:color w:val="000000" w:themeColor="text1"/>
          <w:sz w:val="24"/>
          <w:szCs w:val="24"/>
        </w:rPr>
        <w:br/>
      </w:r>
    </w:p>
    <w:p w:rsidR="00D602D4" w:rsidRDefault="00D602D4">
      <w:pPr>
        <w:spacing w:after="0" w:line="240" w:lineRule="auto"/>
        <w:jc w:val="both"/>
        <w:rPr>
          <w:rFonts w:ascii="Times New Roman" w:eastAsia="Times New Roman" w:hAnsi="Times New Roman"/>
          <w:b/>
          <w:bCs/>
          <w:color w:val="000000" w:themeColor="text1"/>
          <w:sz w:val="24"/>
          <w:szCs w:val="24"/>
        </w:rPr>
      </w:pPr>
    </w:p>
    <w:p w:rsidR="00D602D4" w:rsidRDefault="00D602D4">
      <w:pPr>
        <w:spacing w:after="0" w:line="240" w:lineRule="auto"/>
        <w:jc w:val="both"/>
        <w:rPr>
          <w:rFonts w:ascii="Times New Roman" w:eastAsia="Times New Roman" w:hAnsi="Times New Roman"/>
          <w:b/>
          <w:bCs/>
          <w:color w:val="000000" w:themeColor="text1"/>
          <w:sz w:val="24"/>
          <w:szCs w:val="24"/>
        </w:rPr>
      </w:pPr>
    </w:p>
    <w:p w:rsidR="00D602D4" w:rsidRDefault="000B4C86">
      <w:pPr>
        <w:spacing w:after="0" w:line="240" w:lineRule="auto"/>
        <w:jc w:val="both"/>
        <w:rPr>
          <w:rFonts w:ascii="Times New Roman" w:eastAsia="Times New Roman" w:hAnsi="Times New Roman"/>
          <w:b/>
          <w:bCs/>
          <w:color w:val="000000" w:themeColor="text1"/>
          <w:sz w:val="24"/>
          <w:szCs w:val="24"/>
        </w:rPr>
      </w:pPr>
      <w:r>
        <w:rPr>
          <w:rFonts w:ascii="Times New Roman" w:eastAsia="Times New Roman" w:hAnsi="Times New Roman"/>
          <w:b/>
          <w:bCs/>
          <w:color w:val="000000" w:themeColor="text1"/>
          <w:sz w:val="24"/>
          <w:szCs w:val="24"/>
        </w:rPr>
        <w:t>Август</w:t>
      </w:r>
    </w:p>
    <w:p w:rsidR="00D602D4" w:rsidRDefault="000B4C86">
      <w:pPr>
        <w:pBdr>
          <w:top w:val="none" w:sz="4" w:space="0" w:color="000000"/>
          <w:left w:val="none" w:sz="4" w:space="0" w:color="000000"/>
          <w:bottom w:val="none" w:sz="4" w:space="0" w:color="000000"/>
          <w:right w:val="none" w:sz="4" w:space="0" w:color="000000"/>
        </w:pBdr>
        <w:spacing w:after="0" w:line="240" w:lineRule="auto"/>
        <w:jc w:val="both"/>
      </w:pPr>
      <w:r>
        <w:rPr>
          <w:rFonts w:ascii="Times New Roman" w:eastAsia="Times New Roman" w:hAnsi="Times New Roman" w:cs="Times New Roman"/>
          <w:color w:val="000000"/>
          <w:sz w:val="24"/>
        </w:rPr>
        <w:t>Республику Хакасия включили в федеральную программу «Чистый воздух» по переводу частных домовладений г. Абакана и г. Черногорска с печного отопления на электроотопление. Срок реализации: 2026-2030 годы. Объем инвестиций - 7,5 млрд рублей. Мероприятия включают в себя строительство в г. Абакане трех новых центров питания, а в г. Черногорске - двух новых центров питания 110/10 кВ, реконструкцию сетей и технологическое присоединение</w:t>
      </w:r>
      <w:r>
        <w:rPr>
          <w:rFonts w:ascii="Times New Roman" w:eastAsia="Times New Roman" w:hAnsi="Times New Roman"/>
          <w:color w:val="000000" w:themeColor="text1"/>
          <w:sz w:val="24"/>
          <w:szCs w:val="24"/>
        </w:rPr>
        <w:t>.</w:t>
      </w:r>
    </w:p>
    <w:p w:rsidR="00D602D4" w:rsidRDefault="00D602D4">
      <w:pPr>
        <w:spacing w:after="0" w:line="240" w:lineRule="auto"/>
        <w:jc w:val="both"/>
        <w:rPr>
          <w:rFonts w:ascii="Times New Roman" w:eastAsia="Times New Roman" w:hAnsi="Times New Roman"/>
          <w:b/>
          <w:bCs/>
          <w:color w:val="000000" w:themeColor="text1"/>
          <w:sz w:val="24"/>
          <w:szCs w:val="24"/>
        </w:rPr>
      </w:pPr>
    </w:p>
    <w:p w:rsidR="00D602D4" w:rsidRDefault="000B4C86">
      <w:pPr>
        <w:spacing w:after="0" w:line="240" w:lineRule="auto"/>
        <w:jc w:val="both"/>
        <w:rPr>
          <w:rFonts w:ascii="Times New Roman" w:hAnsi="Times New Roman"/>
          <w:b/>
          <w:bCs/>
          <w:color w:val="000000" w:themeColor="text1"/>
          <w:sz w:val="24"/>
          <w:szCs w:val="24"/>
        </w:rPr>
      </w:pPr>
      <w:r>
        <w:rPr>
          <w:rFonts w:ascii="Times New Roman" w:eastAsia="Times New Roman" w:hAnsi="Times New Roman"/>
          <w:b/>
          <w:bCs/>
          <w:color w:val="000000" w:themeColor="text1"/>
          <w:sz w:val="24"/>
          <w:szCs w:val="24"/>
        </w:rPr>
        <w:t xml:space="preserve">Сентябрь </w:t>
      </w:r>
    </w:p>
    <w:p w:rsidR="00D602D4" w:rsidRDefault="000B4C86">
      <w:pPr>
        <w:pBdr>
          <w:top w:val="none" w:sz="4" w:space="0" w:color="000000"/>
          <w:left w:val="none" w:sz="4" w:space="0" w:color="000000"/>
          <w:bottom w:val="none" w:sz="4" w:space="0" w:color="000000"/>
          <w:right w:val="none" w:sz="4" w:space="0" w:color="000000"/>
        </w:pBdr>
        <w:spacing w:after="0" w:line="240" w:lineRule="auto"/>
        <w:jc w:val="both"/>
        <w:rPr>
          <w:rFonts w:ascii="Times New Roman" w:eastAsia="Times New Roman" w:hAnsi="Times New Roman"/>
          <w:color w:val="000000" w:themeColor="text1"/>
          <w:spacing w:val="9"/>
          <w:sz w:val="24"/>
          <w:szCs w:val="24"/>
        </w:rPr>
      </w:pPr>
      <w:r>
        <w:rPr>
          <w:rFonts w:ascii="Times New Roman" w:eastAsia="Times New Roman" w:hAnsi="Times New Roman"/>
          <w:color w:val="000000" w:themeColor="text1"/>
          <w:spacing w:val="9"/>
          <w:sz w:val="24"/>
          <w:szCs w:val="24"/>
        </w:rPr>
        <w:t>Власти Кемеровской области заключили долгосрочное регуляторное соглашение с ПАО «Россети Сибирь»</w:t>
      </w:r>
      <w:r>
        <w:rPr>
          <w:rFonts w:ascii="Times New Roman" w:eastAsia="Times New Roman" w:hAnsi="Times New Roman"/>
          <w:color w:val="000000" w:themeColor="text1"/>
          <w:sz w:val="24"/>
          <w:szCs w:val="24"/>
        </w:rPr>
        <w:t>. Губернатор Кузбасса Илья Середюк и Генеральный директор «Россети Сибирь» подписали соглашение на «Российской энергетической неделе 2024». Общий объем инвестиций в электросетевой комплекс, которое предусматривает соглашение, составляет 32 млрд рублей в течение 10 лет.</w:t>
      </w:r>
    </w:p>
    <w:p w:rsidR="00D602D4" w:rsidRDefault="00D602D4">
      <w:pPr>
        <w:pBdr>
          <w:top w:val="none" w:sz="4" w:space="0" w:color="000000"/>
          <w:left w:val="none" w:sz="4" w:space="0" w:color="000000"/>
          <w:bottom w:val="none" w:sz="4" w:space="0" w:color="000000"/>
          <w:right w:val="none" w:sz="4" w:space="0" w:color="000000"/>
        </w:pBdr>
        <w:spacing w:after="0" w:line="240" w:lineRule="auto"/>
        <w:jc w:val="both"/>
        <w:rPr>
          <w:rFonts w:ascii="Times New Roman" w:eastAsia="Times New Roman" w:hAnsi="Times New Roman"/>
          <w:color w:val="000000" w:themeColor="text1"/>
          <w:sz w:val="24"/>
          <w:szCs w:val="24"/>
        </w:rPr>
      </w:pPr>
    </w:p>
    <w:p w:rsidR="00D602D4" w:rsidRDefault="000B4C86">
      <w:pPr>
        <w:pBdr>
          <w:top w:val="none" w:sz="4" w:space="0" w:color="000000"/>
          <w:left w:val="none" w:sz="4" w:space="0" w:color="000000"/>
          <w:bottom w:val="none" w:sz="4" w:space="0" w:color="000000"/>
          <w:right w:val="none" w:sz="4" w:space="0" w:color="000000"/>
        </w:pBdr>
        <w:spacing w:after="0" w:line="24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pacing w:val="9"/>
          <w:sz w:val="24"/>
          <w:szCs w:val="24"/>
        </w:rPr>
        <w:t xml:space="preserve">Также в сентябре 2024 года ПАО «Россети Сибирь» ввели в эксплуатацию подстанцию 110 киловольт «Ташеба - Сельская» в Республике Хакасия. </w:t>
      </w:r>
      <w:r>
        <w:rPr>
          <w:rFonts w:ascii="Times New Roman" w:eastAsia="Times New Roman" w:hAnsi="Times New Roman"/>
          <w:color w:val="000000" w:themeColor="text1"/>
          <w:sz w:val="24"/>
          <w:szCs w:val="24"/>
        </w:rPr>
        <w:t>В течении месяца на подстанции, питающей 10-й жилой район Абакана, СНТ Изумруд, аал Сапогов и деревню Чапаево, проведена частичная реконструкция силового оборудования: заменены трансформаторы 2*6,3 мегавольтампер (МВА) на агрегаты большей мощности – 2*10 МВА. Мероприятия включены в программу повышения надежности на 2025-2029 годы.</w:t>
      </w:r>
    </w:p>
    <w:p w:rsidR="00D602D4" w:rsidRDefault="00D602D4">
      <w:pPr>
        <w:pBdr>
          <w:top w:val="none" w:sz="4" w:space="0" w:color="000000"/>
          <w:left w:val="none" w:sz="4" w:space="0" w:color="000000"/>
          <w:bottom w:val="none" w:sz="4" w:space="0" w:color="000000"/>
          <w:right w:val="none" w:sz="4" w:space="0" w:color="000000"/>
        </w:pBdr>
        <w:spacing w:after="0" w:line="240" w:lineRule="auto"/>
        <w:jc w:val="both"/>
        <w:rPr>
          <w:rFonts w:ascii="Times New Roman" w:hAnsi="Times New Roman"/>
          <w:color w:val="000000" w:themeColor="text1"/>
          <w:sz w:val="24"/>
          <w:szCs w:val="24"/>
        </w:rPr>
      </w:pPr>
    </w:p>
    <w:p w:rsidR="00D602D4" w:rsidRDefault="000B4C86">
      <w:pPr>
        <w:spacing w:after="0" w:line="240" w:lineRule="auto"/>
        <w:jc w:val="both"/>
        <w:rPr>
          <w:rFonts w:ascii="Times New Roman" w:hAnsi="Times New Roman"/>
          <w:b/>
          <w:bCs/>
          <w:color w:val="000000" w:themeColor="text1"/>
          <w:sz w:val="24"/>
          <w:szCs w:val="24"/>
        </w:rPr>
      </w:pPr>
      <w:r>
        <w:rPr>
          <w:rFonts w:ascii="Times New Roman" w:eastAsia="Times New Roman" w:hAnsi="Times New Roman"/>
          <w:b/>
          <w:bCs/>
          <w:color w:val="000000" w:themeColor="text1"/>
          <w:sz w:val="24"/>
          <w:szCs w:val="24"/>
        </w:rPr>
        <w:t>Октябрь</w:t>
      </w:r>
    </w:p>
    <w:p w:rsidR="00D602D4" w:rsidRDefault="000B4C86">
      <w:pPr>
        <w:spacing w:after="0" w:line="240" w:lineRule="auto"/>
        <w:jc w:val="both"/>
        <w:rPr>
          <w:rFonts w:ascii="Times New Roman" w:hAnsi="Times New Roman"/>
          <w:b/>
          <w:bCs/>
          <w:i/>
          <w:color w:val="000000" w:themeColor="text1"/>
          <w:sz w:val="24"/>
          <w:szCs w:val="24"/>
        </w:rPr>
      </w:pPr>
      <w:r>
        <w:rPr>
          <w:rFonts w:ascii="Times New Roman" w:eastAsia="Times New Roman" w:hAnsi="Times New Roman"/>
          <w:color w:val="000000" w:themeColor="text1"/>
          <w:sz w:val="24"/>
          <w:szCs w:val="24"/>
        </w:rPr>
        <w:t xml:space="preserve">Энергетики «Красноярскэнерго» ввели в эксплуатацию подстанцию 110 кВ «Веселая гора» в Емельяновском районе. Более 10 лет объект был заброшен и не функционировал. Энергетики заменили аккумуляторные батареи постоянного тока, выполнили строительство воздушных и кабельных линий электропередачи (ЛЭП). Дополнительно от «Веселой горы» построено шесть высоковольтных ЛЭП 10 кВ. Это позволило обеспечить электроэнергией земельные участки для 400 многодетных семей. В технологическое перевооружение подстанции и строительство линий электропередачи «Россети Сибирь» вложили порядка 75 млн рублей. </w:t>
      </w:r>
    </w:p>
    <w:p w:rsidR="00D602D4" w:rsidRDefault="00D602D4">
      <w:pPr>
        <w:spacing w:after="0" w:line="240" w:lineRule="auto"/>
        <w:jc w:val="both"/>
        <w:rPr>
          <w:rFonts w:ascii="Times New Roman" w:hAnsi="Times New Roman"/>
          <w:b/>
          <w:bCs/>
          <w:i/>
          <w:color w:val="000000" w:themeColor="text1"/>
          <w:sz w:val="24"/>
          <w:szCs w:val="24"/>
        </w:rPr>
      </w:pPr>
    </w:p>
    <w:p w:rsidR="00D602D4" w:rsidRDefault="000B4C86">
      <w:pPr>
        <w:spacing w:after="0" w:line="240" w:lineRule="auto"/>
        <w:jc w:val="both"/>
        <w:rPr>
          <w:rFonts w:ascii="Times New Roman" w:hAnsi="Times New Roman"/>
          <w:b/>
          <w:bCs/>
          <w:color w:val="000000" w:themeColor="text1"/>
          <w:sz w:val="24"/>
          <w:szCs w:val="24"/>
        </w:rPr>
      </w:pPr>
      <w:r>
        <w:rPr>
          <w:rFonts w:ascii="Times New Roman" w:eastAsia="Times New Roman" w:hAnsi="Times New Roman"/>
          <w:b/>
          <w:bCs/>
          <w:color w:val="000000" w:themeColor="text1"/>
          <w:sz w:val="24"/>
          <w:szCs w:val="24"/>
        </w:rPr>
        <w:t xml:space="preserve">Ноябрь </w:t>
      </w:r>
    </w:p>
    <w:p w:rsidR="00D602D4" w:rsidRDefault="000B4C86">
      <w:pPr>
        <w:pBdr>
          <w:top w:val="none" w:sz="4" w:space="0" w:color="000000"/>
          <w:left w:val="none" w:sz="4" w:space="0" w:color="000000"/>
          <w:bottom w:val="none" w:sz="4" w:space="0" w:color="000000"/>
          <w:right w:val="none" w:sz="4" w:space="0" w:color="000000"/>
        </w:pBdr>
        <w:spacing w:after="0" w:line="240" w:lineRule="auto"/>
        <w:jc w:val="both"/>
        <w:rPr>
          <w:rFonts w:ascii="Times New Roman" w:eastAsia="Times New Roman" w:hAnsi="Times New Roman"/>
          <w:color w:val="000000" w:themeColor="text1"/>
          <w:spacing w:val="9"/>
          <w:sz w:val="24"/>
          <w:szCs w:val="24"/>
        </w:rPr>
      </w:pPr>
      <w:r>
        <w:rPr>
          <w:rFonts w:ascii="Times New Roman" w:eastAsia="Times New Roman" w:hAnsi="Times New Roman"/>
          <w:color w:val="000000" w:themeColor="text1"/>
          <w:spacing w:val="9"/>
          <w:sz w:val="24"/>
          <w:szCs w:val="24"/>
        </w:rPr>
        <w:t xml:space="preserve">ПАО «Россети Сибирь» обновили подстанцию 35 кВ «Силинская» в Кемеровском районе, провели </w:t>
      </w:r>
      <w:r>
        <w:rPr>
          <w:rFonts w:ascii="Times New Roman" w:eastAsia="Times New Roman" w:hAnsi="Times New Roman"/>
          <w:color w:val="000000" w:themeColor="text1"/>
          <w:sz w:val="24"/>
          <w:szCs w:val="24"/>
        </w:rPr>
        <w:t>технические переоснащение крупного питающего центра, который обеспечивает электроэнергией 7 населенных пунктов и 33 социально значимых учреждения и инфраструктурных объекта. Общая стоимость работ - порядка 80 млн рублей.</w:t>
      </w:r>
      <w:r>
        <w:rPr>
          <w:rFonts w:ascii="Times New Roman" w:eastAsia="Times New Roman" w:hAnsi="Times New Roman"/>
          <w:color w:val="000000" w:themeColor="text1"/>
          <w:sz w:val="24"/>
          <w:szCs w:val="24"/>
        </w:rPr>
        <w:br/>
      </w:r>
    </w:p>
    <w:p w:rsidR="00D602D4" w:rsidRDefault="000B4C86">
      <w:pPr>
        <w:spacing w:after="0" w:line="240" w:lineRule="auto"/>
        <w:jc w:val="both"/>
        <w:rPr>
          <w:rFonts w:ascii="Times New Roman" w:hAnsi="Times New Roman"/>
          <w:b/>
          <w:bCs/>
          <w:color w:val="000000" w:themeColor="text1"/>
          <w:sz w:val="24"/>
          <w:szCs w:val="24"/>
        </w:rPr>
      </w:pPr>
      <w:r>
        <w:rPr>
          <w:rFonts w:ascii="Times New Roman" w:eastAsia="Times New Roman" w:hAnsi="Times New Roman"/>
          <w:b/>
          <w:bCs/>
          <w:color w:val="000000" w:themeColor="text1"/>
          <w:sz w:val="24"/>
          <w:szCs w:val="24"/>
        </w:rPr>
        <w:t xml:space="preserve">Декабрь </w:t>
      </w:r>
    </w:p>
    <w:p w:rsidR="00D602D4" w:rsidRDefault="000B4C86">
      <w:pPr>
        <w:pStyle w:val="1f2"/>
        <w:spacing w:before="0" w:beforeAutospacing="0" w:after="0" w:afterAutospacing="0"/>
        <w:rPr>
          <w:color w:val="000000" w:themeColor="text1"/>
          <w:sz w:val="24"/>
          <w:szCs w:val="24"/>
        </w:rPr>
      </w:pPr>
      <w:r>
        <w:rPr>
          <w:color w:val="000000" w:themeColor="text1"/>
          <w:sz w:val="24"/>
          <w:szCs w:val="24"/>
        </w:rPr>
        <w:t xml:space="preserve">Филиал «Алтайэнерго» запустил в эксплуатацию первую в регионе высокоавтоматизированную подстанцию 110 кВ «Озерная». Новый энергообъект обеспечит надежное электроснабжение крупнейшего туристического объекта региона – всесезонного курорта «Манжерок». Все оборудование отечественного производства. Это первый энергообъект, который появился в республике за 12 лет. </w:t>
      </w:r>
    </w:p>
    <w:p w:rsidR="00D602D4" w:rsidRDefault="000B4C86">
      <w:pPr>
        <w:pStyle w:val="1f2"/>
        <w:spacing w:before="0" w:beforeAutospacing="0" w:after="0" w:afterAutospacing="0"/>
        <w:rPr>
          <w:color w:val="000000" w:themeColor="text1"/>
          <w:sz w:val="24"/>
          <w:szCs w:val="24"/>
        </w:rPr>
      </w:pPr>
      <w:r>
        <w:rPr>
          <w:color w:val="000000" w:themeColor="text1"/>
          <w:sz w:val="24"/>
          <w:szCs w:val="24"/>
        </w:rPr>
        <w:t>Специалисты филиала «Читаэнерго» завершили реконструкцию подстанции 35 кВ «Верх-Чита» в Читинском районе Забайкальского края. Взамен двух старых трансформаторов мощностью 4 МВА установили новые - мощностью 10 МВА. На технологическое перевооружение подстанции 35 кВ «Верх-Чита» компания «Россети Сибирь» направила 93,8 млн рублей.</w:t>
      </w:r>
    </w:p>
    <w:p w:rsidR="00D602D4" w:rsidRDefault="000B4C86">
      <w:pPr>
        <w:pBdr>
          <w:top w:val="none" w:sz="4" w:space="0" w:color="000000"/>
          <w:left w:val="none" w:sz="4" w:space="0" w:color="000000"/>
          <w:bottom w:val="none" w:sz="4" w:space="0" w:color="000000"/>
          <w:right w:val="none" w:sz="4" w:space="0" w:color="000000"/>
        </w:pBdr>
        <w:spacing w:after="0" w:line="24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 xml:space="preserve">ПАО «Россети Сибирь» завершили работы по переводу 106 частных домовладений на электроотопление в Красноярске. Компания выступала в роли подрядчика в рамках реализации программы «Чистый воздух» нацпроекта «Экология». В домах жителей было установлено два вида оборудования - электрокотлы и инфракрасные обогреватели. Установка </w:t>
      </w:r>
      <w:r>
        <w:rPr>
          <w:rFonts w:ascii="Times New Roman" w:eastAsia="Times New Roman" w:hAnsi="Times New Roman"/>
          <w:color w:val="000000" w:themeColor="text1"/>
          <w:sz w:val="24"/>
          <w:szCs w:val="24"/>
        </w:rPr>
        <w:lastRenderedPageBreak/>
        <w:t xml:space="preserve">и подключение оборудования для жителей проводилась бесплатно, за счет средств из федерального бюджета. </w:t>
      </w:r>
    </w:p>
    <w:p w:rsidR="00D602D4" w:rsidRDefault="00D602D4">
      <w:pPr>
        <w:pBdr>
          <w:top w:val="none" w:sz="4" w:space="0" w:color="000000"/>
          <w:left w:val="none" w:sz="4" w:space="0" w:color="000000"/>
          <w:bottom w:val="none" w:sz="4" w:space="0" w:color="000000"/>
          <w:right w:val="none" w:sz="4" w:space="0" w:color="000000"/>
        </w:pBdr>
        <w:spacing w:after="0" w:line="240" w:lineRule="auto"/>
        <w:jc w:val="both"/>
        <w:rPr>
          <w:rFonts w:ascii="Times New Roman" w:hAnsi="Times New Roman"/>
          <w:color w:val="000000" w:themeColor="text1"/>
          <w:sz w:val="24"/>
          <w:szCs w:val="24"/>
        </w:rPr>
      </w:pPr>
    </w:p>
    <w:p w:rsidR="00D602D4" w:rsidRDefault="000B4C86">
      <w:pPr>
        <w:spacing w:after="0" w:line="240" w:lineRule="auto"/>
        <w:jc w:val="both"/>
        <w:rPr>
          <w:rFonts w:ascii="Times New Roman" w:hAnsi="Times New Roman"/>
          <w:b/>
          <w:i/>
          <w:iCs/>
          <w:color w:val="000000" w:themeColor="text1"/>
          <w:sz w:val="24"/>
          <w:szCs w:val="24"/>
        </w:rPr>
      </w:pPr>
      <w:r>
        <w:rPr>
          <w:rFonts w:ascii="Times New Roman" w:eastAsia="Times New Roman" w:hAnsi="Times New Roman"/>
          <w:b/>
          <w:bCs/>
          <w:color w:val="000000" w:themeColor="text1"/>
          <w:sz w:val="24"/>
          <w:szCs w:val="24"/>
        </w:rPr>
        <w:t>ВЕСЬ ГОД</w:t>
      </w:r>
    </w:p>
    <w:p w:rsidR="00D602D4" w:rsidRDefault="000B4C86">
      <w:pPr>
        <w:spacing w:after="0" w:line="24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В Бурятии энергетики филиала «Россети Сибирь» разработали пилотный проект для перевода на электроотопление жителей Улан-Удэ в рамках федеральной программы «Чистый воздух». Для реализации такого масштабного проекта требуется провести глобальную реконструкцию электросетей города Улан-Удэ. По подсчетам специалистов, необходимо 226 МВт мощности дополнительно. Для этого будет реконструировано и построено 580 километров линий электропередачи, 614 комплектных трансформаторных подстанций 10\0,4 кВ и 34-х более мощных подстанций 35-110 кВ.</w:t>
      </w:r>
    </w:p>
    <w:p w:rsidR="00D602D4" w:rsidRDefault="000B4C86">
      <w:pPr>
        <w:spacing w:after="0" w:line="240" w:lineRule="auto"/>
        <w:jc w:val="both"/>
        <w:rPr>
          <w:rFonts w:ascii="Times New Roman" w:hAnsi="Times New Roman"/>
          <w:color w:val="000000" w:themeColor="text1"/>
          <w:sz w:val="24"/>
          <w:szCs w:val="24"/>
        </w:rPr>
      </w:pPr>
      <w:r>
        <w:rPr>
          <w:rFonts w:ascii="Times New Roman" w:eastAsia="Times New Roman" w:hAnsi="Times New Roman"/>
          <w:color w:val="000000" w:themeColor="text1"/>
          <w:sz w:val="24"/>
          <w:szCs w:val="24"/>
        </w:rPr>
        <w:t>В Кузбассе в течение всего года продолжались работы по проекту БАМ-2. Участие «Россети Сибирь» в стратегически важном для всей страны проекте предполагает строительство электросетевой инфраструктуры и увеличение мощности уже действующих энергообъектов, своевременная реконструкция которых позволит реализовать планы по расширению пропускной способности железной дороги в направлении Восточного полигона.</w:t>
      </w:r>
    </w:p>
    <w:p w:rsidR="00D602D4" w:rsidRDefault="000B4C86">
      <w:pPr>
        <w:spacing w:after="0" w:line="240" w:lineRule="auto"/>
        <w:jc w:val="both"/>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В Хакасии в течение 2024 года «Россети Сибирь» реализовали программу повышения надежности Калининского энергоузла. Программу начали реализовывать в экстренном порядке с декабря 2023 года после крупного нарушения на линиях электропередачи от подстанции 110 кВ «Расцвет». Энергетики «Хакасэнерго» в 40-градусный мороз протянули 16 км кабеля и установили 80 опор. В 2024 году филиалом «Хакасэнерго» построено и реконструировано пять воздушных ЛЭП 10 кВ общей протяженностью 29,01 км. Стоимость работ - 135,3 млн рублей.</w:t>
      </w:r>
    </w:p>
    <w:p w:rsidR="00D602D4" w:rsidRDefault="00D602D4">
      <w:pPr>
        <w:spacing w:after="0" w:line="240" w:lineRule="auto"/>
        <w:jc w:val="both"/>
        <w:rPr>
          <w:rFonts w:ascii="Times New Roman" w:hAnsi="Times New Roman" w:cs="Times New Roman"/>
          <w:sz w:val="24"/>
          <w:szCs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pPr>
    </w:p>
    <w:p w:rsidR="00D602D4" w:rsidRDefault="00D602D4">
      <w:pPr>
        <w:spacing w:line="240" w:lineRule="auto"/>
        <w:jc w:val="both"/>
        <w:rPr>
          <w:rFonts w:ascii="Times New Roman" w:hAnsi="Times New Roman" w:cs="Times New Roman"/>
          <w:sz w:val="24"/>
        </w:rPr>
        <w:sectPr w:rsidR="00D602D4">
          <w:headerReference w:type="even" r:id="rId27"/>
          <w:headerReference w:type="default" r:id="rId28"/>
          <w:footerReference w:type="default" r:id="rId29"/>
          <w:footerReference w:type="first" r:id="rId30"/>
          <w:pgSz w:w="11906" w:h="16838"/>
          <w:pgMar w:top="-1134" w:right="851" w:bottom="425" w:left="1276" w:header="709" w:footer="709" w:gutter="0"/>
          <w:cols w:space="708"/>
          <w:docGrid w:linePitch="360"/>
        </w:sectPr>
      </w:pPr>
    </w:p>
    <w:p w:rsidR="00D602D4" w:rsidRDefault="000B4C86">
      <w:pPr>
        <w:pStyle w:val="220"/>
        <w:spacing w:after="0"/>
      </w:pPr>
      <w:bookmarkStart w:id="13" w:name="_Toc14"/>
      <w:r>
        <w:lastRenderedPageBreak/>
        <w:t xml:space="preserve">Ключевые показатели отчетного года </w:t>
      </w:r>
      <w:bookmarkEnd w:id="13"/>
    </w:p>
    <w:tbl>
      <w:tblPr>
        <w:tblStyle w:val="ae"/>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5"/>
        <w:gridCol w:w="5180"/>
        <w:gridCol w:w="5772"/>
      </w:tblGrid>
      <w:tr w:rsidR="00D602D4">
        <w:tc>
          <w:tcPr>
            <w:tcW w:w="15841" w:type="dxa"/>
            <w:gridSpan w:val="3"/>
          </w:tcPr>
          <w:p w:rsidR="00D602D4" w:rsidRDefault="000B4C86">
            <w:pPr>
              <w:pStyle w:val="a1"/>
              <w:numPr>
                <w:ilvl w:val="0"/>
                <w:numId w:val="0"/>
              </w:numPr>
              <w:spacing w:after="0"/>
              <w:rPr>
                <w:sz w:val="24"/>
                <w:szCs w:val="24"/>
              </w:rPr>
            </w:pPr>
            <w:bookmarkStart w:id="14" w:name="_Toc15"/>
            <w:r>
              <w:rPr>
                <w:sz w:val="24"/>
                <w:szCs w:val="24"/>
              </w:rPr>
              <w:t>Финансовые показатели</w:t>
            </w:r>
            <w:bookmarkEnd w:id="14"/>
          </w:p>
        </w:tc>
      </w:tr>
      <w:tr w:rsidR="00D602D4">
        <w:tc>
          <w:tcPr>
            <w:tcW w:w="5363" w:type="dxa"/>
          </w:tcPr>
          <w:p w:rsidR="00D602D4" w:rsidRDefault="000B4C86">
            <w:pPr>
              <w:pStyle w:val="a1"/>
              <w:numPr>
                <w:ilvl w:val="0"/>
                <w:numId w:val="0"/>
              </w:numPr>
              <w:spacing w:after="0"/>
              <w:rPr>
                <w:sz w:val="24"/>
                <w:szCs w:val="24"/>
              </w:rPr>
            </w:pPr>
            <w:bookmarkStart w:id="15" w:name="_Toc16"/>
            <w:r>
              <w:rPr>
                <w:noProof/>
                <w:sz w:val="24"/>
                <w:szCs w:val="24"/>
              </w:rPr>
              <w:drawing>
                <wp:inline distT="0" distB="0" distL="0" distR="0">
                  <wp:extent cx="3148987" cy="1711097"/>
                  <wp:effectExtent l="4762" t="4762" r="4762" b="4762"/>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bookmarkEnd w:id="15"/>
          </w:p>
        </w:tc>
        <w:tc>
          <w:tcPr>
            <w:tcW w:w="5539" w:type="dxa"/>
          </w:tcPr>
          <w:p w:rsidR="00D602D4" w:rsidRDefault="000B4C86">
            <w:pPr>
              <w:pStyle w:val="a1"/>
              <w:numPr>
                <w:ilvl w:val="0"/>
                <w:numId w:val="0"/>
              </w:numPr>
              <w:spacing w:after="0"/>
              <w:rPr>
                <w:sz w:val="24"/>
                <w:szCs w:val="24"/>
              </w:rPr>
            </w:pPr>
            <w:bookmarkStart w:id="16" w:name="_Toc17"/>
            <w:r>
              <w:rPr>
                <w:noProof/>
                <w:sz w:val="24"/>
                <w:szCs w:val="24"/>
              </w:rPr>
              <w:drawing>
                <wp:inline distT="0" distB="0" distL="0" distR="0">
                  <wp:extent cx="3215347" cy="1711097"/>
                  <wp:effectExtent l="4762" t="4762" r="4762" b="4762"/>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bookmarkEnd w:id="16"/>
          </w:p>
        </w:tc>
        <w:tc>
          <w:tcPr>
            <w:tcW w:w="4939" w:type="dxa"/>
          </w:tcPr>
          <w:p w:rsidR="00D602D4" w:rsidRDefault="000B4C86">
            <w:pPr>
              <w:pStyle w:val="a1"/>
              <w:numPr>
                <w:ilvl w:val="0"/>
                <w:numId w:val="0"/>
              </w:numPr>
              <w:spacing w:after="0"/>
              <w:rPr>
                <w:sz w:val="24"/>
                <w:szCs w:val="24"/>
              </w:rPr>
            </w:pPr>
            <w:bookmarkStart w:id="17" w:name="_Toc18"/>
            <w:r>
              <w:rPr>
                <w:noProof/>
                <w:sz w:val="24"/>
                <w:szCs w:val="24"/>
              </w:rPr>
              <w:drawing>
                <wp:inline distT="0" distB="0" distL="0" distR="0">
                  <wp:extent cx="3028949" cy="1711097"/>
                  <wp:effectExtent l="4762" t="4762" r="4762" b="4762"/>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bookmarkEnd w:id="17"/>
          </w:p>
        </w:tc>
      </w:tr>
      <w:tr w:rsidR="00D602D4">
        <w:tc>
          <w:tcPr>
            <w:tcW w:w="15841" w:type="dxa"/>
            <w:gridSpan w:val="3"/>
          </w:tcPr>
          <w:p w:rsidR="00D602D4" w:rsidRDefault="000B4C86">
            <w:pPr>
              <w:pStyle w:val="a1"/>
              <w:numPr>
                <w:ilvl w:val="0"/>
                <w:numId w:val="0"/>
              </w:numPr>
              <w:spacing w:after="0"/>
              <w:rPr>
                <w:sz w:val="24"/>
                <w:szCs w:val="24"/>
              </w:rPr>
            </w:pPr>
            <w:bookmarkStart w:id="18" w:name="_Toc19"/>
            <w:r>
              <w:rPr>
                <w:sz w:val="24"/>
                <w:szCs w:val="24"/>
              </w:rPr>
              <w:t>Операционные показатели</w:t>
            </w:r>
            <w:bookmarkEnd w:id="18"/>
          </w:p>
        </w:tc>
      </w:tr>
      <w:tr w:rsidR="00D602D4">
        <w:trPr>
          <w:trHeight w:val="2874"/>
        </w:trPr>
        <w:tc>
          <w:tcPr>
            <w:tcW w:w="5363" w:type="dxa"/>
          </w:tcPr>
          <w:p w:rsidR="00D602D4" w:rsidRDefault="000B4C86">
            <w:pPr>
              <w:rPr>
                <w:rFonts w:ascii="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3172946" cy="1777380"/>
                  <wp:effectExtent l="4762" t="4762" r="4762" b="4762"/>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c>
          <w:tcPr>
            <w:tcW w:w="5539" w:type="dxa"/>
          </w:tcPr>
          <w:p w:rsidR="00D602D4" w:rsidRDefault="000B4C86">
            <w:pPr>
              <w:rPr>
                <w:rFonts w:ascii="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3215347" cy="1777380"/>
                  <wp:effectExtent l="4762" t="4762" r="4762" b="4762"/>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4939" w:type="dxa"/>
          </w:tcPr>
          <w:p w:rsidR="00D602D4" w:rsidRDefault="000B4C86">
            <w:pPr>
              <w:rPr>
                <w:rFonts w:ascii="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3228041" cy="1777380"/>
                  <wp:effectExtent l="4762" t="4762" r="4762" b="4762"/>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D602D4">
        <w:trPr>
          <w:trHeight w:val="170"/>
        </w:trPr>
        <w:tc>
          <w:tcPr>
            <w:tcW w:w="15841" w:type="dxa"/>
            <w:gridSpan w:val="3"/>
          </w:tcPr>
          <w:p w:rsidR="00D602D4" w:rsidRDefault="000B4C86">
            <w:pPr>
              <w:pStyle w:val="a1"/>
              <w:numPr>
                <w:ilvl w:val="0"/>
                <w:numId w:val="0"/>
              </w:numPr>
              <w:spacing w:after="0"/>
              <w:rPr>
                <w:sz w:val="24"/>
                <w:szCs w:val="24"/>
              </w:rPr>
            </w:pPr>
            <w:bookmarkStart w:id="19" w:name="_Toc20"/>
            <w:r>
              <w:rPr>
                <w:sz w:val="24"/>
                <w:szCs w:val="24"/>
              </w:rPr>
              <w:t>Показатели в области устойчивого развития</w:t>
            </w:r>
            <w:bookmarkEnd w:id="19"/>
          </w:p>
        </w:tc>
      </w:tr>
      <w:tr w:rsidR="00D602D4">
        <w:tc>
          <w:tcPr>
            <w:tcW w:w="5363" w:type="dxa"/>
          </w:tcPr>
          <w:p w:rsidR="00D602D4" w:rsidRDefault="000B4C86">
            <w:pPr>
              <w:rPr>
                <w:rFonts w:ascii="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2886075" cy="1657127"/>
                  <wp:effectExtent l="4762" t="4762" r="4762" b="4762"/>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5539" w:type="dxa"/>
          </w:tcPr>
          <w:p w:rsidR="00D602D4" w:rsidRDefault="000B4C86">
            <w:pPr>
              <w:rPr>
                <w:rFonts w:ascii="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3123553" cy="1657127"/>
                  <wp:effectExtent l="4762" t="4762" r="4762" b="4762"/>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4939" w:type="dxa"/>
          </w:tcPr>
          <w:p w:rsidR="00D602D4" w:rsidRDefault="000B4C86">
            <w:pPr>
              <w:rPr>
                <w:rFonts w:ascii="Times New Roman" w:hAnsi="Times New Roman" w:cs="Times New Roman"/>
                <w:sz w:val="24"/>
                <w:szCs w:val="24"/>
              </w:rPr>
            </w:pPr>
            <w:r>
              <w:rPr>
                <w:noProof/>
                <w:lang w:eastAsia="ru-RU"/>
              </w:rPr>
              <w:drawing>
                <wp:inline distT="0" distB="0" distL="0" distR="0">
                  <wp:extent cx="3600449" cy="1809527"/>
                  <wp:effectExtent l="4762" t="4762" r="4762" b="4762"/>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D602D4" w:rsidRDefault="00D602D4">
      <w:pPr>
        <w:pStyle w:val="a1"/>
        <w:numPr>
          <w:ilvl w:val="0"/>
          <w:numId w:val="0"/>
        </w:numPr>
        <w:ind w:left="927" w:hanging="360"/>
        <w:sectPr w:rsidR="00D602D4">
          <w:pgSz w:w="16838" w:h="11906" w:orient="landscape"/>
          <w:pgMar w:top="1276" w:right="567" w:bottom="851" w:left="425" w:header="709" w:footer="709" w:gutter="0"/>
          <w:cols w:space="708"/>
          <w:docGrid w:linePitch="360"/>
        </w:sectPr>
      </w:pPr>
    </w:p>
    <w:p w:rsidR="00D602D4" w:rsidRDefault="000B4C86">
      <w:pPr>
        <w:pStyle w:val="13"/>
        <w:spacing w:before="0" w:line="240" w:lineRule="auto"/>
        <w:jc w:val="both"/>
        <w:rPr>
          <w:rFonts w:ascii="Times New Roman" w:hAnsi="Times New Roman" w:cs="Times New Roman"/>
          <w:b/>
          <w:color w:val="auto"/>
          <w:sz w:val="26"/>
          <w:szCs w:val="26"/>
        </w:rPr>
      </w:pPr>
      <w:bookmarkStart w:id="20" w:name="_Toc21"/>
      <w:r>
        <w:rPr>
          <w:rFonts w:ascii="Times New Roman" w:eastAsia="Times New Roman" w:hAnsi="Times New Roman" w:cs="Times New Roman"/>
          <w:b/>
          <w:color w:val="auto"/>
          <w:sz w:val="26"/>
          <w:szCs w:val="26"/>
        </w:rPr>
        <w:lastRenderedPageBreak/>
        <w:t>2. Стратегический отчет</w:t>
      </w:r>
      <w:bookmarkEnd w:id="20"/>
    </w:p>
    <w:p w:rsidR="00D602D4" w:rsidRDefault="000B4C86">
      <w:pPr>
        <w:pStyle w:val="13"/>
        <w:spacing w:before="0" w:line="240" w:lineRule="auto"/>
        <w:jc w:val="both"/>
        <w:rPr>
          <w:rFonts w:ascii="Times New Roman" w:hAnsi="Times New Roman" w:cs="Times New Roman"/>
          <w:b/>
          <w:color w:val="auto"/>
          <w:sz w:val="26"/>
          <w:szCs w:val="26"/>
        </w:rPr>
      </w:pPr>
      <w:bookmarkStart w:id="21" w:name="_Toc22"/>
      <w:r>
        <w:rPr>
          <w:rFonts w:ascii="Times New Roman" w:eastAsia="Times New Roman" w:hAnsi="Times New Roman" w:cs="Times New Roman"/>
          <w:b/>
          <w:color w:val="auto"/>
          <w:sz w:val="26"/>
          <w:szCs w:val="26"/>
        </w:rPr>
        <w:t>2.1. Обзор рынка</w:t>
      </w:r>
      <w:bookmarkEnd w:id="21"/>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Структура современного электроэнергетического комплекса России состоит из трех основных компонентов: генерации электроэнергии, передачи, а также сбыта. </w:t>
      </w:r>
    </w:p>
    <w:p w:rsidR="00D602D4" w:rsidRDefault="000B4C86">
      <w:pPr>
        <w:widowControl w:val="0"/>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Таблица 3</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Структура электроэнергетической отрасли</w:t>
      </w:r>
    </w:p>
    <w:tbl>
      <w:tblPr>
        <w:tblW w:w="96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2"/>
        <w:gridCol w:w="2331"/>
        <w:gridCol w:w="2700"/>
        <w:gridCol w:w="2451"/>
      </w:tblGrid>
      <w:tr w:rsidR="00D602D4">
        <w:trPr>
          <w:jc w:val="center"/>
        </w:trPr>
        <w:tc>
          <w:tcPr>
            <w:tcW w:w="2122"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Генерация</w:t>
            </w:r>
          </w:p>
        </w:tc>
        <w:tc>
          <w:tcPr>
            <w:tcW w:w="5031" w:type="dxa"/>
            <w:gridSpan w:val="2"/>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Передача электрической энергии</w:t>
            </w:r>
          </w:p>
        </w:tc>
        <w:tc>
          <w:tcPr>
            <w:tcW w:w="2437"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Сбыт</w:t>
            </w:r>
          </w:p>
        </w:tc>
      </w:tr>
      <w:tr w:rsidR="00D602D4">
        <w:trPr>
          <w:jc w:val="center"/>
        </w:trPr>
        <w:tc>
          <w:tcPr>
            <w:tcW w:w="2122"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Компании, генерирующие электроэнергию</w:t>
            </w:r>
          </w:p>
        </w:tc>
        <w:tc>
          <w:tcPr>
            <w:tcW w:w="2331"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Магистральные ЛЭП (от 220кВ) и подстанции</w:t>
            </w:r>
          </w:p>
        </w:tc>
        <w:tc>
          <w:tcPr>
            <w:tcW w:w="2700"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Распределительные сети (0,4 -110кВ) и подстанции</w:t>
            </w:r>
          </w:p>
        </w:tc>
        <w:tc>
          <w:tcPr>
            <w:tcW w:w="2437" w:type="dxa"/>
            <w:tcBorders>
              <w:top w:val="single" w:sz="4" w:space="0" w:color="000000"/>
              <w:left w:val="single" w:sz="4" w:space="0" w:color="000000"/>
              <w:bottom w:val="single" w:sz="4" w:space="0" w:color="000000"/>
              <w:right w:val="single" w:sz="4" w:space="0" w:color="000000"/>
            </w:tcBorders>
          </w:tcPr>
          <w:p w:rsidR="00D602D4" w:rsidRDefault="00D602D4">
            <w:pPr>
              <w:widowControl w:val="0"/>
              <w:spacing w:after="0" w:line="240" w:lineRule="auto"/>
              <w:ind w:firstLine="22"/>
              <w:jc w:val="both"/>
              <w:rPr>
                <w:rFonts w:ascii="Times New Roman" w:eastAsia="Times New Roman" w:hAnsi="Times New Roman" w:cs="Times New Roman"/>
                <w:sz w:val="24"/>
                <w:szCs w:val="24"/>
              </w:rPr>
            </w:pPr>
          </w:p>
        </w:tc>
      </w:tr>
      <w:tr w:rsidR="00D602D4">
        <w:trPr>
          <w:jc w:val="center"/>
        </w:trPr>
        <w:tc>
          <w:tcPr>
            <w:tcW w:w="2122"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ПАО «РусГидро», </w:t>
            </w:r>
          </w:p>
          <w:p w:rsidR="00D602D4" w:rsidRDefault="000B4C86">
            <w:pPr>
              <w:widowControl w:val="0"/>
              <w:spacing w:after="0" w:line="240" w:lineRule="auto"/>
              <w:ind w:firstLine="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ПАО «Интер РАО», </w:t>
            </w:r>
          </w:p>
          <w:p w:rsidR="00D602D4" w:rsidRDefault="000B4C86">
            <w:pPr>
              <w:widowControl w:val="0"/>
              <w:spacing w:after="0" w:line="240" w:lineRule="auto"/>
              <w:ind w:firstLine="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АО «Концерн Росэнергоатом», </w:t>
            </w:r>
          </w:p>
          <w:p w:rsidR="00D602D4" w:rsidRDefault="000B4C86">
            <w:pPr>
              <w:widowControl w:val="0"/>
              <w:spacing w:after="0" w:line="240" w:lineRule="auto"/>
              <w:ind w:firstLine="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ПАО «Т Плюс», </w:t>
            </w:r>
          </w:p>
          <w:p w:rsidR="00D602D4" w:rsidRDefault="000B4C86">
            <w:pPr>
              <w:widowControl w:val="0"/>
              <w:spacing w:after="0" w:line="240" w:lineRule="auto"/>
              <w:ind w:firstLine="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ОГК, ТГК и др.</w:t>
            </w:r>
          </w:p>
        </w:tc>
        <w:tc>
          <w:tcPr>
            <w:tcW w:w="2331"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ПАО «Россети» в части магистральных сетей</w:t>
            </w:r>
          </w:p>
        </w:tc>
        <w:tc>
          <w:tcPr>
            <w:tcW w:w="2700"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ПАО «Россети» в части региональных сетевых компаний, РСК</w:t>
            </w:r>
          </w:p>
        </w:tc>
        <w:tc>
          <w:tcPr>
            <w:tcW w:w="2437"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2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Энергосбытовые компании и гарантирующие поставщики, в т.ч. экспорт и импорт электрической энергии</w:t>
            </w:r>
          </w:p>
        </w:tc>
      </w:tr>
      <w:tr w:rsidR="00D602D4">
        <w:trPr>
          <w:jc w:val="center"/>
        </w:trPr>
        <w:tc>
          <w:tcPr>
            <w:tcW w:w="9604" w:type="dxa"/>
            <w:gridSpan w:val="4"/>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Некоммерческое партнерство «Совет рынка по организации эффективной системы оптовой и розничной торговли электрической энергией и мощностью» - объединяет продавцов и покупателей оптового рынка электрической энергии</w:t>
            </w:r>
          </w:p>
        </w:tc>
      </w:tr>
      <w:tr w:rsidR="00D602D4">
        <w:trPr>
          <w:jc w:val="center"/>
        </w:trPr>
        <w:tc>
          <w:tcPr>
            <w:tcW w:w="9604" w:type="dxa"/>
            <w:gridSpan w:val="4"/>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АО «Системный оператор Единой энергетической системы» (СО ЕЭС) – осуществляет централизованное оперативно-диспетчерское управление Единой энергетической системой Российской Федерации</w:t>
            </w:r>
          </w:p>
        </w:tc>
      </w:tr>
    </w:tbl>
    <w:p w:rsidR="00D602D4" w:rsidRDefault="00D602D4">
      <w:pPr>
        <w:widowControl w:val="0"/>
        <w:spacing w:after="0" w:line="240" w:lineRule="auto"/>
        <w:ind w:firstLine="709"/>
        <w:jc w:val="both"/>
        <w:rPr>
          <w:rFonts w:ascii="Times New Roman" w:eastAsia="Times New Roman" w:hAnsi="Times New Roman" w:cs="Times New Roman"/>
          <w:sz w:val="24"/>
          <w:szCs w:val="24"/>
        </w:rPr>
      </w:pP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ПАО «Россети Сибирь» входит в Группу компаний ПАО «Россети», которая является крупнейшей электросетевой компанией России. </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Кроме разделения организаций по видам деятельности, существует разделение Единой энергосистемы России на технологические системы, действующие по территориальному признаку. Объединенные энергосистемы (ОЭС) не имеют одного собственника, а объединяют энергетические компании отдельно взятого региона и имеют единое диспетчерское управление, которое осуществляется филиалами АО «СО ЕЭС». На сегодняшний день в России действуют 7 ОЭС:</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Центра (Белгородская, Брянская, Владимирская, Вологодская, Воронежская, Ивановская, Тверская, Калужская, Костромская, Курская, Липецкая, Московская, Орловская, Рязанская, Смоленская, Тамбовская, Тульская, Ярославская энергосистемы);</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Северо-Запада (Архангельская, Карельская, Кольская, Коми, Ленинградская, Новгородская, Псковская и Калининградская энергосистемы);</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Юга (Астраханская, Волгоградская, Дагестанская, Ингушская, Калмыцкая, Карачаево-Черкесская, Кабардино-Балкарская, Кубанская, Ростовская, Северо-Осетинская, Ставропольская, Чеченская энергосистемы);</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Средней Волги (Нижегородская, Марийская, Мордовская, Пензенская, Самарская, Саратовская, Татарская, Ульяновская, Чувашская энергосистемы);</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Урала (Башкирская, Кировская, Курганская, Оренбургская, Пермская, Свердловская, Тюменская, Удмуртская, Челябинская энергосистемы);</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Сибири (Алтайская, Бурятская, Иркутская, Красноярская, Кузбасская, Новосибирская, Омская, Томская, Хакасская, Забайкальская энергосистемы);</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t>ОЭС Востока (Амурская, Приморская, Хабаровская и Южно-Якутская энергосистемы).</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29.12.2016 функции оперативно-диспетчерского управления электроэнергетическим режимом на территории Крымского полуострова, приняты филиалом АО «СО ЕЭС» «Региональное диспетчерское управление энергосистемы Крыма и города Севастополя» (Черноморское РДУ).</w:t>
      </w:r>
    </w:p>
    <w:p w:rsidR="00D602D4" w:rsidRDefault="00D602D4">
      <w:pPr>
        <w:widowControl w:val="0"/>
        <w:spacing w:after="0" w:line="240" w:lineRule="auto"/>
        <w:ind w:firstLine="709"/>
        <w:jc w:val="both"/>
        <w:rPr>
          <w:rFonts w:ascii="Times New Roman" w:eastAsia="Times New Roman" w:hAnsi="Times New Roman" w:cs="Times New Roman"/>
          <w:sz w:val="24"/>
          <w:szCs w:val="24"/>
        </w:rPr>
      </w:pPr>
    </w:p>
    <w:p w:rsidR="00D602D4" w:rsidRDefault="000B4C86">
      <w:pPr>
        <w:pStyle w:val="Style9"/>
        <w:widowControl/>
        <w:spacing w:line="240" w:lineRule="auto"/>
        <w:ind w:firstLine="684"/>
        <w:rPr>
          <w:rFonts w:eastAsia="Times New Roman"/>
          <w:lang w:eastAsia="en-US"/>
        </w:rPr>
      </w:pPr>
      <w:r>
        <w:rPr>
          <w:rFonts w:eastAsia="Times New Roman"/>
          <w:lang w:eastAsia="en-US"/>
        </w:rPr>
        <w:t>Что касается основных показателей деятельности электроэнергетики, то в 2023 году генерация электроэнергии в ЕЭС России составила 1 149 млрд кВт∙ч.</w:t>
      </w:r>
      <w:r>
        <w:rPr>
          <w:rFonts w:eastAsia="Times New Roman"/>
        </w:rPr>
        <w:t xml:space="preserve"> Потребление электроэнергии в России по итогам 2024 года выросло на 3,2% по сравнению с показателем за 2023 год и достигло 1,158 трлн кВт•ч </w:t>
      </w:r>
      <w:r>
        <w:rPr>
          <w:rFonts w:eastAsia="Times New Roman"/>
          <w:lang w:eastAsia="en-US"/>
        </w:rPr>
        <w:t xml:space="preserve">Потребление электроэнергии в Объединенной энергосистеме (ОЭС) Сибири в 2024 году составило 244 млрд кВт•ч, что на 5,9 % больше, чем в 2023 году. </w:t>
      </w:r>
    </w:p>
    <w:p w:rsidR="00D602D4" w:rsidRDefault="000B4C86">
      <w:pPr>
        <w:pStyle w:val="Style9"/>
        <w:spacing w:line="240" w:lineRule="auto"/>
        <w:ind w:firstLine="684"/>
        <w:rPr>
          <w:rFonts w:eastAsia="Times New Roman"/>
          <w:lang w:eastAsia="en-US"/>
        </w:rPr>
      </w:pPr>
      <w:r>
        <w:rPr>
          <w:rFonts w:eastAsia="Times New Roman"/>
          <w:lang w:eastAsia="en-US"/>
        </w:rPr>
        <w:t xml:space="preserve">Схема и программа развития ЕЭС России на 2025 – 2030 годы прогнозируют увеличение потребления </w:t>
      </w:r>
      <w:r>
        <w:rPr>
          <w:rFonts w:eastAsia="Times New Roman"/>
        </w:rPr>
        <w:t>электроэнергии к 2030 году на уровне 1,298</w:t>
      </w:r>
      <w:r>
        <w:rPr>
          <w:rFonts w:eastAsia="Times New Roman"/>
          <w:lang w:eastAsia="en-US"/>
        </w:rPr>
        <w:t xml:space="preserve"> млрд кВт∙ч. Основными факторами прироста спроса на электрическую энергию в ЕЭС России в рассматриваемом прогнозе прогнозируются на 2026 год в связи с реализацией масштабного проекта по реконструкции инфраструктуры и расширению Транссибирской (далее – Транссиб) и Байкало-Амурской (далее – БАМ) железнодорожных магистралей.</w:t>
      </w:r>
    </w:p>
    <w:p w:rsidR="00D602D4" w:rsidRDefault="000B4C86">
      <w:pPr>
        <w:pStyle w:val="13"/>
        <w:rPr>
          <w:rFonts w:eastAsia="Times New Roman"/>
        </w:rPr>
      </w:pPr>
      <w:bookmarkStart w:id="22" w:name="_Toc23"/>
      <w:r>
        <w:rPr>
          <w:rFonts w:ascii="Times New Roman" w:eastAsia="Times New Roman" w:hAnsi="Times New Roman" w:cs="Times New Roman"/>
          <w:b/>
          <w:color w:val="auto"/>
          <w:sz w:val="26"/>
          <w:szCs w:val="26"/>
        </w:rPr>
        <w:t>2.2. Положение Компании на рынке</w:t>
      </w:r>
      <w:bookmarkEnd w:id="22"/>
    </w:p>
    <w:p w:rsidR="00D602D4" w:rsidRDefault="00D602D4">
      <w:pPr>
        <w:pStyle w:val="Style9"/>
        <w:spacing w:line="240" w:lineRule="auto"/>
        <w:ind w:firstLine="684"/>
        <w:rPr>
          <w:rFonts w:eastAsia="Times New Roman"/>
          <w:lang w:eastAsia="en-US"/>
        </w:rPr>
      </w:pP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сегодняшний день ПАО «Россети Сибирь» – одна из крупнейших электросетевых компаний России. ПАО «Россети Сибирь» осуществляет оказание услуг по передаче электрической энергии, оказание услуг по технологическому присоединению энергопринимающих устройств (энергетических установок) юридических и физических лиц к электрическим сетям на территории Республик Бурятия, Алтай, Хакасия, а также Красноярского, Забайкальского и Алтайского краев, Кемеровской и Омской областей.</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rPr>
      </w:pPr>
      <w:r>
        <w:rPr>
          <w:rFonts w:ascii="Times New Roman" w:eastAsia="Times New Roman" w:hAnsi="Times New Roman" w:cs="Times New Roman"/>
          <w:sz w:val="24"/>
          <w:szCs w:val="24"/>
        </w:rPr>
        <w:t>В соответствии с федеральным законом от 13.07.2024 №185-ФЗ «О внесении изменений в Федеральный закон «Об электроэнергетике» и отдельные законодательные акты Российской Федерации» ПАО «Россети Сибирь» п</w:t>
      </w:r>
      <w:r>
        <w:rPr>
          <w:rFonts w:ascii="Times New Roman" w:eastAsia="Times New Roman" w:hAnsi="Times New Roman" w:cs="Times New Roman"/>
          <w:color w:val="000000" w:themeColor="text1"/>
          <w:sz w:val="24"/>
          <w:szCs w:val="24"/>
        </w:rPr>
        <w:t xml:space="preserve">рисвоен статус </w:t>
      </w:r>
      <w:r>
        <w:rPr>
          <w:rFonts w:ascii="Times New Roman" w:eastAsia="Times New Roman" w:hAnsi="Times New Roman" w:cs="Times New Roman"/>
          <w:color w:val="000000" w:themeColor="text1"/>
          <w:sz w:val="24"/>
          <w:szCs w:val="24"/>
          <w:highlight w:val="white"/>
        </w:rPr>
        <w:t>системообразующей территориальной сетевой организации (СТСО)</w:t>
      </w:r>
      <w:r>
        <w:rPr>
          <w:rFonts w:ascii="Times New Roman" w:eastAsia="Times New Roman" w:hAnsi="Times New Roman" w:cs="Times New Roman"/>
          <w:color w:val="000000" w:themeColor="text1"/>
          <w:sz w:val="24"/>
          <w:szCs w:val="24"/>
        </w:rPr>
        <w:t xml:space="preserve"> во всех регионах присутствия Общества.</w:t>
      </w:r>
    </w:p>
    <w:p w:rsidR="00D602D4" w:rsidRDefault="000B4C86">
      <w:pPr>
        <w:pStyle w:val="13"/>
        <w:rPr>
          <w:rFonts w:ascii="Times New Roman" w:eastAsia="Times New Roman" w:hAnsi="Times New Roman" w:cs="Times New Roman"/>
          <w:sz w:val="24"/>
          <w:szCs w:val="24"/>
        </w:rPr>
      </w:pPr>
      <w:bookmarkStart w:id="23" w:name="_Toc24"/>
      <w:r>
        <w:rPr>
          <w:rFonts w:ascii="Times New Roman" w:eastAsia="Times New Roman" w:hAnsi="Times New Roman" w:cs="Times New Roman"/>
          <w:b/>
          <w:color w:val="auto"/>
          <w:sz w:val="26"/>
          <w:szCs w:val="26"/>
        </w:rPr>
        <w:t>2.3. Стратегические приоритеты и перспективы развития</w:t>
      </w:r>
      <w:bookmarkEnd w:id="23"/>
    </w:p>
    <w:p w:rsidR="00D602D4" w:rsidRDefault="00D602D4">
      <w:pPr>
        <w:widowControl w:val="0"/>
        <w:spacing w:after="0" w:line="240" w:lineRule="auto"/>
        <w:jc w:val="both"/>
        <w:rPr>
          <w:rFonts w:ascii="Times New Roman" w:eastAsia="Times New Roman" w:hAnsi="Times New Roman" w:cs="Times New Roman"/>
          <w:sz w:val="24"/>
          <w:szCs w:val="24"/>
          <w:highlight w:val="white"/>
        </w:rPr>
      </w:pPr>
    </w:p>
    <w:p w:rsidR="00D602D4" w:rsidRDefault="000B4C86">
      <w:pPr>
        <w:shd w:val="clear" w:color="FFFFFF" w:fill="FFFFFF"/>
        <w:spacing w:after="0" w:line="240" w:lineRule="auto"/>
        <w:ind w:firstLine="709"/>
        <w:jc w:val="both"/>
        <w:rPr>
          <w:rFonts w:ascii="Times New Roman" w:hAnsi="Times New Roman" w:cs="Times New Roman"/>
          <w:color w:val="000000" w:themeColor="text1"/>
          <w:sz w:val="24"/>
          <w:szCs w:val="24"/>
          <w:highlight w:val="white"/>
        </w:rPr>
      </w:pPr>
      <w:r>
        <w:rPr>
          <w:rFonts w:ascii="Times New Roman" w:eastAsia="Times New Roman" w:hAnsi="Times New Roman" w:cs="Times New Roman"/>
          <w:sz w:val="24"/>
          <w:szCs w:val="24"/>
        </w:rPr>
        <w:t xml:space="preserve">Стратегические цели и направления развития для компаний Группы «Россети» ориентированы на реализацию отраслевых документов стратегического планирования, </w:t>
      </w:r>
      <w:r>
        <w:rPr>
          <w:rFonts w:ascii="Times New Roman" w:eastAsia="Times New Roman" w:hAnsi="Times New Roman" w:cs="Times New Roman"/>
          <w:sz w:val="24"/>
          <w:szCs w:val="24"/>
        </w:rPr>
        <w:br/>
        <w:t>в том числе Энергетической стратегии Российской Федерации до 2035 года, утвержденной распоряжением Правительства Российской Федерации от 09.06.2020 № 1523-р</w:t>
      </w:r>
      <w:r>
        <w:rPr>
          <w:rStyle w:val="af1"/>
          <w:rFonts w:ascii="Times New Roman" w:eastAsia="Times New Roman" w:hAnsi="Times New Roman" w:cs="Times New Roman"/>
          <w:sz w:val="24"/>
          <w:szCs w:val="24"/>
        </w:rPr>
        <w:footnoteReference w:id="1"/>
      </w:r>
      <w:r>
        <w:rPr>
          <w:rFonts w:ascii="Times New Roman" w:eastAsia="Times New Roman" w:hAnsi="Times New Roman" w:cs="Times New Roman"/>
          <w:sz w:val="24"/>
          <w:szCs w:val="24"/>
        </w:rPr>
        <w:t xml:space="preserve">, а также Стратегией социально-экономического развития Российской Федерации с низким уровнем выбросов парниковых газов до 2050 года, утвержденная Распоряжением Правительства Российской Федерации от 29.10.2021 № 3052-р; Указом Президента Российской Федерации </w:t>
      </w:r>
      <w:r>
        <w:rPr>
          <w:rFonts w:ascii="Times New Roman" w:eastAsia="Times New Roman" w:hAnsi="Times New Roman" w:cs="Times New Roman"/>
          <w:sz w:val="24"/>
          <w:szCs w:val="24"/>
        </w:rPr>
        <w:br/>
        <w:t xml:space="preserve">от 07.05.2018 № 204 «О национальных целях и стратегических задачах развития </w:t>
      </w:r>
      <w:r>
        <w:rPr>
          <w:rFonts w:ascii="Times New Roman" w:eastAsia="Times New Roman" w:hAnsi="Times New Roman" w:cs="Times New Roman"/>
          <w:sz w:val="24"/>
          <w:szCs w:val="24"/>
        </w:rPr>
        <w:br/>
        <w:t xml:space="preserve">Российской Федерации на период до 2024 года» (до 07.05.2024 в редакции Указа Президента Российской Федерации от 21.07.2020 № 474), Указом Президента Российской Федерации </w:t>
      </w:r>
      <w:r>
        <w:rPr>
          <w:rFonts w:ascii="Times New Roman" w:eastAsia="Times New Roman" w:hAnsi="Times New Roman" w:cs="Times New Roman"/>
          <w:sz w:val="24"/>
          <w:szCs w:val="24"/>
        </w:rPr>
        <w:br/>
        <w:t>от 07.05.2024 № 309 «О национальных целях развития российской федерации на период до 2030 года и на перспективу до 2036 года», прогнозов социально-экономического развития Российской Федерации на 2025 год и на плановый период 2026 и 2027 годов и иными документами государственного стратегического планирования в сфере электроэнергетики.</w:t>
      </w:r>
    </w:p>
    <w:p w:rsidR="00D602D4" w:rsidRDefault="000B4C86">
      <w:pPr>
        <w:pStyle w:val="affffff5"/>
        <w:shd w:val="clear" w:color="FFFFFF" w:fill="FFFFFF"/>
        <w:spacing w:line="240" w:lineRule="auto"/>
        <w:ind w:right="29"/>
        <w:rPr>
          <w:spacing w:val="-2"/>
          <w:highlight w:val="white"/>
        </w:rPr>
      </w:pPr>
      <w:r>
        <w:rPr>
          <w:spacing w:val="-2"/>
          <w:highlight w:val="white"/>
        </w:rPr>
        <w:t xml:space="preserve">С учетом национальных целей </w:t>
      </w:r>
      <w:r>
        <w:rPr>
          <w:highlight w:val="white"/>
        </w:rPr>
        <w:t>и долгосрочных задач приоритетами развития Общества</w:t>
      </w:r>
      <w:r>
        <w:rPr>
          <w:spacing w:val="-2"/>
          <w:highlight w:val="white"/>
        </w:rPr>
        <w:t xml:space="preserve"> </w:t>
      </w:r>
      <w:r>
        <w:rPr>
          <w:highlight w:val="white"/>
        </w:rPr>
        <w:t xml:space="preserve">являются выполнение мероприятий, направленных на повышение надежности электроснабжения потребителей электрической энергии, обеспечение устойчивого развития, повышение эффективности, качества оперативно – технологического управления сетями ПАО «Россети Сибирь», а также развитие нормативно-правовой базы отрасли. </w:t>
      </w:r>
    </w:p>
    <w:p w:rsidR="00D602D4" w:rsidRDefault="00D602D4">
      <w:pPr>
        <w:shd w:val="clear" w:color="FFFFFF" w:fill="FFFFFF"/>
        <w:tabs>
          <w:tab w:val="left" w:pos="709"/>
        </w:tabs>
        <w:spacing w:after="0" w:line="240" w:lineRule="auto"/>
        <w:ind w:left="992"/>
        <w:jc w:val="both"/>
        <w:rPr>
          <w:rFonts w:ascii="Times New Roman" w:hAnsi="Times New Roman" w:cs="Times New Roman"/>
          <w:sz w:val="26"/>
          <w:szCs w:val="26"/>
          <w:highlight w:val="white"/>
        </w:rPr>
      </w:pPr>
    </w:p>
    <w:p w:rsidR="00D602D4" w:rsidRDefault="000B4C86">
      <w:pPr>
        <w:pStyle w:val="aff5"/>
        <w:keepNext w:val="0"/>
        <w:keepLines w:val="0"/>
        <w:shd w:val="clear" w:color="FFFFFF" w:fill="FFFFFF"/>
        <w:spacing w:before="0" w:after="0" w:line="240" w:lineRule="auto"/>
        <w:ind w:right="29"/>
        <w:jc w:val="left"/>
        <w:rPr>
          <w:highlight w:val="white"/>
        </w:rPr>
      </w:pPr>
      <w:r>
        <w:rPr>
          <w:highlight w:val="white"/>
        </w:rPr>
        <w:t xml:space="preserve">Достижение поставленных задач обеспечивается за счет реализации инициатив по следующим основным направлениям: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1. Технологичное и инновационное развитие </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Повышение уровня наблюдаемости и управляемости объектов электросетевой инфраструктуры;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2. Комплексное применение новых цифровых технологий </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Внедрение модели риск-ориентированного управления; </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Переход на одноуровневую систему оперативно-технологического управления;</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Формирование единой информационной среды; </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Оптимизация и изменение технологических и бизнес-процессов.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3. Диверсификация бизнеса </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Услуги по технологическому и операционному управлению; </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Решения «под ключ» для энергоемких отраслей; </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Участие в проектах освещения городов; </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Зарядная инфраструктура для электротранспорта; </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Помощь регионам во внедрении Автономных источников питания, в том числе на не возобновляемых источниках энергии.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4. Увеличение доли рынка сетевых услуг</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Консолидация территориальных сетевых организаций;</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Продвижение законодательных инициатив, регулирующих деятельность ТСО.</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5. Развитие кадрового потенциала</w:t>
      </w:r>
    </w:p>
    <w:p w:rsidR="00D602D4" w:rsidRDefault="000B4C86">
      <w:pPr>
        <w:shd w:val="clear" w:color="FFFFFF" w:fill="FFFFFF"/>
        <w:spacing w:after="0" w:line="240" w:lineRule="auto"/>
        <w:ind w:firstLine="851"/>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 - Развитие всех элементов системы управление персоналом.</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6. Повышение операционной и инвестиционной эффективности </w:t>
      </w:r>
    </w:p>
    <w:p w:rsidR="00D602D4" w:rsidRDefault="000B4C86">
      <w:pPr>
        <w:pStyle w:val="ac"/>
        <w:shd w:val="clear" w:color="FFFFFF" w:fill="FFFFFF"/>
        <w:spacing w:after="0" w:line="240" w:lineRule="auto"/>
        <w:ind w:left="0"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Снижение потерь электроэнергии в сетях; </w:t>
      </w:r>
    </w:p>
    <w:p w:rsidR="00D602D4" w:rsidRDefault="000B4C86">
      <w:pPr>
        <w:pStyle w:val="ac"/>
        <w:shd w:val="clear" w:color="FFFFFF" w:fill="FFFFFF"/>
        <w:spacing w:after="0" w:line="240" w:lineRule="auto"/>
        <w:ind w:left="0" w:firstLine="851"/>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Оптимизация подконтрольных расходов с учетом лучших практик управления бизнес-процессами Общества;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Symbol" w:eastAsia="Symbol" w:hAnsi="Symbol" w:cs="Symbol"/>
          <w:sz w:val="24"/>
          <w:szCs w:val="24"/>
          <w:highlight w:val="white"/>
        </w:rPr>
        <w:t></w:t>
      </w:r>
      <w:r>
        <w:rPr>
          <w:rFonts w:ascii="Times New Roman" w:hAnsi="Times New Roman" w:cs="Times New Roman"/>
          <w:sz w:val="24"/>
          <w:szCs w:val="24"/>
          <w:highlight w:val="white"/>
        </w:rPr>
        <w:t xml:space="preserve"> Улучшение платежной дисциплины за услуги по передаче электроэнергии.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7. Повышение инвестиционной привлекательности и акционерной стоимости</w:t>
      </w:r>
    </w:p>
    <w:p w:rsidR="00D602D4" w:rsidRDefault="000B4C86">
      <w:pPr>
        <w:pStyle w:val="ac"/>
        <w:shd w:val="clear" w:color="FFFFFF" w:fill="FFFFFF"/>
        <w:spacing w:after="0" w:line="240" w:lineRule="auto"/>
        <w:ind w:left="0" w:firstLine="851"/>
        <w:jc w:val="both"/>
        <w:rPr>
          <w:rFonts w:ascii="Times New Roman" w:hAnsi="Times New Roman" w:cs="Times New Roman"/>
          <w:sz w:val="24"/>
          <w:szCs w:val="24"/>
          <w:highlight w:val="white"/>
        </w:rPr>
      </w:pPr>
      <w:r>
        <w:rPr>
          <w:rFonts w:ascii="Times New Roman" w:hAnsi="Times New Roman" w:cs="Times New Roman"/>
          <w:sz w:val="24"/>
          <w:szCs w:val="24"/>
          <w:highlight w:val="white"/>
        </w:rPr>
        <w:t>- Реализация принципов дивидендной политики, обеспечивающей прогнозируемость, конкурентоспособность, а также регулярность из выплаты.</w:t>
      </w:r>
    </w:p>
    <w:p w:rsidR="00D602D4" w:rsidRDefault="00D602D4">
      <w:pPr>
        <w:pStyle w:val="ac"/>
        <w:shd w:val="clear" w:color="FFFFFF" w:fill="FFFFFF"/>
        <w:spacing w:after="0" w:line="240" w:lineRule="auto"/>
        <w:ind w:left="0" w:firstLine="851"/>
        <w:jc w:val="both"/>
        <w:rPr>
          <w:rFonts w:ascii="Times New Roman" w:hAnsi="Times New Roman" w:cs="Times New Roman"/>
          <w:sz w:val="24"/>
          <w:szCs w:val="24"/>
          <w:highlight w:val="white"/>
        </w:rPr>
      </w:pP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Принятые корпоративные ценности являются связующим звеном всех сфер деятельности и согласуются с принятыми в Обществе направлениями развития и социальными обязательствами.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Ценности и этические нормы сформированы и закреплены в Кодексе корпоративной этики и должностного поведения работников Общества (утвержден Советом директоров ПАО «Россети», протокол от 22.02.2016 № 252), охватывают такие сферы как: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а) надежность;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б) человеческий ресурс;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в) эффективность;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г) безопасность; </w:t>
      </w:r>
    </w:p>
    <w:p w:rsidR="00D602D4" w:rsidRDefault="000B4C86">
      <w:pPr>
        <w:shd w:val="clear" w:color="FFFFFF" w:fill="FFFFFF"/>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д) социальная ответственность. </w:t>
      </w:r>
    </w:p>
    <w:p w:rsidR="00D602D4" w:rsidRDefault="00D602D4">
      <w:pPr>
        <w:shd w:val="clear" w:color="FFFFFF" w:fill="FFFFFF"/>
        <w:spacing w:after="0" w:line="240" w:lineRule="auto"/>
        <w:ind w:firstLine="709"/>
        <w:jc w:val="both"/>
        <w:rPr>
          <w:rFonts w:ascii="Times New Roman" w:hAnsi="Times New Roman" w:cs="Times New Roman"/>
          <w:sz w:val="24"/>
          <w:szCs w:val="24"/>
          <w:highlight w:val="white"/>
        </w:rPr>
      </w:pPr>
    </w:p>
    <w:p w:rsidR="00D602D4" w:rsidRDefault="000B4C86">
      <w:pPr>
        <w:pStyle w:val="ac"/>
        <w:shd w:val="clear" w:color="FFFFFF" w:fill="FFFFFF"/>
        <w:spacing w:after="0" w:line="240" w:lineRule="auto"/>
        <w:ind w:left="0" w:firstLine="851"/>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По итогам 2024 года реализованы мероприятия проектов, направленных на обеспечение надежности и качества энергоснабжения, недопущение производственного травматизма, снижение уровня потерь, увеличение объема дополнительных услуг и тд. </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В дополнение к ранее запланированным проектам в 2024 году были инициированы новые инициативы, направленные на повышение эффективности деятельности Общества и способствующие достижению поставленных задач.</w:t>
      </w:r>
    </w:p>
    <w:p w:rsidR="00D602D4" w:rsidRDefault="000B4C86">
      <w:pPr>
        <w:spacing w:after="0" w:line="240" w:lineRule="auto"/>
        <w:ind w:firstLine="720"/>
        <w:jc w:val="both"/>
        <w:rPr>
          <w:rFonts w:ascii="Times New Roman" w:hAnsi="Times New Roman" w:cs="Times New Roman"/>
          <w:sz w:val="24"/>
          <w:szCs w:val="24"/>
          <w:highlight w:val="white"/>
        </w:rPr>
      </w:pPr>
      <w:r>
        <w:rPr>
          <w:rFonts w:ascii="Times New Roman" w:hAnsi="Times New Roman" w:cs="Times New Roman"/>
          <w:sz w:val="24"/>
          <w:szCs w:val="24"/>
          <w:highlight w:val="white"/>
        </w:rPr>
        <w:lastRenderedPageBreak/>
        <w:t>В новом периоде стратегического планирования 2025-2030 гг. развитие Общества будет осуществляться в рамках Стратегии развития Публичного акционерного общества «Федеральная сетевая компания – Россети» и его дочерних и зависимых обществ на период до 2030 года</w:t>
      </w:r>
      <w:r>
        <w:rPr>
          <w:rStyle w:val="af1"/>
          <w:rFonts w:ascii="Times New Roman" w:hAnsi="Times New Roman" w:cs="Times New Roman"/>
          <w:sz w:val="24"/>
          <w:szCs w:val="24"/>
          <w:highlight w:val="white"/>
        </w:rPr>
        <w:footnoteReference w:id="2"/>
      </w:r>
      <w:r>
        <w:rPr>
          <w:rFonts w:ascii="Times New Roman" w:hAnsi="Times New Roman" w:cs="Times New Roman"/>
          <w:sz w:val="24"/>
          <w:szCs w:val="24"/>
          <w:highlight w:val="white"/>
        </w:rPr>
        <w:t xml:space="preserve"> (далее – Стратегия развития) и формируемого Обществом плана реализации мероприятий, направленных на исполнение Стратегии развития.</w:t>
      </w:r>
    </w:p>
    <w:p w:rsidR="00D602D4" w:rsidRDefault="000B4C86">
      <w:pPr>
        <w:pStyle w:val="13"/>
        <w:rPr>
          <w:rFonts w:ascii="Times New Roman" w:hAnsi="Times New Roman" w:cs="Times New Roman"/>
          <w:sz w:val="24"/>
          <w:szCs w:val="24"/>
        </w:rPr>
      </w:pPr>
      <w:bookmarkStart w:id="24" w:name="_Toc25"/>
      <w:r>
        <w:rPr>
          <w:rFonts w:ascii="Times New Roman" w:eastAsia="Times New Roman" w:hAnsi="Times New Roman" w:cs="Times New Roman"/>
          <w:b/>
          <w:color w:val="auto"/>
          <w:sz w:val="26"/>
          <w:szCs w:val="26"/>
        </w:rPr>
        <w:t>2.4. Ключевые показатели эффективности</w:t>
      </w:r>
      <w:bookmarkEnd w:id="24"/>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lang w:eastAsia="ru-RU"/>
        </w:rPr>
        <w:t>Достижение приоритетных целей развития Общества оценивается применяемой в Обществе системой ключевых показателей эффективности и функциональных ключевых показателей эффективности.</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 2023 года формирование системы ключевых показателей эффективности группы компаний «Россети» осуществляется в соответствии с распоряжением Правительства Российской Федерации от 28.12.2020 № 3579-р (далее – распоряжение № 3579-р).</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соответствии с распоряжением № 3579-р система ключевых показателей эффективности разделена на две группы показателей - ключевые показатели эффективности (далее – КПЭ) и функциональные ключевые показатели эффективности (далее – ФКПЭ). При этом, КПЭ – это показатели, связанные со стратегическими документами Общества, на основании которых оценивается эффективность деятельности всего руководящего состава Общества (руководитель, заместители руководителя, главный бухгалтер), ФКПЭ – это индивидуальные показатели, устанавливаемые для должностных лиц Общества персонально с учетом специфики курируемых ими направлений деятельности Общества.</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Применяемая в Обществе система КПЭ и ФКПЭ взаимоувязана с размером переменной части вознаграждения менеджмента (50% стимулирующих выплат за достижение КПЭ, 50% стимулирующих выплат за достижение ФКПЭ) – для каждого из показателей установлен удельный вес в объеме выплачиваемых премий, годовое премирование производится при условии выполнения соответствующих показателей. </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относительно 2023 года в отношении КПЭ и ФКПЭ произведены следующие изменения:</w:t>
      </w:r>
    </w:p>
    <w:p w:rsidR="00D602D4" w:rsidRDefault="000B4C86">
      <w:pPr>
        <w:pStyle w:val="ac"/>
        <w:numPr>
          <w:ilvl w:val="0"/>
          <w:numId w:val="33"/>
        </w:numPr>
        <w:tabs>
          <w:tab w:val="left" w:pos="992"/>
        </w:tabs>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ФКПЭ «Чистое привлечение кредитов и облигационных займов для покрытия дефицита источников финансирования инвестиционной программы» заменен на ФКПЭ «Долг/EBITDA»;</w:t>
      </w:r>
    </w:p>
    <w:p w:rsidR="00D602D4" w:rsidRDefault="000B4C86">
      <w:pPr>
        <w:pStyle w:val="ac"/>
        <w:numPr>
          <w:ilvl w:val="0"/>
          <w:numId w:val="33"/>
        </w:numPr>
        <w:tabs>
          <w:tab w:val="left" w:pos="992"/>
        </w:tabs>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ФКПЭ «Выполнение Комплексного плана по обеспечению безопасности» заменен на ФКПЭ «Сохранность имущества организации»;</w:t>
      </w:r>
    </w:p>
    <w:p w:rsidR="00D602D4" w:rsidRDefault="000B4C86">
      <w:pPr>
        <w:pStyle w:val="ac"/>
        <w:numPr>
          <w:ilvl w:val="0"/>
          <w:numId w:val="33"/>
        </w:numPr>
        <w:tabs>
          <w:tab w:val="left" w:pos="992"/>
        </w:tabs>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ФКПЭ «Отсутствие оговорки и/или модифицированного мнения Аудитора, влияющих на достоверность данных годовой бухгалтерской (финансовой) отчетности» заменен на ФКПЭ «Количество замечаний (ошибок) к ведению бухгалтерского учета в организации, выявленных аудитором и ревизионной комиссией при проведении проверок по итогам отчетного периода»;</w:t>
      </w:r>
    </w:p>
    <w:p w:rsidR="00D602D4" w:rsidRDefault="000B4C86">
      <w:pPr>
        <w:pStyle w:val="ac"/>
        <w:numPr>
          <w:ilvl w:val="0"/>
          <w:numId w:val="33"/>
        </w:numPr>
        <w:tabs>
          <w:tab w:val="left" w:pos="992"/>
        </w:tabs>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Добавлен раздел «Показатели депремирования», включающий показатели депремирования «Предельный объем разногласий по объему потерь на конец отчетного периода (года)», «Нарушение порядка совершения сделок», Своевременное выполнение планов корректирующих мероприятий (ПКМ)»;</w:t>
      </w:r>
    </w:p>
    <w:p w:rsidR="00D602D4" w:rsidRDefault="000B4C86">
      <w:pPr>
        <w:pStyle w:val="ac"/>
        <w:numPr>
          <w:ilvl w:val="0"/>
          <w:numId w:val="33"/>
        </w:numPr>
        <w:tabs>
          <w:tab w:val="left" w:pos="1418"/>
        </w:tabs>
        <w:spacing w:after="0" w:line="240" w:lineRule="auto"/>
        <w:ind w:left="0" w:firstLine="709"/>
        <w:jc w:val="both"/>
        <w:rPr>
          <w:rFonts w:ascii="Times New Roman" w:eastAsia="Calibri" w:hAnsi="Times New Roman"/>
          <w:sz w:val="24"/>
          <w:szCs w:val="24"/>
        </w:rPr>
      </w:pPr>
      <w:r>
        <w:rPr>
          <w:rFonts w:ascii="Times New Roman" w:eastAsia="Calibri" w:hAnsi="Times New Roman"/>
          <w:sz w:val="24"/>
          <w:szCs w:val="24"/>
        </w:rPr>
        <w:t>Добавлены ФКПЭ «Уровень укомплектованности персоналом», «Контроль за своевременным проведением ГОСА/ГОСУ Общества и дочерних обществ», «Эффективность перехода на использование отечественной радиоэлектронной продукции», «Эффективность реализации дополнительных услуг».</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КПЭ и ФКПЭ Общества и их целевые значения на 2024 – 2026 годы установлены на основании:</w:t>
      </w:r>
    </w:p>
    <w:p w:rsidR="00D602D4" w:rsidRDefault="000B4C86">
      <w:pPr>
        <w:pStyle w:val="ac"/>
        <w:numPr>
          <w:ilvl w:val="0"/>
          <w:numId w:val="34"/>
        </w:numPr>
        <w:tabs>
          <w:tab w:val="left" w:pos="993"/>
        </w:tabs>
        <w:spacing w:after="0" w:line="240" w:lineRule="auto"/>
        <w:ind w:left="0"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пункта 15.1 статьи 15 Устава Общества,</w:t>
      </w:r>
    </w:p>
    <w:p w:rsidR="00D602D4" w:rsidRDefault="000B4C86">
      <w:pPr>
        <w:pStyle w:val="ac"/>
        <w:numPr>
          <w:ilvl w:val="0"/>
          <w:numId w:val="34"/>
        </w:numPr>
        <w:tabs>
          <w:tab w:val="left" w:pos="993"/>
          <w:tab w:val="left" w:pos="9356"/>
        </w:tabs>
        <w:spacing w:after="0" w:line="240" w:lineRule="auto"/>
        <w:ind w:left="0" w:firstLine="709"/>
        <w:jc w:val="both"/>
        <w:rPr>
          <w:rFonts w:ascii="Times New Roman" w:eastAsia="Calibri" w:hAnsi="Times New Roman" w:cs="Times New Roman"/>
          <w:sz w:val="24"/>
          <w:szCs w:val="24"/>
          <w:highlight w:val="white"/>
        </w:rPr>
      </w:pPr>
      <w:r>
        <w:rPr>
          <w:rFonts w:ascii="Times New Roman" w:eastAsia="Calibri" w:hAnsi="Times New Roman" w:cs="Times New Roman"/>
          <w:sz w:val="24"/>
          <w:szCs w:val="24"/>
          <w:highlight w:val="white"/>
        </w:rPr>
        <w:t>решения Совета директоров Общества от 16.12.2024 (протокол от 19.12.2024 № 541/24).</w:t>
      </w:r>
    </w:p>
    <w:p w:rsidR="00D602D4" w:rsidRDefault="00D602D4">
      <w:pPr>
        <w:rPr>
          <w:rFonts w:ascii="Times New Roman" w:eastAsia="Calibri" w:hAnsi="Times New Roman" w:cs="Times New Roman"/>
          <w:sz w:val="26"/>
          <w:szCs w:val="26"/>
        </w:rPr>
        <w:sectPr w:rsidR="00D602D4">
          <w:pgSz w:w="11906" w:h="16838"/>
          <w:pgMar w:top="851" w:right="567" w:bottom="851" w:left="1418" w:header="709" w:footer="709" w:gutter="0"/>
          <w:cols w:space="720"/>
          <w:docGrid w:linePitch="360"/>
        </w:sectPr>
      </w:pPr>
    </w:p>
    <w:tbl>
      <w:tblPr>
        <w:tblStyle w:val="ae"/>
        <w:tblpPr w:leftFromText="180" w:rightFromText="180" w:vertAnchor="page" w:horzAnchor="page" w:tblpX="533" w:tblpY="1152"/>
        <w:tblW w:w="16013" w:type="dxa"/>
        <w:tblLayout w:type="fixed"/>
        <w:tblLook w:val="06A0" w:firstRow="1" w:lastRow="0" w:firstColumn="1" w:lastColumn="0" w:noHBand="1" w:noVBand="1"/>
      </w:tblPr>
      <w:tblGrid>
        <w:gridCol w:w="1271"/>
        <w:gridCol w:w="5387"/>
        <w:gridCol w:w="1276"/>
        <w:gridCol w:w="425"/>
        <w:gridCol w:w="1377"/>
        <w:gridCol w:w="1276"/>
        <w:gridCol w:w="1390"/>
        <w:gridCol w:w="1276"/>
        <w:gridCol w:w="1276"/>
        <w:gridCol w:w="1059"/>
      </w:tblGrid>
      <w:tr w:rsidR="00D602D4">
        <w:trPr>
          <w:trHeight w:val="1484"/>
          <w:tblHeader/>
        </w:trPr>
        <w:tc>
          <w:tcPr>
            <w:tcW w:w="1271"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lastRenderedPageBreak/>
              <w:t>Наименование показателя</w:t>
            </w:r>
          </w:p>
        </w:tc>
        <w:tc>
          <w:tcPr>
            <w:tcW w:w="5387"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1"/>
                <w:szCs w:val="21"/>
              </w:rPr>
            </w:pPr>
            <w:r>
              <w:rPr>
                <w:rFonts w:ascii="Times New Roman" w:hAnsi="Times New Roman"/>
                <w:b/>
                <w:sz w:val="18"/>
                <w:szCs w:val="18"/>
              </w:rPr>
              <w:t>Порядок расчета</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Весовая доля КПЭ//процент депремирования на 2024 год, %</w:t>
            </w:r>
          </w:p>
        </w:tc>
        <w:tc>
          <w:tcPr>
            <w:tcW w:w="425"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Ед. изм.</w:t>
            </w:r>
          </w:p>
        </w:tc>
        <w:tc>
          <w:tcPr>
            <w:tcW w:w="1377"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Целевое//пороговое значение на 2024 год</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Достигнутое значение за 2024 год</w:t>
            </w:r>
            <w:r>
              <w:rPr>
                <w:rStyle w:val="af1"/>
                <w:sz w:val="18"/>
                <w:szCs w:val="18"/>
              </w:rPr>
              <w:footnoteReference w:id="3"/>
            </w:r>
          </w:p>
        </w:tc>
        <w:tc>
          <w:tcPr>
            <w:tcW w:w="1390"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Оценка достижения в 2024 году (%, достигнут/не достигнут)</w:t>
            </w:r>
            <w:r>
              <w:rPr>
                <w:rStyle w:val="af1"/>
                <w:rFonts w:ascii="Times New Roman" w:hAnsi="Times New Roman"/>
                <w:b/>
                <w:sz w:val="18"/>
                <w:szCs w:val="18"/>
              </w:rPr>
              <w:footnoteReference w:id="4"/>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Причины недостижения</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Целевое значение на 2025 год</w:t>
            </w:r>
            <w:r>
              <w:rPr>
                <w:rStyle w:val="af1"/>
                <w:rFonts w:ascii="Times New Roman" w:hAnsi="Times New Roman"/>
                <w:b/>
                <w:sz w:val="18"/>
                <w:szCs w:val="18"/>
              </w:rPr>
              <w:footnoteReference w:id="5"/>
            </w:r>
          </w:p>
        </w:tc>
        <w:tc>
          <w:tcPr>
            <w:tcW w:w="1059"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Целевое значение на 2026 год</w:t>
            </w:r>
          </w:p>
        </w:tc>
      </w:tr>
      <w:tr w:rsidR="00D602D4">
        <w:trPr>
          <w:trHeight w:val="20"/>
          <w:tblHeader/>
        </w:trPr>
        <w:tc>
          <w:tcPr>
            <w:tcW w:w="16013" w:type="dxa"/>
            <w:gridSpan w:val="10"/>
            <w:tcBorders>
              <w:top w:val="single" w:sz="4" w:space="0" w:color="000000"/>
              <w:left w:val="single" w:sz="4" w:space="0" w:color="000000"/>
              <w:bottom w:val="single" w:sz="4" w:space="0" w:color="000000"/>
              <w:right w:val="single" w:sz="4" w:space="0" w:color="000000"/>
            </w:tcBorders>
          </w:tcPr>
          <w:p w:rsidR="00D602D4" w:rsidRDefault="000B4C86">
            <w:pPr>
              <w:spacing w:before="60" w:after="60"/>
              <w:ind w:left="-85" w:right="-85"/>
              <w:jc w:val="center"/>
              <w:rPr>
                <w:rFonts w:ascii="Times New Roman" w:hAnsi="Times New Roman"/>
                <w:b/>
                <w:color w:val="0070C0"/>
                <w:sz w:val="21"/>
                <w:szCs w:val="21"/>
              </w:rPr>
            </w:pPr>
            <w:r>
              <w:rPr>
                <w:rFonts w:ascii="Times New Roman" w:hAnsi="Times New Roman"/>
                <w:b/>
                <w:color w:val="0070C0"/>
                <w:sz w:val="18"/>
                <w:szCs w:val="18"/>
              </w:rPr>
              <w:t>ФИНАНСОВО-ЭКОНОМИЧЕСКИЕ КЛЮЧЕВЫЕ ПОКАЗАТЕЛИ ЭФФЕКТИВНОСТИ</w:t>
            </w:r>
          </w:p>
        </w:tc>
      </w:tr>
      <w:tr w:rsidR="00D602D4">
        <w:trPr>
          <w:trHeight w:val="20"/>
          <w:tblHeader/>
        </w:trPr>
        <w:tc>
          <w:tcPr>
            <w:tcW w:w="1271"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rPr>
            </w:pPr>
            <w:r>
              <w:rPr>
                <w:rFonts w:ascii="Times New Roman" w:hAnsi="Times New Roman"/>
                <w:sz w:val="18"/>
                <w:szCs w:val="18"/>
              </w:rPr>
              <w:t>ROIC</w:t>
            </w:r>
          </w:p>
          <w:p w:rsidR="00D602D4" w:rsidRDefault="000B4C86">
            <w:pPr>
              <w:ind w:left="-85" w:right="-85"/>
              <w:contextualSpacing/>
              <w:jc w:val="both"/>
              <w:rPr>
                <w:rFonts w:ascii="Times New Roman" w:hAnsi="Times New Roman"/>
              </w:rPr>
            </w:pPr>
            <w:r>
              <w:rPr>
                <w:rFonts w:ascii="Times New Roman" w:hAnsi="Times New Roman"/>
                <w:sz w:val="18"/>
                <w:szCs w:val="18"/>
              </w:rPr>
              <w:t>(</w:t>
            </w:r>
            <w:r>
              <w:rPr>
                <w:rFonts w:ascii="Times New Roman" w:hAnsi="Times New Roman"/>
                <w:spacing w:val="-20"/>
                <w:sz w:val="18"/>
                <w:szCs w:val="18"/>
              </w:rPr>
              <w:t>Рентабельность</w:t>
            </w:r>
            <w:r>
              <w:rPr>
                <w:rFonts w:ascii="Times New Roman" w:hAnsi="Times New Roman"/>
                <w:sz w:val="18"/>
                <w:szCs w:val="18"/>
              </w:rPr>
              <w:t xml:space="preserve"> </w:t>
            </w:r>
            <w:r>
              <w:rPr>
                <w:rFonts w:ascii="Times New Roman" w:hAnsi="Times New Roman"/>
                <w:spacing w:val="-20"/>
                <w:sz w:val="18"/>
                <w:szCs w:val="18"/>
              </w:rPr>
              <w:t>инвестированного</w:t>
            </w:r>
            <w:r>
              <w:rPr>
                <w:rFonts w:ascii="Times New Roman" w:hAnsi="Times New Roman"/>
                <w:sz w:val="18"/>
                <w:szCs w:val="18"/>
              </w:rPr>
              <w:t xml:space="preserve"> капитала)</w:t>
            </w:r>
          </w:p>
        </w:tc>
        <w:tc>
          <w:tcPr>
            <w:tcW w:w="5387"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eastAsiaTheme="minorEastAsia" w:hAnsi="Times New Roman"/>
                <w:sz w:val="21"/>
                <w:szCs w:val="21"/>
              </w:rPr>
            </w:pPr>
            <w:r>
              <w:rPr>
                <w:rFonts w:ascii="Times New Roman" w:eastAsiaTheme="minorEastAsia" w:hAnsi="Times New Roman"/>
                <w:sz w:val="18"/>
                <w:szCs w:val="18"/>
              </w:rPr>
              <w:t>Отношение операционной прибыли, скорректированной на размер обесценения / (восстановления обесценения) основных средств, выручки от оказания услуг по тех. присоединению и начисления / (восстановление) резерва под ожидаемые кредитные убытки, к сумме средних величин капитала и долгосрочных кредитов и займов</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10</w:t>
            </w:r>
          </w:p>
        </w:tc>
        <w:tc>
          <w:tcPr>
            <w:tcW w:w="42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w:t>
            </w:r>
          </w:p>
        </w:tc>
        <w:tc>
          <w:tcPr>
            <w:tcW w:w="1377"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szCs w:val="24"/>
              </w:rPr>
            </w:pPr>
            <w:r>
              <w:rPr>
                <w:rFonts w:ascii="Times New Roman" w:eastAsia="Calibri" w:hAnsi="Times New Roman" w:cs="Times New Roman"/>
                <w:sz w:val="18"/>
                <w:szCs w:val="18"/>
              </w:rPr>
              <w:t xml:space="preserve">6,1 </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sz w:val="18"/>
                <w:szCs w:val="18"/>
              </w:rPr>
              <w:t>5,0</w:t>
            </w:r>
          </w:p>
        </w:tc>
        <w:tc>
          <w:tcPr>
            <w:tcW w:w="139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sz w:val="18"/>
                <w:szCs w:val="18"/>
              </w:rPr>
              <w:t xml:space="preserve">82%, </w:t>
            </w:r>
            <w:r>
              <w:rPr>
                <w:rFonts w:ascii="Times New Roman" w:hAnsi="Times New Roman"/>
                <w:sz w:val="18"/>
                <w:szCs w:val="18"/>
              </w:rPr>
              <w:t>достигнут  частично</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bCs/>
                <w:szCs w:val="24"/>
              </w:rPr>
            </w:pPr>
            <w:r>
              <w:rPr>
                <w:rFonts w:ascii="Times New Roman" w:hAnsi="Times New Roman" w:cs="Times New Roman"/>
                <w:bCs/>
                <w:sz w:val="18"/>
                <w:szCs w:val="18"/>
              </w:rPr>
              <w:t>7,2</w:t>
            </w:r>
          </w:p>
        </w:tc>
        <w:tc>
          <w:tcPr>
            <w:tcW w:w="1059"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bCs/>
                <w:szCs w:val="24"/>
              </w:rPr>
            </w:pPr>
            <w:r>
              <w:rPr>
                <w:rFonts w:ascii="Times New Roman" w:hAnsi="Times New Roman" w:cs="Times New Roman"/>
                <w:bCs/>
                <w:sz w:val="18"/>
                <w:szCs w:val="18"/>
              </w:rPr>
              <w:t>7,3</w:t>
            </w:r>
          </w:p>
        </w:tc>
      </w:tr>
      <w:tr w:rsidR="00D602D4">
        <w:trPr>
          <w:trHeight w:val="20"/>
          <w:tblHeader/>
        </w:trPr>
        <w:tc>
          <w:tcPr>
            <w:tcW w:w="1271"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rPr>
            </w:pPr>
            <w:r>
              <w:rPr>
                <w:rFonts w:ascii="Times New Roman" w:hAnsi="Times New Roman"/>
                <w:spacing w:val="-20"/>
                <w:sz w:val="18"/>
                <w:szCs w:val="18"/>
              </w:rPr>
              <w:t>Рентабельность</w:t>
            </w:r>
            <w:r>
              <w:rPr>
                <w:rFonts w:ascii="Times New Roman" w:hAnsi="Times New Roman"/>
                <w:sz w:val="18"/>
                <w:szCs w:val="18"/>
              </w:rPr>
              <w:t xml:space="preserve"> </w:t>
            </w:r>
            <w:r>
              <w:rPr>
                <w:rFonts w:ascii="Times New Roman" w:hAnsi="Times New Roman"/>
                <w:spacing w:val="-20"/>
                <w:sz w:val="18"/>
                <w:szCs w:val="18"/>
              </w:rPr>
              <w:t>операционной</w:t>
            </w:r>
            <w:r>
              <w:rPr>
                <w:rFonts w:ascii="Times New Roman" w:hAnsi="Times New Roman"/>
                <w:sz w:val="18"/>
                <w:szCs w:val="18"/>
              </w:rPr>
              <w:t xml:space="preserve"> деятельности</w:t>
            </w:r>
          </w:p>
        </w:tc>
        <w:tc>
          <w:tcPr>
            <w:tcW w:w="5387"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eastAsiaTheme="minorEastAsia" w:hAnsi="Times New Roman"/>
                <w:sz w:val="21"/>
                <w:szCs w:val="21"/>
              </w:rPr>
            </w:pPr>
            <w:r>
              <w:rPr>
                <w:rFonts w:ascii="Times New Roman" w:eastAsiaTheme="minorEastAsia" w:hAnsi="Times New Roman"/>
                <w:sz w:val="18"/>
                <w:szCs w:val="18"/>
              </w:rPr>
              <w:t>Отношение операционной прибыли, скорректированной на размер обесценения / (восстановления обесценения) основных средств и выручки от оказания услуг по тех. присоединению, к выручке без учета выручки от оказания услуг по тех. присоединению</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20</w:t>
            </w:r>
          </w:p>
        </w:tc>
        <w:tc>
          <w:tcPr>
            <w:tcW w:w="42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w:t>
            </w:r>
          </w:p>
        </w:tc>
        <w:tc>
          <w:tcPr>
            <w:tcW w:w="1377"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szCs w:val="24"/>
              </w:rPr>
            </w:pPr>
            <w:r>
              <w:rPr>
                <w:rFonts w:ascii="Times New Roman" w:eastAsia="Calibri" w:hAnsi="Times New Roman" w:cs="Times New Roman"/>
                <w:sz w:val="18"/>
                <w:szCs w:val="18"/>
              </w:rPr>
              <w:t xml:space="preserve">4,5 </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sz w:val="18"/>
                <w:szCs w:val="18"/>
              </w:rPr>
              <w:t>5,0</w:t>
            </w:r>
          </w:p>
        </w:tc>
        <w:tc>
          <w:tcPr>
            <w:tcW w:w="139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sz w:val="18"/>
                <w:szCs w:val="18"/>
              </w:rPr>
              <w:t xml:space="preserve">111%, </w:t>
            </w:r>
            <w:r>
              <w:rPr>
                <w:rFonts w:ascii="Times New Roman" w:hAnsi="Times New Roman"/>
                <w:sz w:val="18"/>
                <w:szCs w:val="18"/>
              </w:rPr>
              <w:t>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bCs/>
                <w:sz w:val="18"/>
                <w:szCs w:val="18"/>
              </w:rPr>
              <w:t>4,2</w:t>
            </w:r>
          </w:p>
        </w:tc>
        <w:tc>
          <w:tcPr>
            <w:tcW w:w="1059"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bCs/>
                <w:sz w:val="18"/>
                <w:szCs w:val="18"/>
              </w:rPr>
              <w:t>5,2</w:t>
            </w:r>
          </w:p>
        </w:tc>
      </w:tr>
      <w:tr w:rsidR="00D602D4">
        <w:trPr>
          <w:trHeight w:val="156"/>
          <w:tblHeader/>
        </w:trPr>
        <w:tc>
          <w:tcPr>
            <w:tcW w:w="1271"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rPr>
            </w:pPr>
            <w:r>
              <w:rPr>
                <w:rFonts w:ascii="Times New Roman" w:hAnsi="Times New Roman"/>
                <w:sz w:val="18"/>
                <w:szCs w:val="18"/>
              </w:rPr>
              <w:t>Чистая прибыль без обесценения и ТП</w:t>
            </w:r>
          </w:p>
        </w:tc>
        <w:tc>
          <w:tcPr>
            <w:tcW w:w="5387"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sz w:val="21"/>
                <w:szCs w:val="21"/>
              </w:rPr>
            </w:pPr>
            <w:r>
              <w:rPr>
                <w:rFonts w:ascii="Times New Roman" w:eastAsiaTheme="minorEastAsia" w:hAnsi="Times New Roman"/>
                <w:sz w:val="18"/>
                <w:szCs w:val="18"/>
              </w:rPr>
              <w:t xml:space="preserve">Прибыль/(убыток), </w:t>
            </w:r>
            <w:r>
              <w:rPr>
                <w:rFonts w:ascii="Times New Roman" w:eastAsiaTheme="minorEastAsia" w:hAnsi="Times New Roman"/>
                <w:spacing w:val="-20"/>
                <w:sz w:val="18"/>
                <w:szCs w:val="18"/>
              </w:rPr>
              <w:t>скорректированная</w:t>
            </w:r>
            <w:r>
              <w:rPr>
                <w:rFonts w:ascii="Times New Roman" w:eastAsiaTheme="minorEastAsia" w:hAnsi="Times New Roman"/>
                <w:sz w:val="18"/>
                <w:szCs w:val="18"/>
              </w:rPr>
              <w:t xml:space="preserve"> на размер обесценения / (восстановления обесценения) основных средств и выручки от оказания услуг по тех. </w:t>
            </w:r>
            <w:r>
              <w:rPr>
                <w:rFonts w:ascii="Times New Roman" w:eastAsiaTheme="minorEastAsia" w:hAnsi="Times New Roman"/>
                <w:spacing w:val="-20"/>
                <w:sz w:val="18"/>
                <w:szCs w:val="18"/>
              </w:rPr>
              <w:t>присоединению</w:t>
            </w:r>
            <w:r>
              <w:rPr>
                <w:rFonts w:ascii="Times New Roman" w:eastAsiaTheme="minorEastAsia" w:hAnsi="Times New Roman"/>
                <w:sz w:val="18"/>
                <w:szCs w:val="18"/>
              </w:rPr>
              <w:t xml:space="preserve"> (с учетом </w:t>
            </w:r>
            <w:r>
              <w:rPr>
                <w:rFonts w:ascii="Times New Roman" w:eastAsiaTheme="minorEastAsia" w:hAnsi="Times New Roman"/>
                <w:spacing w:val="-20"/>
                <w:sz w:val="18"/>
                <w:szCs w:val="18"/>
              </w:rPr>
              <w:t>соответствующего</w:t>
            </w:r>
            <w:r>
              <w:rPr>
                <w:rFonts w:ascii="Times New Roman" w:eastAsiaTheme="minorEastAsia" w:hAnsi="Times New Roman"/>
                <w:sz w:val="18"/>
                <w:szCs w:val="18"/>
              </w:rPr>
              <w:t xml:space="preserve"> налога на прибыль)</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20</w:t>
            </w:r>
          </w:p>
        </w:tc>
        <w:tc>
          <w:tcPr>
            <w:tcW w:w="42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sz w:val="18"/>
              </w:rPr>
            </w:pPr>
            <w:r>
              <w:rPr>
                <w:rFonts w:ascii="Times New Roman" w:hAnsi="Times New Roman"/>
                <w:sz w:val="18"/>
                <w:szCs w:val="18"/>
              </w:rPr>
              <w:t>тыс. руб.</w:t>
            </w:r>
          </w:p>
        </w:tc>
        <w:tc>
          <w:tcPr>
            <w:tcW w:w="1377"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szCs w:val="24"/>
              </w:rPr>
            </w:pPr>
            <w:r>
              <w:rPr>
                <w:rFonts w:ascii="Times New Roman" w:eastAsia="Calibri" w:hAnsi="Times New Roman" w:cs="Times New Roman"/>
                <w:sz w:val="18"/>
                <w:szCs w:val="18"/>
              </w:rPr>
              <w:t>- 2 426 510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sz w:val="18"/>
                <w:szCs w:val="18"/>
              </w:rPr>
              <w:t>-2 763 599</w:t>
            </w:r>
          </w:p>
        </w:tc>
        <w:tc>
          <w:tcPr>
            <w:tcW w:w="139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sz w:val="18"/>
                <w:szCs w:val="18"/>
              </w:rPr>
              <w:t xml:space="preserve">86%, </w:t>
            </w:r>
            <w:r>
              <w:rPr>
                <w:rFonts w:ascii="Times New Roman" w:hAnsi="Times New Roman"/>
                <w:sz w:val="18"/>
                <w:szCs w:val="18"/>
              </w:rPr>
              <w:t>достигнут  частично</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sz w:val="18"/>
                <w:szCs w:val="18"/>
              </w:rPr>
              <w:t>- 2 700 514</w:t>
            </w:r>
          </w:p>
        </w:tc>
        <w:tc>
          <w:tcPr>
            <w:tcW w:w="1059"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sz w:val="18"/>
                <w:szCs w:val="18"/>
              </w:rPr>
              <w:t>- 431 235</w:t>
            </w:r>
          </w:p>
        </w:tc>
      </w:tr>
    </w:tbl>
    <w:p w:rsidR="00D602D4" w:rsidRDefault="00D602D4"/>
    <w:p w:rsidR="00D602D4" w:rsidRDefault="00D602D4"/>
    <w:p w:rsidR="00D602D4" w:rsidRDefault="00D602D4"/>
    <w:p w:rsidR="00D602D4" w:rsidRDefault="00D602D4"/>
    <w:p w:rsidR="00D602D4" w:rsidRDefault="000B4C86">
      <w:pPr>
        <w:spacing w:after="0" w:line="240" w:lineRule="auto"/>
        <w:jc w:val="right"/>
      </w:pPr>
      <w:r>
        <w:rPr>
          <w:rFonts w:ascii="Times New Roman" w:eastAsia="Times New Roman" w:hAnsi="Times New Roman" w:cs="Times New Roman"/>
          <w:sz w:val="24"/>
          <w:szCs w:val="24"/>
        </w:rPr>
        <w:lastRenderedPageBreak/>
        <w:t>Таблица 5</w:t>
      </w:r>
    </w:p>
    <w:tbl>
      <w:tblPr>
        <w:tblStyle w:val="ae"/>
        <w:tblpPr w:leftFromText="180" w:rightFromText="180" w:vertAnchor="text" w:tblpXSpec="center" w:tblpY="1"/>
        <w:tblW w:w="15877" w:type="dxa"/>
        <w:tblLayout w:type="fixed"/>
        <w:tblLook w:val="06A0" w:firstRow="1" w:lastRow="0" w:firstColumn="1" w:lastColumn="0" w:noHBand="1" w:noVBand="1"/>
      </w:tblPr>
      <w:tblGrid>
        <w:gridCol w:w="1384"/>
        <w:gridCol w:w="4848"/>
        <w:gridCol w:w="1419"/>
        <w:gridCol w:w="594"/>
        <w:gridCol w:w="1276"/>
        <w:gridCol w:w="1276"/>
        <w:gridCol w:w="1390"/>
        <w:gridCol w:w="1276"/>
        <w:gridCol w:w="1276"/>
        <w:gridCol w:w="1132"/>
        <w:gridCol w:w="6"/>
      </w:tblGrid>
      <w:tr w:rsidR="00D602D4">
        <w:trPr>
          <w:gridAfter w:val="1"/>
          <w:wAfter w:w="6" w:type="dxa"/>
          <w:trHeight w:val="20"/>
          <w:tblHeader/>
        </w:trPr>
        <w:tc>
          <w:tcPr>
            <w:tcW w:w="1384"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Наименование показателя</w:t>
            </w:r>
          </w:p>
        </w:tc>
        <w:tc>
          <w:tcPr>
            <w:tcW w:w="4848"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1"/>
                <w:szCs w:val="21"/>
              </w:rPr>
            </w:pPr>
            <w:r>
              <w:rPr>
                <w:rFonts w:ascii="Times New Roman" w:hAnsi="Times New Roman"/>
                <w:b/>
                <w:sz w:val="18"/>
                <w:szCs w:val="18"/>
              </w:rPr>
              <w:t>Порядок расчета</w:t>
            </w:r>
          </w:p>
        </w:tc>
        <w:tc>
          <w:tcPr>
            <w:tcW w:w="1419"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Весовая доля КПЭ//процент депремирования на 2024 год, %</w:t>
            </w:r>
          </w:p>
        </w:tc>
        <w:tc>
          <w:tcPr>
            <w:tcW w:w="594"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Ед. изм.</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Целевое//пороговое значение на 2024 год</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Достигнутое значение за 2024 год</w:t>
            </w:r>
            <w:r>
              <w:rPr>
                <w:rStyle w:val="af1"/>
                <w:sz w:val="18"/>
                <w:szCs w:val="18"/>
              </w:rPr>
              <w:footnoteReference w:id="6"/>
            </w:r>
          </w:p>
        </w:tc>
        <w:tc>
          <w:tcPr>
            <w:tcW w:w="1390"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Оценка достижения в 2024 году (%, достигнут/не достигнут)</w:t>
            </w:r>
            <w:r>
              <w:rPr>
                <w:rStyle w:val="af1"/>
                <w:rFonts w:ascii="Times New Roman" w:hAnsi="Times New Roman"/>
                <w:b/>
                <w:sz w:val="18"/>
                <w:szCs w:val="18"/>
              </w:rPr>
              <w:footnoteReference w:id="7"/>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Причины недостижения</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Целевое значение на 2025 год</w:t>
            </w:r>
            <w:r>
              <w:rPr>
                <w:rStyle w:val="af1"/>
                <w:rFonts w:ascii="Times New Roman" w:hAnsi="Times New Roman"/>
                <w:b/>
                <w:sz w:val="18"/>
                <w:szCs w:val="18"/>
              </w:rPr>
              <w:footnoteReference w:id="8"/>
            </w:r>
          </w:p>
        </w:tc>
        <w:tc>
          <w:tcPr>
            <w:tcW w:w="1132"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Целевое значение на 2026 год</w:t>
            </w:r>
          </w:p>
        </w:tc>
      </w:tr>
      <w:tr w:rsidR="00D602D4">
        <w:trPr>
          <w:trHeight w:val="20"/>
          <w:tblHeader/>
        </w:trPr>
        <w:tc>
          <w:tcPr>
            <w:tcW w:w="15877" w:type="dxa"/>
            <w:gridSpan w:val="11"/>
            <w:tcBorders>
              <w:top w:val="single" w:sz="4" w:space="0" w:color="000000"/>
              <w:left w:val="single" w:sz="4" w:space="0" w:color="000000"/>
              <w:bottom w:val="single" w:sz="4" w:space="0" w:color="000000"/>
              <w:right w:val="single" w:sz="4" w:space="0" w:color="000000"/>
            </w:tcBorders>
            <w:vAlign w:val="center"/>
          </w:tcPr>
          <w:p w:rsidR="00D602D4" w:rsidRDefault="000B4C86">
            <w:pPr>
              <w:spacing w:before="60" w:after="60"/>
              <w:ind w:left="-85" w:right="-85"/>
              <w:jc w:val="center"/>
              <w:rPr>
                <w:rFonts w:ascii="Times New Roman" w:hAnsi="Times New Roman"/>
                <w:b/>
                <w:color w:val="0070C0"/>
                <w:sz w:val="21"/>
                <w:szCs w:val="21"/>
              </w:rPr>
            </w:pPr>
            <w:r>
              <w:rPr>
                <w:rFonts w:ascii="Times New Roman" w:hAnsi="Times New Roman"/>
                <w:b/>
                <w:color w:val="0070C0"/>
                <w:sz w:val="18"/>
                <w:szCs w:val="18"/>
              </w:rPr>
              <w:t>СПЕЦИАЛИЗИРОВАННЫЕ ОТРАСЛЕВЫЕ КЛЮЧЕВЫЕ ПОКАЗАТЕЛИ ЭФФЕКТИВНОСТИ</w:t>
            </w:r>
          </w:p>
        </w:tc>
      </w:tr>
      <w:tr w:rsidR="00D602D4">
        <w:trPr>
          <w:gridAfter w:val="1"/>
          <w:wAfter w:w="6" w:type="dxa"/>
          <w:trHeight w:val="20"/>
          <w:tblHeader/>
        </w:trPr>
        <w:tc>
          <w:tcPr>
            <w:tcW w:w="138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rPr>
            </w:pPr>
            <w:r>
              <w:rPr>
                <w:rFonts w:ascii="Times New Roman" w:hAnsi="Times New Roman"/>
                <w:sz w:val="18"/>
                <w:szCs w:val="18"/>
              </w:rPr>
              <w:t>Уровень потерь электроэнергии</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sz w:val="21"/>
                <w:szCs w:val="21"/>
              </w:rPr>
            </w:pPr>
            <w:r>
              <w:rPr>
                <w:rFonts w:ascii="Times New Roman" w:hAnsi="Times New Roman"/>
                <w:sz w:val="18"/>
                <w:szCs w:val="18"/>
              </w:rPr>
              <w:t>Отношение объема потерь эл/энергии в сетях Общества (рассчитывается как разница отпуска эл/энергии в сеть и отпущенной эл/энергии из сети и расхода на хозяйственные нужды), увеличенного на величину разногласий за предшествующие периоды, урегулированную не в пользу Общества, к отпуску эл/энергии в сеть за отчетный период</w:t>
            </w:r>
          </w:p>
        </w:tc>
        <w:tc>
          <w:tcPr>
            <w:tcW w:w="1419"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15</w:t>
            </w:r>
          </w:p>
        </w:tc>
        <w:tc>
          <w:tcPr>
            <w:tcW w:w="59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rPr>
            </w:pPr>
            <w:r>
              <w:rPr>
                <w:rFonts w:ascii="Times New Roman" w:eastAsia="Calibri" w:hAnsi="Times New Roman" w:cs="Times New Roman"/>
                <w:sz w:val="18"/>
                <w:szCs w:val="18"/>
              </w:rPr>
              <w:t>7,66</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rPr>
            </w:pPr>
            <w:r>
              <w:rPr>
                <w:rFonts w:ascii="Times New Roman" w:eastAsia="Calibri" w:hAnsi="Times New Roman" w:cs="Times New Roman"/>
                <w:sz w:val="18"/>
                <w:szCs w:val="18"/>
              </w:rPr>
              <w:t>7,65</w:t>
            </w:r>
          </w:p>
        </w:tc>
        <w:tc>
          <w:tcPr>
            <w:tcW w:w="139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rPr>
            </w:pPr>
            <w:r>
              <w:rPr>
                <w:rFonts w:ascii="Times New Roman" w:eastAsia="Calibri" w:hAnsi="Times New Roman" w:cs="Times New Roman"/>
                <w:sz w:val="18"/>
                <w:szCs w:val="18"/>
              </w:rPr>
              <w:t xml:space="preserve">100%, </w:t>
            </w:r>
            <w:r>
              <w:rPr>
                <w:rFonts w:ascii="Times New Roman" w:hAnsi="Times New Roman"/>
                <w:sz w:val="18"/>
                <w:szCs w:val="18"/>
              </w:rPr>
              <w:t>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sz w:val="18"/>
                <w:szCs w:val="18"/>
              </w:rPr>
              <w:t>8,15</w:t>
            </w:r>
          </w:p>
        </w:tc>
        <w:tc>
          <w:tcPr>
            <w:tcW w:w="1132"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hAnsi="Times New Roman" w:cs="Times New Roman"/>
                <w:sz w:val="18"/>
                <w:szCs w:val="18"/>
              </w:rPr>
              <w:t>8,13</w:t>
            </w:r>
          </w:p>
        </w:tc>
      </w:tr>
      <w:tr w:rsidR="00D602D4">
        <w:trPr>
          <w:gridAfter w:val="1"/>
          <w:wAfter w:w="6" w:type="dxa"/>
          <w:trHeight w:val="20"/>
          <w:tblHeader/>
        </w:trPr>
        <w:tc>
          <w:tcPr>
            <w:tcW w:w="138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rPr>
                <w:rFonts w:ascii="Times New Roman" w:hAnsi="Times New Roman"/>
              </w:rPr>
            </w:pPr>
            <w:r>
              <w:rPr>
                <w:rFonts w:ascii="Times New Roman" w:hAnsi="Times New Roman"/>
                <w:sz w:val="18"/>
                <w:szCs w:val="18"/>
              </w:rPr>
              <w:t xml:space="preserve">Готовность к работе в </w:t>
            </w:r>
            <w:r>
              <w:rPr>
                <w:rFonts w:ascii="Times New Roman" w:hAnsi="Times New Roman"/>
                <w:spacing w:val="-20"/>
                <w:sz w:val="18"/>
                <w:szCs w:val="18"/>
              </w:rPr>
              <w:t>отопительный</w:t>
            </w:r>
            <w:r>
              <w:rPr>
                <w:rFonts w:ascii="Times New Roman" w:hAnsi="Times New Roman"/>
                <w:sz w:val="18"/>
                <w:szCs w:val="18"/>
              </w:rPr>
              <w:t xml:space="preserve"> сезон</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sz w:val="21"/>
                <w:szCs w:val="21"/>
              </w:rPr>
            </w:pPr>
            <w:r>
              <w:rPr>
                <w:rFonts w:ascii="Times New Roman" w:hAnsi="Times New Roman"/>
                <w:sz w:val="18"/>
                <w:szCs w:val="18"/>
              </w:rPr>
              <w:t>Показатель, оценивающий готовность Общества к работе в отопительный сезон на основании ежемесячного мониторинга, проводимого Минэнерго России</w:t>
            </w:r>
          </w:p>
        </w:tc>
        <w:tc>
          <w:tcPr>
            <w:tcW w:w="1419"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20</w:t>
            </w:r>
          </w:p>
        </w:tc>
        <w:tc>
          <w:tcPr>
            <w:tcW w:w="59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шт.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rPr>
            </w:pPr>
            <w:r>
              <w:rPr>
                <w:rFonts w:ascii="Times New Roman" w:eastAsia="Calibri" w:hAnsi="Times New Roman" w:cs="Times New Roman"/>
                <w:sz w:val="18"/>
                <w:szCs w:val="18"/>
              </w:rPr>
              <w:t>1</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rPr>
            </w:pPr>
            <w:r>
              <w:rPr>
                <w:rFonts w:ascii="Times New Roman" w:eastAsia="Calibri" w:hAnsi="Times New Roman" w:cs="Times New Roman"/>
                <w:sz w:val="18"/>
                <w:szCs w:val="18"/>
              </w:rPr>
              <w:t>1</w:t>
            </w:r>
          </w:p>
        </w:tc>
        <w:tc>
          <w:tcPr>
            <w:tcW w:w="139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rPr>
            </w:pPr>
            <w:r>
              <w:rPr>
                <w:rFonts w:ascii="Times New Roman" w:eastAsia="Calibri" w:hAnsi="Times New Roman" w:cs="Times New Roman"/>
                <w:sz w:val="18"/>
                <w:szCs w:val="18"/>
              </w:rPr>
              <w:t xml:space="preserve">100%, </w:t>
            </w:r>
            <w:r>
              <w:rPr>
                <w:rFonts w:ascii="Times New Roman" w:hAnsi="Times New Roman"/>
                <w:sz w:val="18"/>
                <w:szCs w:val="18"/>
              </w:rPr>
              <w:t>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eastAsia="Calibri" w:hAnsi="Times New Roman" w:cs="Times New Roman"/>
                <w:sz w:val="18"/>
                <w:szCs w:val="18"/>
              </w:rPr>
              <w:t>1</w:t>
            </w:r>
          </w:p>
        </w:tc>
        <w:tc>
          <w:tcPr>
            <w:tcW w:w="1132"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eastAsia="Calibri" w:hAnsi="Times New Roman" w:cs="Times New Roman"/>
                <w:sz w:val="18"/>
                <w:szCs w:val="18"/>
              </w:rPr>
              <w:t>1</w:t>
            </w:r>
          </w:p>
        </w:tc>
      </w:tr>
      <w:tr w:rsidR="00D602D4">
        <w:trPr>
          <w:gridAfter w:val="1"/>
          <w:wAfter w:w="6" w:type="dxa"/>
          <w:trHeight w:val="20"/>
          <w:tblHeader/>
        </w:trPr>
        <w:tc>
          <w:tcPr>
            <w:tcW w:w="138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rPr>
                <w:rFonts w:ascii="Times New Roman" w:hAnsi="Times New Roman"/>
              </w:rPr>
            </w:pPr>
            <w:r>
              <w:rPr>
                <w:rFonts w:ascii="Times New Roman" w:hAnsi="Times New Roman"/>
                <w:sz w:val="18"/>
                <w:szCs w:val="18"/>
              </w:rPr>
              <w:t xml:space="preserve">Выполнение графика </w:t>
            </w:r>
            <w:r>
              <w:rPr>
                <w:rFonts w:ascii="Times New Roman" w:hAnsi="Times New Roman"/>
                <w:spacing w:val="-20"/>
                <w:sz w:val="18"/>
                <w:szCs w:val="18"/>
              </w:rPr>
              <w:t>ввода</w:t>
            </w:r>
            <w:r>
              <w:rPr>
                <w:rFonts w:ascii="Times New Roman" w:hAnsi="Times New Roman"/>
                <w:sz w:val="18"/>
                <w:szCs w:val="18"/>
              </w:rPr>
              <w:t xml:space="preserve"> объектов в эксплуатацию</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sz w:val="21"/>
                <w:szCs w:val="21"/>
              </w:rPr>
            </w:pPr>
            <w:r>
              <w:rPr>
                <w:rFonts w:ascii="Times New Roman" w:hAnsi="Times New Roman"/>
                <w:sz w:val="18"/>
                <w:szCs w:val="18"/>
              </w:rPr>
              <w:t>Отношение суммарного фактического объема вводов основных средств в эксплуатацию в отчетном году, определяемый на основании отчета об исполнении инвест. программы Общества (в денежном выражении, на основании даты подписания Акта приемки законченного строительством объекта приемочной комиссией) к плановому в соответствии с утвержденной инвест. программой и графиком реализации</w:t>
            </w:r>
          </w:p>
        </w:tc>
        <w:tc>
          <w:tcPr>
            <w:tcW w:w="1419"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15</w:t>
            </w:r>
          </w:p>
        </w:tc>
        <w:tc>
          <w:tcPr>
            <w:tcW w:w="59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rPr>
            </w:pPr>
            <w:r>
              <w:rPr>
                <w:rFonts w:ascii="Times New Roman" w:eastAsia="Calibri" w:hAnsi="Times New Roman" w:cs="Times New Roman"/>
                <w:sz w:val="18"/>
                <w:szCs w:val="18"/>
              </w:rPr>
              <w:t>93,5</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rPr>
            </w:pPr>
            <w:r>
              <w:rPr>
                <w:rFonts w:ascii="Times New Roman" w:eastAsia="Calibri" w:hAnsi="Times New Roman" w:cs="Times New Roman"/>
                <w:sz w:val="18"/>
                <w:szCs w:val="18"/>
              </w:rPr>
              <w:t>104,1</w:t>
            </w:r>
          </w:p>
        </w:tc>
        <w:tc>
          <w:tcPr>
            <w:tcW w:w="139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rPr>
            </w:pPr>
            <w:r>
              <w:rPr>
                <w:rFonts w:ascii="Times New Roman" w:eastAsia="Calibri" w:hAnsi="Times New Roman" w:cs="Times New Roman"/>
                <w:sz w:val="18"/>
                <w:szCs w:val="18"/>
              </w:rPr>
              <w:t xml:space="preserve">111%, </w:t>
            </w:r>
            <w:r>
              <w:rPr>
                <w:rFonts w:ascii="Times New Roman" w:hAnsi="Times New Roman"/>
                <w:sz w:val="18"/>
                <w:szCs w:val="18"/>
              </w:rPr>
              <w:t>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eastAsia="Calibri" w:hAnsi="Times New Roman" w:cs="Times New Roman"/>
                <w:sz w:val="18"/>
                <w:szCs w:val="18"/>
              </w:rPr>
              <w:t>95,0</w:t>
            </w:r>
          </w:p>
        </w:tc>
        <w:tc>
          <w:tcPr>
            <w:tcW w:w="1132"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Cs w:val="24"/>
              </w:rPr>
            </w:pPr>
            <w:r>
              <w:rPr>
                <w:rFonts w:ascii="Times New Roman" w:eastAsia="Calibri" w:hAnsi="Times New Roman" w:cs="Times New Roman"/>
                <w:sz w:val="18"/>
                <w:szCs w:val="18"/>
              </w:rPr>
              <w:t>95,0</w:t>
            </w:r>
          </w:p>
        </w:tc>
      </w:tr>
    </w:tbl>
    <w:p w:rsidR="00D602D4" w:rsidRDefault="00D602D4"/>
    <w:p w:rsidR="00D602D4" w:rsidRDefault="00D602D4"/>
    <w:p w:rsidR="00D602D4" w:rsidRDefault="00D602D4"/>
    <w:p w:rsidR="00D602D4" w:rsidRDefault="00D602D4"/>
    <w:p w:rsidR="00D602D4" w:rsidRDefault="000B4C86">
      <w:pPr>
        <w:spacing w:after="0" w:line="240" w:lineRule="auto"/>
        <w:jc w:val="right"/>
      </w:pPr>
      <w:r>
        <w:rPr>
          <w:rFonts w:ascii="Times New Roman" w:eastAsia="Times New Roman" w:hAnsi="Times New Roman" w:cs="Times New Roman"/>
          <w:sz w:val="24"/>
          <w:szCs w:val="24"/>
        </w:rPr>
        <w:lastRenderedPageBreak/>
        <w:t>Таблица 6</w:t>
      </w:r>
    </w:p>
    <w:tbl>
      <w:tblPr>
        <w:tblStyle w:val="ae"/>
        <w:tblpPr w:leftFromText="180" w:rightFromText="180" w:vertAnchor="text" w:tblpXSpec="center" w:tblpY="1"/>
        <w:tblW w:w="15871" w:type="dxa"/>
        <w:tblLayout w:type="fixed"/>
        <w:tblLook w:val="06A0" w:firstRow="1" w:lastRow="0" w:firstColumn="1" w:lastColumn="0" w:noHBand="1" w:noVBand="1"/>
      </w:tblPr>
      <w:tblGrid>
        <w:gridCol w:w="1384"/>
        <w:gridCol w:w="4848"/>
        <w:gridCol w:w="1419"/>
        <w:gridCol w:w="594"/>
        <w:gridCol w:w="1276"/>
        <w:gridCol w:w="1276"/>
        <w:gridCol w:w="1390"/>
        <w:gridCol w:w="1276"/>
        <w:gridCol w:w="1276"/>
        <w:gridCol w:w="1132"/>
      </w:tblGrid>
      <w:tr w:rsidR="00D602D4">
        <w:trPr>
          <w:trHeight w:val="20"/>
          <w:tblHeader/>
        </w:trPr>
        <w:tc>
          <w:tcPr>
            <w:tcW w:w="1384"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57" w:right="-57"/>
              <w:contextualSpacing/>
              <w:jc w:val="center"/>
              <w:rPr>
                <w:rFonts w:ascii="Times New Roman" w:hAnsi="Times New Roman"/>
                <w:b/>
                <w:sz w:val="20"/>
                <w:szCs w:val="20"/>
              </w:rPr>
            </w:pPr>
            <w:r>
              <w:rPr>
                <w:rFonts w:ascii="Times New Roman" w:hAnsi="Times New Roman"/>
                <w:b/>
                <w:sz w:val="18"/>
                <w:szCs w:val="18"/>
              </w:rPr>
              <w:t>Наименование показателя</w:t>
            </w:r>
          </w:p>
        </w:tc>
        <w:tc>
          <w:tcPr>
            <w:tcW w:w="4848"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57" w:right="-57"/>
              <w:contextualSpacing/>
              <w:jc w:val="center"/>
              <w:rPr>
                <w:rFonts w:ascii="Times New Roman" w:hAnsi="Times New Roman"/>
                <w:b/>
                <w:sz w:val="21"/>
                <w:szCs w:val="21"/>
              </w:rPr>
            </w:pPr>
            <w:r>
              <w:rPr>
                <w:rFonts w:ascii="Times New Roman" w:hAnsi="Times New Roman"/>
                <w:b/>
                <w:sz w:val="18"/>
                <w:szCs w:val="18"/>
              </w:rPr>
              <w:t>Порядок расчета</w:t>
            </w:r>
          </w:p>
        </w:tc>
        <w:tc>
          <w:tcPr>
            <w:tcW w:w="1419"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57" w:right="-57"/>
              <w:contextualSpacing/>
              <w:jc w:val="center"/>
              <w:rPr>
                <w:rFonts w:ascii="Times New Roman" w:hAnsi="Times New Roman"/>
                <w:b/>
                <w:sz w:val="20"/>
                <w:szCs w:val="20"/>
              </w:rPr>
            </w:pPr>
            <w:r>
              <w:rPr>
                <w:rFonts w:ascii="Times New Roman" w:hAnsi="Times New Roman"/>
                <w:b/>
                <w:sz w:val="18"/>
                <w:szCs w:val="18"/>
              </w:rPr>
              <w:t>Весовая доля КПЭ//процент депремирования на 2024 год, %</w:t>
            </w:r>
          </w:p>
        </w:tc>
        <w:tc>
          <w:tcPr>
            <w:tcW w:w="594"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57" w:right="-57"/>
              <w:contextualSpacing/>
              <w:jc w:val="center"/>
              <w:rPr>
                <w:rFonts w:ascii="Times New Roman" w:hAnsi="Times New Roman"/>
                <w:b/>
                <w:sz w:val="20"/>
                <w:szCs w:val="20"/>
              </w:rPr>
            </w:pPr>
            <w:r>
              <w:rPr>
                <w:rFonts w:ascii="Times New Roman" w:hAnsi="Times New Roman"/>
                <w:b/>
                <w:sz w:val="18"/>
                <w:szCs w:val="18"/>
              </w:rPr>
              <w:t>Ед. изм.</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57" w:right="-57"/>
              <w:contextualSpacing/>
              <w:jc w:val="center"/>
              <w:rPr>
                <w:rFonts w:ascii="Times New Roman" w:hAnsi="Times New Roman"/>
                <w:b/>
                <w:sz w:val="20"/>
                <w:szCs w:val="20"/>
              </w:rPr>
            </w:pPr>
            <w:r>
              <w:rPr>
                <w:rFonts w:ascii="Times New Roman" w:hAnsi="Times New Roman"/>
                <w:b/>
                <w:sz w:val="18"/>
                <w:szCs w:val="18"/>
              </w:rPr>
              <w:t>Целевое//пороговое значение на 2024 год</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57" w:right="-57"/>
              <w:contextualSpacing/>
              <w:jc w:val="center"/>
              <w:rPr>
                <w:rFonts w:ascii="Times New Roman" w:hAnsi="Times New Roman"/>
                <w:b/>
                <w:sz w:val="20"/>
                <w:szCs w:val="20"/>
              </w:rPr>
            </w:pPr>
            <w:r>
              <w:rPr>
                <w:rFonts w:ascii="Times New Roman" w:hAnsi="Times New Roman"/>
                <w:b/>
                <w:sz w:val="18"/>
                <w:szCs w:val="18"/>
              </w:rPr>
              <w:t>Достигнутое значение за 2024 год</w:t>
            </w:r>
            <w:r>
              <w:rPr>
                <w:rStyle w:val="af1"/>
                <w:sz w:val="18"/>
                <w:szCs w:val="18"/>
              </w:rPr>
              <w:footnoteReference w:id="9"/>
            </w:r>
          </w:p>
        </w:tc>
        <w:tc>
          <w:tcPr>
            <w:tcW w:w="1390"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57" w:right="-57"/>
              <w:contextualSpacing/>
              <w:jc w:val="center"/>
              <w:rPr>
                <w:rFonts w:ascii="Times New Roman" w:hAnsi="Times New Roman"/>
                <w:b/>
                <w:sz w:val="20"/>
                <w:szCs w:val="20"/>
              </w:rPr>
            </w:pPr>
            <w:r>
              <w:rPr>
                <w:rFonts w:ascii="Times New Roman" w:hAnsi="Times New Roman"/>
                <w:b/>
                <w:sz w:val="18"/>
                <w:szCs w:val="18"/>
              </w:rPr>
              <w:t>Оценка достижения в 2024 году (достигнут/не достигнут)</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57" w:right="-57"/>
              <w:contextualSpacing/>
              <w:jc w:val="center"/>
              <w:rPr>
                <w:rFonts w:ascii="Times New Roman" w:hAnsi="Times New Roman"/>
                <w:b/>
                <w:sz w:val="20"/>
                <w:szCs w:val="20"/>
              </w:rPr>
            </w:pPr>
            <w:r>
              <w:rPr>
                <w:rFonts w:ascii="Times New Roman" w:hAnsi="Times New Roman"/>
                <w:b/>
                <w:sz w:val="18"/>
                <w:szCs w:val="18"/>
              </w:rPr>
              <w:t>Причины недостижения</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57" w:right="-57"/>
              <w:contextualSpacing/>
              <w:jc w:val="center"/>
              <w:rPr>
                <w:rFonts w:ascii="Times New Roman" w:hAnsi="Times New Roman"/>
                <w:b/>
                <w:sz w:val="20"/>
                <w:szCs w:val="20"/>
              </w:rPr>
            </w:pPr>
            <w:r>
              <w:rPr>
                <w:rFonts w:ascii="Times New Roman" w:hAnsi="Times New Roman"/>
                <w:b/>
                <w:sz w:val="18"/>
                <w:szCs w:val="18"/>
              </w:rPr>
              <w:t>Целевое значение на 2025 год</w:t>
            </w:r>
            <w:r>
              <w:rPr>
                <w:rStyle w:val="af1"/>
                <w:rFonts w:ascii="Times New Roman" w:hAnsi="Times New Roman"/>
                <w:b/>
                <w:sz w:val="18"/>
                <w:szCs w:val="18"/>
              </w:rPr>
              <w:footnoteReference w:id="10"/>
            </w:r>
          </w:p>
        </w:tc>
        <w:tc>
          <w:tcPr>
            <w:tcW w:w="1132"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57" w:right="-57"/>
              <w:contextualSpacing/>
              <w:jc w:val="center"/>
              <w:rPr>
                <w:rFonts w:ascii="Times New Roman" w:hAnsi="Times New Roman"/>
                <w:b/>
                <w:sz w:val="20"/>
                <w:szCs w:val="20"/>
              </w:rPr>
            </w:pPr>
            <w:r>
              <w:rPr>
                <w:rFonts w:ascii="Times New Roman" w:hAnsi="Times New Roman"/>
                <w:b/>
                <w:sz w:val="18"/>
                <w:szCs w:val="18"/>
              </w:rPr>
              <w:t>Целевое значение на 2026 год</w:t>
            </w:r>
          </w:p>
        </w:tc>
      </w:tr>
      <w:tr w:rsidR="00D602D4">
        <w:trPr>
          <w:trHeight w:val="20"/>
          <w:tblHeader/>
        </w:trPr>
        <w:tc>
          <w:tcPr>
            <w:tcW w:w="15871" w:type="dxa"/>
            <w:gridSpan w:val="10"/>
            <w:tcBorders>
              <w:top w:val="single" w:sz="4" w:space="0" w:color="000000"/>
              <w:left w:val="single" w:sz="4" w:space="0" w:color="000000"/>
              <w:bottom w:val="single" w:sz="4" w:space="0" w:color="000000"/>
              <w:right w:val="single" w:sz="4" w:space="0" w:color="000000"/>
            </w:tcBorders>
            <w:vAlign w:val="center"/>
          </w:tcPr>
          <w:p w:rsidR="00D602D4" w:rsidRDefault="000B4C86">
            <w:pPr>
              <w:spacing w:before="60" w:after="60"/>
              <w:ind w:left="-57" w:right="-57"/>
              <w:jc w:val="center"/>
              <w:rPr>
                <w:rFonts w:ascii="Times New Roman" w:hAnsi="Times New Roman"/>
                <w:b/>
                <w:color w:val="0070C0"/>
                <w:sz w:val="21"/>
                <w:szCs w:val="21"/>
              </w:rPr>
            </w:pPr>
            <w:r>
              <w:rPr>
                <w:rFonts w:ascii="Times New Roman" w:hAnsi="Times New Roman"/>
                <w:b/>
                <w:color w:val="0070C0"/>
                <w:sz w:val="18"/>
                <w:szCs w:val="18"/>
              </w:rPr>
              <w:t>ПОКАЗАТЕЛИ ДЕПРЕМИРОВАНИЯ</w:t>
            </w:r>
          </w:p>
        </w:tc>
      </w:tr>
      <w:tr w:rsidR="00D602D4">
        <w:trPr>
          <w:trHeight w:val="20"/>
          <w:tblHeader/>
        </w:trPr>
        <w:tc>
          <w:tcPr>
            <w:tcW w:w="1384"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rPr>
                <w:rFonts w:ascii="Times New Roman" w:eastAsiaTheme="minorEastAsia" w:hAnsi="Times New Roman"/>
                <w:spacing w:val="-20"/>
                <w:sz w:val="21"/>
                <w:szCs w:val="21"/>
              </w:rPr>
            </w:pPr>
            <w:r>
              <w:rPr>
                <w:rFonts w:ascii="Times New Roman" w:eastAsiaTheme="minorEastAsia" w:hAnsi="Times New Roman"/>
                <w:bCs/>
                <w:sz w:val="18"/>
                <w:szCs w:val="18"/>
              </w:rPr>
              <w:t xml:space="preserve">Предельный </w:t>
            </w:r>
            <w:r>
              <w:rPr>
                <w:rFonts w:ascii="Times New Roman" w:hAnsi="Times New Roman"/>
                <w:spacing w:val="-20"/>
                <w:sz w:val="18"/>
                <w:szCs w:val="18"/>
              </w:rPr>
              <w:t>объем разногласий по объему потерь на конец отчетного</w:t>
            </w:r>
            <w:r>
              <w:rPr>
                <w:rFonts w:ascii="Times New Roman" w:eastAsiaTheme="minorEastAsia" w:hAnsi="Times New Roman"/>
                <w:bCs/>
                <w:sz w:val="18"/>
                <w:szCs w:val="18"/>
              </w:rPr>
              <w:t xml:space="preserve"> периода (года)</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eastAsiaTheme="minorEastAsia" w:hAnsi="Times New Roman"/>
                <w:bCs/>
                <w:szCs w:val="21"/>
              </w:rPr>
            </w:pPr>
            <w:r>
              <w:rPr>
                <w:rFonts w:ascii="Times New Roman" w:eastAsiaTheme="minorEastAsia" w:hAnsi="Times New Roman"/>
                <w:bCs/>
                <w:sz w:val="18"/>
                <w:szCs w:val="18"/>
              </w:rPr>
              <w:t>Показатель депремирования, размер которого определяется расчетным путем как доля разногласий на конец отчетного периода (не урегулированных по состоянию на конец второго месяца года, следующего за отчетным), не охваченных исковой работой, к объему потерь эл/энергии в сетях Общества</w:t>
            </w:r>
          </w:p>
        </w:tc>
        <w:tc>
          <w:tcPr>
            <w:tcW w:w="1419"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center"/>
              <w:rPr>
                <w:rFonts w:ascii="Times New Roman" w:hAnsi="Times New Roman"/>
              </w:rPr>
            </w:pPr>
            <w:r>
              <w:rPr>
                <w:rFonts w:ascii="Times New Roman" w:hAnsi="Times New Roman"/>
                <w:sz w:val="18"/>
                <w:szCs w:val="18"/>
              </w:rPr>
              <w:t>-10</w:t>
            </w:r>
          </w:p>
        </w:tc>
        <w:tc>
          <w:tcPr>
            <w:tcW w:w="594"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center"/>
              <w:rPr>
                <w:rFonts w:ascii="Times New Roman" w:hAnsi="Times New Roman"/>
              </w:rPr>
            </w:pPr>
            <w:r>
              <w:rPr>
                <w:rFonts w:ascii="Times New Roman" w:hAnsi="Times New Roman"/>
                <w:sz w:val="18"/>
                <w:szCs w:val="18"/>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3,50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1</w:t>
            </w:r>
          </w:p>
        </w:tc>
        <w:tc>
          <w:tcPr>
            <w:tcW w:w="1390" w:type="dxa"/>
            <w:tcBorders>
              <w:top w:val="single" w:sz="4" w:space="0" w:color="000000"/>
              <w:left w:val="single" w:sz="4" w:space="0" w:color="000000"/>
              <w:bottom w:val="single" w:sz="4" w:space="0" w:color="000000"/>
              <w:right w:val="single" w:sz="4" w:space="0" w:color="000000"/>
            </w:tcBorders>
          </w:tcPr>
          <w:p w:rsidR="00D602D4" w:rsidRDefault="00D602D4">
            <w:pPr>
              <w:ind w:left="-57" w:right="-57"/>
              <w:jc w:val="center"/>
              <w:rPr>
                <w:rFonts w:ascii="Times New Roman" w:eastAsia="Calibri" w:hAnsi="Times New Roman" w:cs="Times New Roman"/>
                <w:szCs w:val="24"/>
              </w:rPr>
            </w:pPr>
          </w:p>
          <w:p w:rsidR="00D602D4" w:rsidRDefault="000B4C86">
            <w:pPr>
              <w:ind w:left="-57" w:right="-57"/>
              <w:jc w:val="center"/>
              <w:rPr>
                <w:rFonts w:ascii="Times New Roman" w:eastAsia="Calibri" w:hAnsi="Times New Roman" w:cs="Times New Roman"/>
                <w:szCs w:val="24"/>
              </w:rPr>
            </w:pPr>
            <w:r>
              <w:rPr>
                <w:rFonts w:ascii="Times New Roman" w:hAnsi="Times New Roman"/>
                <w:sz w:val="18"/>
                <w:szCs w:val="18"/>
              </w:rPr>
              <w:t>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center"/>
              <w:rPr>
                <w:rFonts w:ascii="Times New Roman" w:hAnsi="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3,50</w:t>
            </w:r>
          </w:p>
        </w:tc>
        <w:tc>
          <w:tcPr>
            <w:tcW w:w="1132"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3,50</w:t>
            </w:r>
          </w:p>
        </w:tc>
      </w:tr>
      <w:tr w:rsidR="00D602D4">
        <w:trPr>
          <w:trHeight w:val="20"/>
          <w:tblHeader/>
        </w:trPr>
        <w:tc>
          <w:tcPr>
            <w:tcW w:w="1384"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rPr>
            </w:pPr>
            <w:r>
              <w:rPr>
                <w:rFonts w:ascii="Times New Roman" w:eastAsia="Times New Roman" w:hAnsi="Times New Roman" w:cs="Times New Roman"/>
                <w:bCs/>
                <w:sz w:val="18"/>
                <w:szCs w:val="18"/>
              </w:rPr>
              <w:t>Нарушение порядка совершения сделок</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eastAsiaTheme="minorEastAsia" w:hAnsi="Times New Roman"/>
                <w:bCs/>
                <w:szCs w:val="21"/>
              </w:rPr>
            </w:pPr>
            <w:r>
              <w:rPr>
                <w:rFonts w:ascii="Times New Roman" w:eastAsiaTheme="minorEastAsia" w:hAnsi="Times New Roman"/>
                <w:bCs/>
                <w:sz w:val="18"/>
                <w:szCs w:val="18"/>
              </w:rPr>
              <w:t>Показатель депремирования , оценивающий отсутствие нарушений в совершении крупных сделок, сделок, в совершении которых имеется заинтересованность, а также сделок, получение согласования на совершение которых предусмотрено Уставом Общества</w:t>
            </w:r>
          </w:p>
        </w:tc>
        <w:tc>
          <w:tcPr>
            <w:tcW w:w="1419"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center"/>
              <w:rPr>
                <w:rFonts w:ascii="Times New Roman" w:hAnsi="Times New Roman"/>
              </w:rPr>
            </w:pPr>
            <w:r>
              <w:rPr>
                <w:rFonts w:ascii="Times New Roman" w:hAnsi="Times New Roman"/>
                <w:sz w:val="18"/>
                <w:szCs w:val="18"/>
              </w:rPr>
              <w:t>-10</w:t>
            </w:r>
          </w:p>
        </w:tc>
        <w:tc>
          <w:tcPr>
            <w:tcW w:w="594"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center"/>
              <w:rPr>
                <w:rFonts w:ascii="Times New Roman" w:hAnsi="Times New Roman"/>
              </w:rPr>
            </w:pPr>
            <w:r>
              <w:rPr>
                <w:rFonts w:ascii="Times New Roman" w:hAnsi="Times New Roman"/>
                <w:sz w:val="18"/>
                <w:szCs w:val="18"/>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0</w:t>
            </w:r>
          </w:p>
        </w:tc>
        <w:tc>
          <w:tcPr>
            <w:tcW w:w="1390" w:type="dxa"/>
            <w:tcBorders>
              <w:top w:val="single" w:sz="4" w:space="0" w:color="000000"/>
              <w:left w:val="single" w:sz="4" w:space="0" w:color="000000"/>
              <w:bottom w:val="single" w:sz="4" w:space="0" w:color="000000"/>
              <w:right w:val="single" w:sz="4" w:space="0" w:color="000000"/>
            </w:tcBorders>
          </w:tcPr>
          <w:p w:rsidR="00D602D4" w:rsidRDefault="00D602D4">
            <w:pPr>
              <w:ind w:left="-57" w:right="-57"/>
              <w:jc w:val="center"/>
              <w:rPr>
                <w:rFonts w:ascii="Times New Roman" w:eastAsia="Calibri" w:hAnsi="Times New Roman" w:cs="Times New Roman"/>
                <w:szCs w:val="24"/>
              </w:rPr>
            </w:pPr>
          </w:p>
          <w:p w:rsidR="00D602D4" w:rsidRDefault="000B4C86">
            <w:pPr>
              <w:ind w:left="-57" w:right="-57"/>
              <w:jc w:val="center"/>
              <w:rPr>
                <w:rFonts w:ascii="Times New Roman" w:eastAsia="Calibri" w:hAnsi="Times New Roman" w:cs="Times New Roman"/>
                <w:szCs w:val="24"/>
              </w:rPr>
            </w:pPr>
            <w:r>
              <w:rPr>
                <w:rFonts w:ascii="Times New Roman" w:hAnsi="Times New Roman"/>
                <w:sz w:val="18"/>
                <w:szCs w:val="18"/>
              </w:rPr>
              <w:t>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center"/>
              <w:rPr>
                <w:rFonts w:ascii="Times New Roman" w:hAnsi="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0</w:t>
            </w:r>
          </w:p>
        </w:tc>
        <w:tc>
          <w:tcPr>
            <w:tcW w:w="1132"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0</w:t>
            </w:r>
          </w:p>
        </w:tc>
      </w:tr>
      <w:tr w:rsidR="00D602D4">
        <w:trPr>
          <w:trHeight w:val="20"/>
          <w:tblHeader/>
        </w:trPr>
        <w:tc>
          <w:tcPr>
            <w:tcW w:w="1384"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rPr>
            </w:pPr>
            <w:r>
              <w:rPr>
                <w:rFonts w:ascii="Times New Roman" w:hAnsi="Times New Roman"/>
                <w:spacing w:val="-20"/>
                <w:sz w:val="18"/>
                <w:szCs w:val="18"/>
              </w:rPr>
              <w:t>Своевременное</w:t>
            </w:r>
            <w:r>
              <w:rPr>
                <w:rFonts w:ascii="Times New Roman" w:hAnsi="Times New Roman" w:cs="Times New Roman"/>
                <w:sz w:val="18"/>
                <w:szCs w:val="18"/>
              </w:rPr>
              <w:t xml:space="preserve"> выполнение планов корректирующих мероприятий (ПКМ)</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eastAsiaTheme="minorEastAsia" w:hAnsi="Times New Roman"/>
                <w:bCs/>
                <w:szCs w:val="21"/>
              </w:rPr>
            </w:pPr>
            <w:r>
              <w:rPr>
                <w:rFonts w:ascii="Times New Roman" w:eastAsiaTheme="minorEastAsia" w:hAnsi="Times New Roman"/>
                <w:bCs/>
                <w:sz w:val="18"/>
                <w:szCs w:val="18"/>
              </w:rPr>
              <w:t>Показатель, оценивающий своевременность выполнения Обществом планов корректирующих мероприятий в отчетном периоде, разработанных и утвержденных в Обществе по итогам контрольных мероприятий, проводимых в отношении Общества и проверок, проводимых ревизионными комиссиями</w:t>
            </w:r>
          </w:p>
        </w:tc>
        <w:tc>
          <w:tcPr>
            <w:tcW w:w="1419"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center"/>
              <w:rPr>
                <w:rFonts w:ascii="Times New Roman" w:hAnsi="Times New Roman"/>
              </w:rPr>
            </w:pPr>
            <w:r>
              <w:rPr>
                <w:rFonts w:ascii="Times New Roman" w:hAnsi="Times New Roman"/>
                <w:sz w:val="18"/>
                <w:szCs w:val="18"/>
              </w:rPr>
              <w:t>-10</w:t>
            </w:r>
          </w:p>
        </w:tc>
        <w:tc>
          <w:tcPr>
            <w:tcW w:w="594"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center"/>
              <w:rPr>
                <w:rFonts w:ascii="Times New Roman" w:hAnsi="Times New Roman"/>
              </w:rPr>
            </w:pPr>
            <w:r>
              <w:rPr>
                <w:rFonts w:ascii="Times New Roman" w:hAnsi="Times New Roman"/>
                <w:sz w:val="18"/>
                <w:szCs w:val="18"/>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90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97</w:t>
            </w:r>
          </w:p>
        </w:tc>
        <w:tc>
          <w:tcPr>
            <w:tcW w:w="1390" w:type="dxa"/>
            <w:tcBorders>
              <w:top w:val="single" w:sz="4" w:space="0" w:color="000000"/>
              <w:left w:val="single" w:sz="4" w:space="0" w:color="000000"/>
              <w:bottom w:val="single" w:sz="4" w:space="0" w:color="000000"/>
              <w:right w:val="single" w:sz="4" w:space="0" w:color="000000"/>
            </w:tcBorders>
          </w:tcPr>
          <w:p w:rsidR="00D602D4" w:rsidRDefault="00D602D4">
            <w:pPr>
              <w:ind w:left="-57" w:right="-57"/>
              <w:jc w:val="center"/>
              <w:rPr>
                <w:rFonts w:ascii="Times New Roman" w:eastAsia="Calibri" w:hAnsi="Times New Roman" w:cs="Times New Roman"/>
                <w:szCs w:val="24"/>
              </w:rPr>
            </w:pPr>
          </w:p>
          <w:p w:rsidR="00D602D4" w:rsidRDefault="000B4C86">
            <w:pPr>
              <w:ind w:left="-57" w:right="-57"/>
              <w:jc w:val="center"/>
              <w:rPr>
                <w:rFonts w:ascii="Times New Roman" w:eastAsia="Calibri" w:hAnsi="Times New Roman" w:cs="Times New Roman"/>
                <w:szCs w:val="24"/>
              </w:rPr>
            </w:pPr>
            <w:r>
              <w:rPr>
                <w:rFonts w:ascii="Times New Roman" w:hAnsi="Times New Roman"/>
                <w:sz w:val="18"/>
                <w:szCs w:val="18"/>
              </w:rPr>
              <w:t>достигнут  частично</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rPr>
                <w:rFonts w:ascii="Times New Roman" w:hAnsi="Times New Roman"/>
                <w:sz w:val="21"/>
                <w:szCs w:val="21"/>
              </w:rPr>
            </w:pPr>
            <w:r>
              <w:rPr>
                <w:rFonts w:ascii="Times New Roman" w:hAnsi="Times New Roman"/>
                <w:sz w:val="18"/>
                <w:szCs w:val="18"/>
              </w:rPr>
              <w:t>несвоевременное исполнение ПКМ в 1 кв. 2024 года</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90</w:t>
            </w:r>
          </w:p>
        </w:tc>
        <w:tc>
          <w:tcPr>
            <w:tcW w:w="1132"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jc w:val="center"/>
              <w:rPr>
                <w:rFonts w:ascii="Times New Roman" w:eastAsia="Calibri" w:hAnsi="Times New Roman" w:cs="Times New Roman"/>
                <w:szCs w:val="24"/>
              </w:rPr>
            </w:pPr>
            <w:r>
              <w:rPr>
                <w:rFonts w:ascii="Times New Roman" w:eastAsia="Calibri" w:hAnsi="Times New Roman" w:cs="Times New Roman"/>
                <w:sz w:val="18"/>
                <w:szCs w:val="18"/>
              </w:rPr>
              <w:t>90</w:t>
            </w:r>
          </w:p>
        </w:tc>
      </w:tr>
    </w:tbl>
    <w:p w:rsidR="00D602D4" w:rsidRDefault="000B4C86">
      <w:r>
        <w:br w:type="page" w:clear="all"/>
      </w:r>
    </w:p>
    <w:tbl>
      <w:tblPr>
        <w:tblStyle w:val="ae"/>
        <w:tblpPr w:leftFromText="180" w:rightFromText="180" w:vertAnchor="text" w:tblpXSpec="center" w:tblpY="1"/>
        <w:tblW w:w="15871" w:type="dxa"/>
        <w:tblLayout w:type="fixed"/>
        <w:tblLook w:val="06A0" w:firstRow="1" w:lastRow="0" w:firstColumn="1" w:lastColumn="0" w:noHBand="1" w:noVBand="1"/>
      </w:tblPr>
      <w:tblGrid>
        <w:gridCol w:w="1384"/>
        <w:gridCol w:w="4848"/>
        <w:gridCol w:w="1419"/>
        <w:gridCol w:w="594"/>
        <w:gridCol w:w="1276"/>
        <w:gridCol w:w="1276"/>
        <w:gridCol w:w="1390"/>
        <w:gridCol w:w="1276"/>
        <w:gridCol w:w="1276"/>
        <w:gridCol w:w="1132"/>
      </w:tblGrid>
      <w:tr w:rsidR="00D602D4">
        <w:trPr>
          <w:trHeight w:val="20"/>
          <w:tblHeader/>
        </w:trPr>
        <w:tc>
          <w:tcPr>
            <w:tcW w:w="1384"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lastRenderedPageBreak/>
              <w:t>Наименование показателя</w:t>
            </w:r>
          </w:p>
        </w:tc>
        <w:tc>
          <w:tcPr>
            <w:tcW w:w="4848"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1"/>
                <w:szCs w:val="21"/>
              </w:rPr>
            </w:pPr>
            <w:r>
              <w:rPr>
                <w:rFonts w:ascii="Times New Roman" w:hAnsi="Times New Roman"/>
                <w:b/>
                <w:sz w:val="18"/>
                <w:szCs w:val="18"/>
              </w:rPr>
              <w:t>Порядок расчета</w:t>
            </w:r>
          </w:p>
        </w:tc>
        <w:tc>
          <w:tcPr>
            <w:tcW w:w="1419"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Весовая доля КПЭ//процент депремирования на 2024 год, %</w:t>
            </w:r>
          </w:p>
        </w:tc>
        <w:tc>
          <w:tcPr>
            <w:tcW w:w="594"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Ед. изм.</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Целевое//пороговое значение на 2024 год</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Достигнутое значение за 2024 год</w:t>
            </w:r>
            <w:r>
              <w:rPr>
                <w:rStyle w:val="af1"/>
                <w:sz w:val="18"/>
                <w:szCs w:val="18"/>
              </w:rPr>
              <w:footnoteReference w:id="11"/>
            </w:r>
          </w:p>
        </w:tc>
        <w:tc>
          <w:tcPr>
            <w:tcW w:w="1390"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Оценка достижения в 2024 году (%, достигнут/не достигнут</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Причины недостижения</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Целевое значение на 2025 год</w:t>
            </w:r>
            <w:r>
              <w:rPr>
                <w:rStyle w:val="af1"/>
                <w:rFonts w:ascii="Times New Roman" w:hAnsi="Times New Roman"/>
                <w:b/>
                <w:sz w:val="18"/>
                <w:szCs w:val="18"/>
              </w:rPr>
              <w:footnoteReference w:id="12"/>
            </w:r>
          </w:p>
        </w:tc>
        <w:tc>
          <w:tcPr>
            <w:tcW w:w="1132"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b/>
                <w:sz w:val="20"/>
                <w:szCs w:val="20"/>
              </w:rPr>
            </w:pPr>
            <w:r>
              <w:rPr>
                <w:rFonts w:ascii="Times New Roman" w:hAnsi="Times New Roman"/>
                <w:b/>
                <w:sz w:val="18"/>
                <w:szCs w:val="18"/>
              </w:rPr>
              <w:t>Целевое значение на 2026 год</w:t>
            </w:r>
            <w:r>
              <w:rPr>
                <w:rStyle w:val="af1"/>
                <w:rFonts w:ascii="Times New Roman" w:hAnsi="Times New Roman"/>
                <w:b/>
                <w:sz w:val="18"/>
                <w:szCs w:val="18"/>
              </w:rPr>
              <w:footnoteReference w:id="13"/>
            </w:r>
          </w:p>
        </w:tc>
      </w:tr>
      <w:tr w:rsidR="00D602D4">
        <w:trPr>
          <w:trHeight w:val="20"/>
          <w:tblHeader/>
        </w:trPr>
        <w:tc>
          <w:tcPr>
            <w:tcW w:w="15871" w:type="dxa"/>
            <w:gridSpan w:val="10"/>
            <w:tcBorders>
              <w:top w:val="single" w:sz="4" w:space="0" w:color="000000"/>
              <w:left w:val="single" w:sz="4" w:space="0" w:color="000000"/>
              <w:bottom w:val="single" w:sz="4" w:space="0" w:color="000000"/>
              <w:right w:val="single" w:sz="4" w:space="0" w:color="000000"/>
            </w:tcBorders>
            <w:vAlign w:val="center"/>
          </w:tcPr>
          <w:p w:rsidR="00D602D4" w:rsidRDefault="000B4C86">
            <w:pPr>
              <w:spacing w:before="60" w:after="60"/>
              <w:ind w:left="-85" w:right="-85"/>
              <w:jc w:val="center"/>
              <w:rPr>
                <w:rFonts w:ascii="Times New Roman" w:hAnsi="Times New Roman"/>
                <w:b/>
                <w:color w:val="0070C0"/>
                <w:sz w:val="21"/>
                <w:szCs w:val="21"/>
              </w:rPr>
            </w:pPr>
            <w:r>
              <w:rPr>
                <w:rFonts w:ascii="Times New Roman" w:hAnsi="Times New Roman"/>
                <w:b/>
                <w:color w:val="0070C0"/>
                <w:sz w:val="18"/>
                <w:szCs w:val="18"/>
              </w:rPr>
              <w:t>ИНДИКАТИВНЫЕ ПОКАЗАТЕЛИ</w:t>
            </w:r>
          </w:p>
        </w:tc>
      </w:tr>
      <w:tr w:rsidR="00D602D4">
        <w:trPr>
          <w:trHeight w:val="20"/>
          <w:tblHeader/>
        </w:trPr>
        <w:tc>
          <w:tcPr>
            <w:tcW w:w="138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rPr>
                <w:rFonts w:ascii="Times New Roman" w:hAnsi="Times New Roman"/>
              </w:rPr>
            </w:pPr>
            <w:r>
              <w:rPr>
                <w:rFonts w:ascii="Times New Roman" w:hAnsi="Times New Roman"/>
                <w:sz w:val="18"/>
                <w:szCs w:val="18"/>
              </w:rPr>
              <w:t>Достижение фактора «Эффективность процедур по подключению электроэнергии» Национального рейтинга состояния инвестиционного климата</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sz w:val="21"/>
                <w:szCs w:val="21"/>
              </w:rPr>
            </w:pPr>
            <w:r>
              <w:rPr>
                <w:rFonts w:ascii="Times New Roman" w:hAnsi="Times New Roman"/>
                <w:sz w:val="18"/>
                <w:szCs w:val="18"/>
              </w:rPr>
              <w:t>Показатель определяется на основании степени достижения эталонных ориентиров показателей фактора «Эффективность процедур по подключению электроэнергии» Национального рейтинга состояния инвестиционного климата в субъектах РФ, входящих в зону эксплуатационной ответственности Общества</w:t>
            </w:r>
          </w:p>
        </w:tc>
        <w:tc>
          <w:tcPr>
            <w:tcW w:w="1419"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Индикативный показатель</w:t>
            </w:r>
          </w:p>
        </w:tc>
        <w:tc>
          <w:tcPr>
            <w:tcW w:w="59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cs="Times New Roman"/>
                <w:sz w:val="18"/>
                <w:szCs w:val="18"/>
              </w:rPr>
              <w:t>100%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cs="Times New Roman"/>
                <w:sz w:val="18"/>
                <w:szCs w:val="18"/>
              </w:rPr>
              <w:t>97%</w:t>
            </w:r>
          </w:p>
        </w:tc>
        <w:tc>
          <w:tcPr>
            <w:tcW w:w="1390"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 w:val="21"/>
                <w:szCs w:val="21"/>
              </w:rPr>
            </w:pPr>
            <w:r>
              <w:rPr>
                <w:rFonts w:ascii="Times New Roman" w:hAnsi="Times New Roman" w:cs="Times New Roman"/>
                <w:sz w:val="18"/>
                <w:szCs w:val="18"/>
              </w:rPr>
              <w:t>Индикативный показатель не оценивается</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100%</w:t>
            </w:r>
          </w:p>
        </w:tc>
        <w:tc>
          <w:tcPr>
            <w:tcW w:w="1132"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rPr>
            </w:pPr>
            <w:r>
              <w:rPr>
                <w:rFonts w:ascii="Times New Roman" w:hAnsi="Times New Roman"/>
                <w:sz w:val="18"/>
                <w:szCs w:val="18"/>
              </w:rPr>
              <w:t>100%</w:t>
            </w:r>
          </w:p>
        </w:tc>
      </w:tr>
    </w:tbl>
    <w:p w:rsidR="00D602D4" w:rsidRDefault="00D602D4">
      <w:pPr>
        <w:spacing w:after="0" w:line="240" w:lineRule="auto"/>
      </w:pPr>
    </w:p>
    <w:p w:rsidR="00D602D4" w:rsidRDefault="00D602D4">
      <w:pPr>
        <w:spacing w:after="0" w:line="240" w:lineRule="auto"/>
      </w:pPr>
    </w:p>
    <w:p w:rsidR="00D602D4" w:rsidRDefault="00D602D4">
      <w:pPr>
        <w:spacing w:after="0" w:line="240" w:lineRule="auto"/>
      </w:pPr>
    </w:p>
    <w:p w:rsidR="00D602D4" w:rsidRDefault="00D602D4"/>
    <w:p w:rsidR="00D602D4" w:rsidRDefault="00D602D4"/>
    <w:p w:rsidR="00D602D4" w:rsidRDefault="00D602D4"/>
    <w:p w:rsidR="00D602D4" w:rsidRDefault="00D602D4"/>
    <w:p w:rsidR="00D602D4" w:rsidRDefault="00D602D4"/>
    <w:p w:rsidR="00D602D4" w:rsidRDefault="000B4C86">
      <w:pPr>
        <w:spacing w:line="240" w:lineRule="auto"/>
        <w:jc w:val="right"/>
      </w:pPr>
      <w:r>
        <w:rPr>
          <w:rFonts w:ascii="Times New Roman" w:eastAsia="Times New Roman" w:hAnsi="Times New Roman" w:cs="Times New Roman"/>
          <w:sz w:val="24"/>
          <w:szCs w:val="24"/>
        </w:rPr>
        <w:lastRenderedPageBreak/>
        <w:t>Таблица 7</w:t>
      </w:r>
    </w:p>
    <w:tbl>
      <w:tblPr>
        <w:tblStyle w:val="ae"/>
        <w:tblW w:w="15604" w:type="dxa"/>
        <w:tblInd w:w="137" w:type="dxa"/>
        <w:tblLayout w:type="fixed"/>
        <w:tblLook w:val="04A0" w:firstRow="1" w:lastRow="0" w:firstColumn="1" w:lastColumn="0" w:noHBand="0" w:noVBand="1"/>
      </w:tblPr>
      <w:tblGrid>
        <w:gridCol w:w="1276"/>
        <w:gridCol w:w="4848"/>
        <w:gridCol w:w="1844"/>
        <w:gridCol w:w="424"/>
        <w:gridCol w:w="1105"/>
        <w:gridCol w:w="1276"/>
        <w:gridCol w:w="1134"/>
        <w:gridCol w:w="1276"/>
        <w:gridCol w:w="1276"/>
        <w:gridCol w:w="1133"/>
        <w:gridCol w:w="12"/>
      </w:tblGrid>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cs="Times New Roman"/>
                <w:b/>
                <w:sz w:val="20"/>
              </w:rPr>
            </w:pPr>
            <w:r>
              <w:rPr>
                <w:rFonts w:ascii="Times New Roman" w:eastAsia="Times New Roman" w:hAnsi="Times New Roman" w:cs="Times New Roman"/>
                <w:b/>
                <w:sz w:val="18"/>
                <w:szCs w:val="18"/>
              </w:rPr>
              <w:t>Наименование показателя</w:t>
            </w:r>
          </w:p>
        </w:tc>
        <w:tc>
          <w:tcPr>
            <w:tcW w:w="4848"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57" w:right="-57"/>
              <w:contextualSpacing/>
              <w:jc w:val="center"/>
              <w:rPr>
                <w:rFonts w:ascii="Times New Roman" w:hAnsi="Times New Roman" w:cs="Times New Roman"/>
                <w:b/>
                <w:sz w:val="21"/>
                <w:szCs w:val="21"/>
              </w:rPr>
            </w:pPr>
            <w:r>
              <w:rPr>
                <w:rFonts w:ascii="Times New Roman" w:eastAsia="Times New Roman" w:hAnsi="Times New Roman" w:cs="Times New Roman"/>
                <w:b/>
                <w:sz w:val="18"/>
                <w:szCs w:val="18"/>
              </w:rPr>
              <w:t>Порядок расчета</w:t>
            </w:r>
          </w:p>
        </w:tc>
        <w:tc>
          <w:tcPr>
            <w:tcW w:w="1844"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cs="Times New Roman"/>
                <w:b/>
                <w:sz w:val="20"/>
              </w:rPr>
            </w:pPr>
            <w:r>
              <w:rPr>
                <w:rFonts w:ascii="Times New Roman" w:eastAsia="Times New Roman" w:hAnsi="Times New Roman" w:cs="Times New Roman"/>
                <w:b/>
                <w:sz w:val="18"/>
                <w:szCs w:val="18"/>
              </w:rPr>
              <w:t>Должностное лицо, ответственное за достижение ФКПЭ</w:t>
            </w:r>
          </w:p>
        </w:tc>
        <w:tc>
          <w:tcPr>
            <w:tcW w:w="424"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cs="Times New Roman"/>
                <w:b/>
                <w:sz w:val="20"/>
              </w:rPr>
            </w:pPr>
            <w:r>
              <w:rPr>
                <w:rFonts w:ascii="Times New Roman" w:eastAsia="Times New Roman" w:hAnsi="Times New Roman" w:cs="Times New Roman"/>
                <w:b/>
                <w:sz w:val="18"/>
                <w:szCs w:val="18"/>
              </w:rPr>
              <w:t>Ед. изм.</w:t>
            </w:r>
          </w:p>
        </w:tc>
        <w:tc>
          <w:tcPr>
            <w:tcW w:w="1105"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cs="Times New Roman"/>
                <w:b/>
                <w:sz w:val="20"/>
              </w:rPr>
            </w:pPr>
            <w:r>
              <w:rPr>
                <w:rFonts w:ascii="Times New Roman" w:eastAsia="Times New Roman" w:hAnsi="Times New Roman" w:cs="Times New Roman"/>
                <w:b/>
                <w:sz w:val="18"/>
                <w:szCs w:val="18"/>
              </w:rPr>
              <w:t>Целевое значение на 2024 год</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cs="Times New Roman"/>
                <w:b/>
                <w:sz w:val="20"/>
              </w:rPr>
            </w:pPr>
            <w:r>
              <w:rPr>
                <w:rFonts w:ascii="Times New Roman" w:eastAsia="Times New Roman" w:hAnsi="Times New Roman" w:cs="Times New Roman"/>
                <w:b/>
                <w:sz w:val="18"/>
                <w:szCs w:val="18"/>
              </w:rPr>
              <w:t>Достигнутое значение за 2024 год</w:t>
            </w:r>
            <w:r>
              <w:rPr>
                <w:rStyle w:val="af1"/>
                <w:rFonts w:ascii="Times New Roman" w:eastAsia="Times New Roman" w:hAnsi="Times New Roman" w:cs="Times New Roman"/>
                <w:sz w:val="18"/>
                <w:szCs w:val="18"/>
              </w:rPr>
              <w:footnoteReference w:id="14"/>
            </w:r>
          </w:p>
        </w:tc>
        <w:tc>
          <w:tcPr>
            <w:tcW w:w="1134"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cs="Times New Roman"/>
                <w:b/>
                <w:sz w:val="18"/>
              </w:rPr>
            </w:pPr>
            <w:r>
              <w:rPr>
                <w:rFonts w:ascii="Times New Roman" w:eastAsia="Times New Roman" w:hAnsi="Times New Roman" w:cs="Times New Roman"/>
                <w:b/>
                <w:sz w:val="18"/>
                <w:szCs w:val="18"/>
              </w:rPr>
              <w:t>Оценка достижения (%, достигнут/не достигнут)</w:t>
            </w:r>
            <w:r>
              <w:rPr>
                <w:rStyle w:val="af1"/>
                <w:rFonts w:ascii="Times New Roman" w:eastAsia="Times New Roman" w:hAnsi="Times New Roman" w:cs="Times New Roman"/>
                <w:b/>
                <w:sz w:val="18"/>
                <w:szCs w:val="18"/>
              </w:rPr>
              <w:footnoteReference w:id="15"/>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cs="Times New Roman"/>
                <w:b/>
                <w:sz w:val="20"/>
              </w:rPr>
            </w:pPr>
            <w:r>
              <w:rPr>
                <w:rFonts w:ascii="Times New Roman" w:eastAsia="Times New Roman" w:hAnsi="Times New Roman" w:cs="Times New Roman"/>
                <w:b/>
                <w:sz w:val="18"/>
                <w:szCs w:val="18"/>
              </w:rPr>
              <w:t>Причины недостижения</w:t>
            </w:r>
          </w:p>
        </w:tc>
        <w:tc>
          <w:tcPr>
            <w:tcW w:w="1276"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cs="Times New Roman"/>
                <w:b/>
                <w:sz w:val="20"/>
              </w:rPr>
            </w:pPr>
            <w:r>
              <w:rPr>
                <w:rFonts w:ascii="Times New Roman" w:eastAsia="Times New Roman" w:hAnsi="Times New Roman" w:cs="Times New Roman"/>
                <w:b/>
                <w:sz w:val="18"/>
                <w:szCs w:val="18"/>
              </w:rPr>
              <w:t>Целевое значение на 2025 год</w:t>
            </w:r>
            <w:r>
              <w:rPr>
                <w:rStyle w:val="af1"/>
                <w:rFonts w:ascii="Times New Roman" w:eastAsia="Times New Roman" w:hAnsi="Times New Roman" w:cs="Times New Roman"/>
                <w:b/>
                <w:sz w:val="18"/>
                <w:szCs w:val="18"/>
              </w:rPr>
              <w:footnoteReference w:id="16"/>
            </w:r>
          </w:p>
        </w:tc>
        <w:tc>
          <w:tcPr>
            <w:tcW w:w="1133"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ind w:left="-85" w:right="-85"/>
              <w:contextualSpacing/>
              <w:jc w:val="center"/>
              <w:rPr>
                <w:rFonts w:ascii="Times New Roman" w:hAnsi="Times New Roman" w:cs="Times New Roman"/>
                <w:b/>
                <w:sz w:val="20"/>
              </w:rPr>
            </w:pPr>
            <w:r>
              <w:rPr>
                <w:rFonts w:ascii="Times New Roman" w:eastAsia="Times New Roman" w:hAnsi="Times New Roman" w:cs="Times New Roman"/>
                <w:b/>
                <w:sz w:val="18"/>
                <w:szCs w:val="18"/>
              </w:rPr>
              <w:t>Целевое значение на 2026 год</w:t>
            </w:r>
            <w:r>
              <w:rPr>
                <w:rStyle w:val="af1"/>
                <w:rFonts w:ascii="Times New Roman" w:eastAsia="Times New Roman" w:hAnsi="Times New Roman" w:cs="Times New Roman"/>
                <w:b/>
                <w:sz w:val="18"/>
                <w:szCs w:val="18"/>
              </w:rPr>
              <w:footnoteReference w:id="17"/>
            </w:r>
          </w:p>
        </w:tc>
      </w:tr>
      <w:tr w:rsidR="00D602D4">
        <w:trPr>
          <w:trHeight w:val="20"/>
        </w:trPr>
        <w:tc>
          <w:tcPr>
            <w:tcW w:w="15604" w:type="dxa"/>
            <w:gridSpan w:val="11"/>
            <w:tcBorders>
              <w:top w:val="single" w:sz="4" w:space="0" w:color="000000"/>
              <w:left w:val="single" w:sz="4" w:space="0" w:color="000000"/>
              <w:bottom w:val="single" w:sz="4" w:space="0" w:color="000000"/>
              <w:right w:val="single" w:sz="4" w:space="0" w:color="000000"/>
            </w:tcBorders>
            <w:vAlign w:val="center"/>
          </w:tcPr>
          <w:p w:rsidR="00D602D4" w:rsidRDefault="000B4C86">
            <w:pPr>
              <w:spacing w:before="60" w:after="60"/>
              <w:ind w:left="-85" w:right="-85"/>
              <w:jc w:val="center"/>
              <w:rPr>
                <w:rFonts w:ascii="Times New Roman" w:hAnsi="Times New Roman" w:cs="Times New Roman"/>
                <w:b/>
                <w:color w:val="0070C0"/>
                <w:sz w:val="21"/>
                <w:szCs w:val="21"/>
              </w:rPr>
            </w:pPr>
            <w:r>
              <w:rPr>
                <w:rFonts w:ascii="Times New Roman" w:eastAsia="Times New Roman" w:hAnsi="Times New Roman" w:cs="Times New Roman"/>
                <w:b/>
                <w:color w:val="0070C0"/>
                <w:sz w:val="18"/>
                <w:szCs w:val="18"/>
              </w:rPr>
              <w:t>ФУНКЦИОНАЛЬНЫЕ КЛЮЧЕВЫЕ ПОКАЗАТЕЛИ ЭФФЕКТИВНОСТИ</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rPr>
            </w:pPr>
            <w:r>
              <w:rPr>
                <w:rFonts w:ascii="Times New Roman" w:eastAsia="Times New Roman" w:hAnsi="Times New Roman" w:cs="Times New Roman"/>
                <w:sz w:val="18"/>
                <w:szCs w:val="18"/>
              </w:rPr>
              <w:t xml:space="preserve">EBITDA (Прибыль по </w:t>
            </w:r>
            <w:r>
              <w:rPr>
                <w:rFonts w:ascii="Times New Roman" w:eastAsia="Times New Roman" w:hAnsi="Times New Roman" w:cs="Times New Roman"/>
                <w:spacing w:val="-20"/>
                <w:sz w:val="18"/>
                <w:szCs w:val="18"/>
              </w:rPr>
              <w:t>операционной</w:t>
            </w:r>
            <w:r>
              <w:rPr>
                <w:rFonts w:ascii="Times New Roman" w:eastAsia="Times New Roman" w:hAnsi="Times New Roman" w:cs="Times New Roman"/>
                <w:sz w:val="18"/>
                <w:szCs w:val="18"/>
              </w:rPr>
              <w:t xml:space="preserve"> деятельности)</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z w:val="21"/>
                <w:szCs w:val="21"/>
              </w:rPr>
            </w:pPr>
            <w:r>
              <w:rPr>
                <w:rFonts w:ascii="Times New Roman" w:eastAsiaTheme="minorEastAsia" w:hAnsi="Times New Roman" w:cs="Times New Roman"/>
                <w:sz w:val="18"/>
                <w:szCs w:val="18"/>
              </w:rPr>
              <w:t>Рассчитывается как прибыль / (убыток) до налогообложения до вычета расходов на амортизацию и процентов к уплате, скорректированная на размер обесценения / (восстановление обесценения) основных средств, и выручки от оказания услуг по тех. присоединению</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85" w:right="-85"/>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 xml:space="preserve">Генеральный директор, </w:t>
            </w:r>
          </w:p>
          <w:p w:rsidR="00D602D4" w:rsidRDefault="000B4C86">
            <w:pPr>
              <w:ind w:left="-85" w:right="-85"/>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экономике и финансам,</w:t>
            </w:r>
          </w:p>
          <w:p w:rsidR="00D602D4" w:rsidRDefault="000B4C86">
            <w:pPr>
              <w:ind w:left="-85" w:right="-85"/>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 xml:space="preserve">Заместитель генерального директора по общим вопросам, </w:t>
            </w:r>
          </w:p>
          <w:p w:rsidR="00D602D4" w:rsidRDefault="000B4C86">
            <w:pPr>
              <w:ind w:left="-85" w:right="-85"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Главный бухгалтер - начальник департамента бухгалтерского и налогового учета и отчетности</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тыс. руб.</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firstLine="57"/>
              <w:jc w:val="center"/>
              <w:rPr>
                <w:rFonts w:ascii="Times New Roman" w:hAnsi="Times New Roman" w:cs="Times New Roman"/>
              </w:rPr>
            </w:pPr>
            <w:r>
              <w:rPr>
                <w:rFonts w:ascii="Times New Roman" w:eastAsia="Times New Roman" w:hAnsi="Times New Roman" w:cs="Times New Roman"/>
                <w:sz w:val="18"/>
                <w:szCs w:val="18"/>
                <w:lang w:val="en-US"/>
              </w:rPr>
              <w:t>10 007 419</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10 005 427</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firstLine="57"/>
              <w:jc w:val="center"/>
              <w:rPr>
                <w:rFonts w:ascii="Times New Roman" w:hAnsi="Times New Roman" w:cs="Times New Roman"/>
              </w:rPr>
            </w:pPr>
            <w:r>
              <w:rPr>
                <w:rFonts w:ascii="Times New Roman" w:eastAsia="Times New Roman" w:hAnsi="Times New Roman" w:cs="Times New Roman"/>
                <w:sz w:val="18"/>
                <w:szCs w:val="18"/>
              </w:rPr>
              <w:t>10 520 372</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firstLine="57"/>
              <w:jc w:val="center"/>
              <w:rPr>
                <w:rFonts w:ascii="Times New Roman" w:hAnsi="Times New Roman" w:cs="Times New Roman"/>
              </w:rPr>
            </w:pPr>
            <w:r>
              <w:rPr>
                <w:rFonts w:ascii="Times New Roman" w:eastAsia="Times New Roman" w:hAnsi="Times New Roman" w:cs="Times New Roman"/>
                <w:sz w:val="18"/>
                <w:szCs w:val="18"/>
              </w:rPr>
              <w:t>11 647 409</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rPr>
            </w:pPr>
            <w:r>
              <w:rPr>
                <w:rFonts w:ascii="Times New Roman" w:eastAsia="Times New Roman" w:hAnsi="Times New Roman" w:cs="Times New Roman"/>
                <w:sz w:val="18"/>
                <w:szCs w:val="18"/>
              </w:rPr>
              <w:t>Получение паспорта готовности в отопительный сезон</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z w:val="21"/>
                <w:szCs w:val="21"/>
              </w:rPr>
            </w:pPr>
            <w:r>
              <w:rPr>
                <w:rFonts w:ascii="Times New Roman" w:eastAsiaTheme="minorEastAsia" w:hAnsi="Times New Roman" w:cs="Times New Roman"/>
                <w:sz w:val="18"/>
                <w:szCs w:val="18"/>
              </w:rPr>
              <w:t xml:space="preserve">Своевременное получение паспорта готовности к работе в отопительный сезон Обществом должно быть обеспечено в срок до 5 ноября отчетного года в соответствии с Правилами оценки готовности субъектов электроэнергетики к работе в </w:t>
            </w:r>
            <w:r>
              <w:rPr>
                <w:rFonts w:ascii="Times New Roman" w:eastAsiaTheme="minorEastAsia" w:hAnsi="Times New Roman" w:cs="Times New Roman"/>
                <w:spacing w:val="-20"/>
                <w:sz w:val="18"/>
                <w:szCs w:val="18"/>
              </w:rPr>
              <w:t>отопительный</w:t>
            </w:r>
            <w:r>
              <w:rPr>
                <w:rFonts w:ascii="Times New Roman" w:eastAsiaTheme="minorEastAsia" w:hAnsi="Times New Roman" w:cs="Times New Roman"/>
                <w:sz w:val="18"/>
                <w:szCs w:val="18"/>
              </w:rPr>
              <w:t xml:space="preserve"> сезон, утвержденных Постановлением Правительства РФ от 10.05.2017 № 543</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85" w:right="-85"/>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 xml:space="preserve">Генеральный директор, </w:t>
            </w:r>
          </w:p>
          <w:p w:rsidR="00D602D4" w:rsidRDefault="000B4C86">
            <w:pPr>
              <w:ind w:left="-85" w:right="-85"/>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техническим вопросам - главный инженер,</w:t>
            </w:r>
          </w:p>
          <w:p w:rsidR="00D602D4" w:rsidRDefault="000B4C86">
            <w:pPr>
              <w:ind w:left="-85" w:right="-85"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инвестиционной деятельности</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ед.</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1</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1</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1</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rPr>
                <w:rFonts w:ascii="Times New Roman" w:hAnsi="Times New Roman" w:cs="Times New Roman"/>
              </w:rPr>
            </w:pPr>
            <w:r>
              <w:rPr>
                <w:rFonts w:ascii="Times New Roman" w:eastAsia="Times New Roman" w:hAnsi="Times New Roman" w:cs="Times New Roman"/>
                <w:sz w:val="18"/>
                <w:szCs w:val="18"/>
              </w:rPr>
              <w:t xml:space="preserve">Отсутствие значимых аварий в электрических </w:t>
            </w:r>
            <w:r>
              <w:rPr>
                <w:rFonts w:ascii="Times New Roman" w:eastAsia="Times New Roman" w:hAnsi="Times New Roman" w:cs="Times New Roman"/>
                <w:sz w:val="18"/>
                <w:szCs w:val="18"/>
              </w:rPr>
              <w:lastRenderedPageBreak/>
              <w:t xml:space="preserve">сетях, расследуемых </w:t>
            </w:r>
            <w:r>
              <w:rPr>
                <w:rFonts w:ascii="Times New Roman" w:eastAsiaTheme="minorEastAsia" w:hAnsi="Times New Roman" w:cs="Times New Roman"/>
                <w:spacing w:val="-20"/>
                <w:sz w:val="18"/>
                <w:szCs w:val="18"/>
              </w:rPr>
              <w:t>Ростехнадзором</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eastAsiaTheme="minorEastAsia" w:hAnsi="Times New Roman" w:cs="Times New Roman"/>
                <w:sz w:val="18"/>
                <w:szCs w:val="18"/>
              </w:rPr>
            </w:pPr>
            <w:r>
              <w:rPr>
                <w:rFonts w:ascii="Times New Roman" w:eastAsiaTheme="minorEastAsia" w:hAnsi="Times New Roman" w:cs="Times New Roman"/>
                <w:sz w:val="18"/>
                <w:szCs w:val="18"/>
              </w:rPr>
              <w:lastRenderedPageBreak/>
              <w:t xml:space="preserve">При </w:t>
            </w:r>
            <w:r>
              <w:rPr>
                <w:rFonts w:ascii="Times New Roman" w:eastAsiaTheme="minorEastAsia" w:hAnsi="Times New Roman" w:cs="Times New Roman"/>
                <w:spacing w:val="-20"/>
                <w:sz w:val="18"/>
                <w:szCs w:val="18"/>
              </w:rPr>
              <w:t>расчете показателя учитываются</w:t>
            </w:r>
            <w:r>
              <w:rPr>
                <w:rFonts w:ascii="Times New Roman" w:eastAsiaTheme="minorEastAsia" w:hAnsi="Times New Roman" w:cs="Times New Roman"/>
                <w:sz w:val="18"/>
                <w:szCs w:val="18"/>
              </w:rPr>
              <w:t xml:space="preserve"> аварии в </w:t>
            </w:r>
            <w:r>
              <w:rPr>
                <w:rFonts w:ascii="Times New Roman" w:eastAsiaTheme="minorEastAsia" w:hAnsi="Times New Roman" w:cs="Times New Roman"/>
                <w:spacing w:val="-20"/>
                <w:sz w:val="18"/>
                <w:szCs w:val="18"/>
              </w:rPr>
              <w:t>электросетях</w:t>
            </w:r>
            <w:r>
              <w:rPr>
                <w:rFonts w:ascii="Times New Roman" w:eastAsiaTheme="minorEastAsia" w:hAnsi="Times New Roman" w:cs="Times New Roman"/>
                <w:sz w:val="18"/>
                <w:szCs w:val="18"/>
              </w:rPr>
              <w:t xml:space="preserve"> Общества, </w:t>
            </w:r>
            <w:r>
              <w:rPr>
                <w:rFonts w:ascii="Times New Roman" w:eastAsiaTheme="minorEastAsia" w:hAnsi="Times New Roman" w:cs="Times New Roman"/>
                <w:spacing w:val="-20"/>
                <w:sz w:val="18"/>
                <w:szCs w:val="18"/>
              </w:rPr>
              <w:t>классифицированные</w:t>
            </w:r>
            <w:r>
              <w:rPr>
                <w:rFonts w:ascii="Times New Roman" w:eastAsiaTheme="minorEastAsia" w:hAnsi="Times New Roman" w:cs="Times New Roman"/>
                <w:sz w:val="18"/>
                <w:szCs w:val="18"/>
              </w:rPr>
              <w:t xml:space="preserve"> комиссией Ростехнадзора по п.4 Правил расследования причин аварий</w:t>
            </w:r>
            <w:r>
              <w:rPr>
                <w:rFonts w:ascii="Times New Roman" w:eastAsiaTheme="minorEastAsia" w:hAnsi="Times New Roman" w:cs="Times New Roman"/>
                <w:spacing w:val="-20"/>
                <w:sz w:val="18"/>
                <w:szCs w:val="18"/>
              </w:rPr>
              <w:t xml:space="preserve"> в </w:t>
            </w:r>
            <w:r>
              <w:rPr>
                <w:rFonts w:ascii="Times New Roman" w:eastAsiaTheme="minorEastAsia" w:hAnsi="Times New Roman" w:cs="Times New Roman"/>
                <w:sz w:val="18"/>
                <w:szCs w:val="18"/>
              </w:rPr>
              <w:t>электроэнергетике</w:t>
            </w:r>
            <w:r>
              <w:rPr>
                <w:rFonts w:ascii="Times New Roman" w:eastAsiaTheme="minorEastAsia" w:hAnsi="Times New Roman" w:cs="Times New Roman"/>
                <w:spacing w:val="-20"/>
                <w:sz w:val="18"/>
                <w:szCs w:val="18"/>
              </w:rPr>
              <w:t xml:space="preserve"> (утвержденных </w:t>
            </w:r>
            <w:r>
              <w:rPr>
                <w:rFonts w:ascii="Times New Roman" w:eastAsiaTheme="minorEastAsia" w:hAnsi="Times New Roman" w:cs="Times New Roman"/>
                <w:sz w:val="18"/>
                <w:szCs w:val="18"/>
              </w:rPr>
              <w:t xml:space="preserve">Постановлением Правительства РФ от </w:t>
            </w:r>
            <w:r>
              <w:rPr>
                <w:rFonts w:ascii="Times New Roman" w:eastAsiaTheme="minorEastAsia" w:hAnsi="Times New Roman" w:cs="Times New Roman"/>
                <w:sz w:val="18"/>
                <w:szCs w:val="18"/>
              </w:rPr>
              <w:lastRenderedPageBreak/>
              <w:t>28.10.2009 № 846)</w:t>
            </w:r>
          </w:p>
          <w:p w:rsidR="00D602D4" w:rsidRDefault="00D602D4">
            <w:pPr>
              <w:ind w:left="-57" w:right="-57"/>
              <w:contextualSpacing/>
              <w:jc w:val="both"/>
              <w:rPr>
                <w:rFonts w:ascii="Times New Roman" w:hAnsi="Times New Roman" w:cs="Times New Roman"/>
                <w:sz w:val="18"/>
                <w:szCs w:val="18"/>
              </w:rPr>
            </w:pP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85" w:right="-85"/>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lastRenderedPageBreak/>
              <w:t>Заместитель генерального директора по техническим вопросам - главный инженер</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вып/не вып</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0</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0</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0</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rPr>
            </w:pPr>
            <w:r>
              <w:rPr>
                <w:rFonts w:ascii="Times New Roman" w:eastAsiaTheme="minorEastAsia" w:hAnsi="Times New Roman" w:cs="Times New Roman"/>
                <w:spacing w:val="-20"/>
                <w:sz w:val="18"/>
                <w:szCs w:val="18"/>
              </w:rPr>
              <w:t>Эффективность</w:t>
            </w:r>
            <w:r>
              <w:rPr>
                <w:rFonts w:ascii="Times New Roman" w:eastAsia="Times New Roman" w:hAnsi="Times New Roman" w:cs="Times New Roman"/>
                <w:sz w:val="18"/>
                <w:szCs w:val="18"/>
              </w:rPr>
              <w:t xml:space="preserve"> инновационной деятельности</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z w:val="21"/>
                <w:szCs w:val="21"/>
              </w:rPr>
            </w:pPr>
            <w:r>
              <w:rPr>
                <w:rFonts w:ascii="Times New Roman" w:eastAsiaTheme="minorEastAsia" w:hAnsi="Times New Roman" w:cs="Times New Roman"/>
                <w:spacing w:val="-20"/>
                <w:sz w:val="18"/>
                <w:szCs w:val="18"/>
              </w:rPr>
              <w:t>Интегральный показатель эффективности инновационной</w:t>
            </w:r>
            <w:r>
              <w:rPr>
                <w:rFonts w:ascii="Times New Roman" w:eastAsiaTheme="minorEastAsia" w:hAnsi="Times New Roman" w:cs="Times New Roman"/>
                <w:sz w:val="18"/>
                <w:szCs w:val="18"/>
              </w:rPr>
              <w:t xml:space="preserve"> </w:t>
            </w:r>
            <w:r>
              <w:rPr>
                <w:rFonts w:ascii="Times New Roman" w:eastAsiaTheme="minorEastAsia" w:hAnsi="Times New Roman" w:cs="Times New Roman"/>
                <w:spacing w:val="-20"/>
                <w:sz w:val="18"/>
                <w:szCs w:val="18"/>
              </w:rPr>
              <w:t>деятельности</w:t>
            </w:r>
            <w:r>
              <w:rPr>
                <w:rFonts w:ascii="Times New Roman" w:eastAsiaTheme="minorEastAsia" w:hAnsi="Times New Roman" w:cs="Times New Roman"/>
                <w:sz w:val="18"/>
                <w:szCs w:val="18"/>
              </w:rPr>
              <w:t xml:space="preserve"> </w:t>
            </w:r>
            <w:r>
              <w:rPr>
                <w:rFonts w:ascii="Times New Roman" w:eastAsiaTheme="minorEastAsia" w:hAnsi="Times New Roman" w:cs="Times New Roman"/>
                <w:spacing w:val="-20"/>
                <w:sz w:val="18"/>
                <w:szCs w:val="18"/>
              </w:rPr>
              <w:t>оценивает степень</w:t>
            </w:r>
            <w:r>
              <w:rPr>
                <w:rFonts w:ascii="Times New Roman" w:eastAsiaTheme="minorEastAsia" w:hAnsi="Times New Roman" w:cs="Times New Roman"/>
                <w:sz w:val="18"/>
                <w:szCs w:val="18"/>
              </w:rPr>
              <w:t xml:space="preserve"> выполнения </w:t>
            </w:r>
            <w:r>
              <w:rPr>
                <w:rFonts w:ascii="Times New Roman" w:eastAsiaTheme="minorEastAsia" w:hAnsi="Times New Roman" w:cs="Times New Roman"/>
                <w:spacing w:val="-20"/>
                <w:sz w:val="18"/>
                <w:szCs w:val="18"/>
              </w:rPr>
              <w:t xml:space="preserve">трех составных </w:t>
            </w:r>
            <w:r>
              <w:rPr>
                <w:rFonts w:ascii="Times New Roman" w:eastAsiaTheme="minorEastAsia" w:hAnsi="Times New Roman" w:cs="Times New Roman"/>
                <w:sz w:val="18"/>
                <w:szCs w:val="18"/>
              </w:rPr>
              <w:t>показателей: показатель затрат на НИОКР, показатель закупки инновационной продукции, показатель качества разработки (актуализации</w:t>
            </w:r>
            <w:r>
              <w:rPr>
                <w:rFonts w:ascii="Times New Roman" w:eastAsiaTheme="minorEastAsia" w:hAnsi="Times New Roman" w:cs="Times New Roman"/>
                <w:spacing w:val="-20"/>
                <w:sz w:val="18"/>
                <w:szCs w:val="18"/>
              </w:rPr>
              <w:t xml:space="preserve">) </w:t>
            </w:r>
            <w:r>
              <w:rPr>
                <w:rFonts w:ascii="Times New Roman" w:eastAsiaTheme="minorEastAsia" w:hAnsi="Times New Roman" w:cs="Times New Roman"/>
                <w:sz w:val="18"/>
                <w:szCs w:val="18"/>
              </w:rPr>
              <w:t>ПИР/выполнения ПИР</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85" w:right="-85"/>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техническим вопросам - главный инженер;</w:t>
            </w:r>
          </w:p>
          <w:p w:rsidR="00D602D4" w:rsidRDefault="000B4C86">
            <w:pPr>
              <w:ind w:left="-85" w:right="-85"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инвестиционной деятельности</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98,0%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D602D4">
            <w:pPr>
              <w:ind w:left="-85" w:right="-85"/>
              <w:jc w:val="center"/>
              <w:rPr>
                <w:rFonts w:ascii="Times New Roman" w:hAnsi="Times New Roman" w:cs="Times New Roman"/>
                <w:sz w:val="20"/>
                <w:szCs w:val="21"/>
              </w:rPr>
            </w:pPr>
          </w:p>
        </w:tc>
        <w:tc>
          <w:tcPr>
            <w:tcW w:w="1134" w:type="dxa"/>
            <w:tcBorders>
              <w:top w:val="single" w:sz="4" w:space="0" w:color="000000"/>
              <w:left w:val="single" w:sz="4" w:space="0" w:color="000000"/>
              <w:bottom w:val="single" w:sz="4" w:space="0" w:color="000000"/>
              <w:right w:val="single" w:sz="4" w:space="0" w:color="000000"/>
            </w:tcBorders>
          </w:tcPr>
          <w:p w:rsidR="00D602D4" w:rsidRDefault="00D602D4">
            <w:pPr>
              <w:ind w:left="-85" w:right="-85"/>
              <w:jc w:val="center"/>
              <w:rPr>
                <w:rFonts w:ascii="Times New Roman" w:hAnsi="Times New Roman" w:cs="Times New Roman"/>
                <w:sz w:val="20"/>
                <w:szCs w:val="21"/>
              </w:rPr>
            </w:pP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98,0%</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98,0%</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rPr>
            </w:pPr>
            <w:r>
              <w:rPr>
                <w:rFonts w:ascii="Times New Roman" w:eastAsia="Times New Roman" w:hAnsi="Times New Roman" w:cs="Times New Roman"/>
                <w:sz w:val="18"/>
                <w:szCs w:val="18"/>
              </w:rPr>
              <w:t>Повышение производительности труда относительно 2022 года</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z w:val="21"/>
                <w:szCs w:val="21"/>
              </w:rPr>
            </w:pPr>
            <w:r>
              <w:rPr>
                <w:rFonts w:ascii="Times New Roman" w:eastAsiaTheme="minorEastAsia" w:hAnsi="Times New Roman" w:cs="Times New Roman"/>
                <w:sz w:val="18"/>
                <w:szCs w:val="18"/>
              </w:rPr>
              <w:t>Отношение добавленной стоимости по всем видам услуг к среднегодовой численности работников. Сравнение с базовым 2023 годом</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85" w:right="-85"/>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управлению персоналом, связям с общественностью и взаимодействию с органами власти,</w:t>
            </w:r>
          </w:p>
          <w:p w:rsidR="00D602D4" w:rsidRDefault="000B4C86">
            <w:pPr>
              <w:ind w:left="-85" w:right="-85" w:firstLine="57"/>
              <w:jc w:val="center"/>
              <w:rPr>
                <w:rFonts w:ascii="Times New Roman" w:hAnsi="Times New Roman" w:cs="Times New Roman"/>
                <w:spacing w:val="-20"/>
                <w:sz w:val="18"/>
                <w:szCs w:val="18"/>
              </w:rPr>
            </w:pPr>
            <w:r>
              <w:rPr>
                <w:rFonts w:ascii="Times New Roman" w:eastAsiaTheme="minorEastAsia" w:hAnsi="Times New Roman" w:cs="Times New Roman"/>
                <w:spacing w:val="-20"/>
                <w:sz w:val="18"/>
                <w:szCs w:val="18"/>
              </w:rPr>
              <w:t>Заместитель генерального директора по экономике и финансам</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10,0%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28,2%</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15,0%</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20,0%</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rPr>
            </w:pPr>
            <w:r>
              <w:rPr>
                <w:rFonts w:ascii="Times New Roman" w:eastAsia="Times New Roman" w:hAnsi="Times New Roman" w:cs="Times New Roman"/>
                <w:sz w:val="18"/>
                <w:szCs w:val="18"/>
              </w:rPr>
              <w:t>Активная текучесть персонала</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eastAsiaTheme="minorEastAsia" w:hAnsi="Times New Roman" w:cs="Times New Roman"/>
                <w:sz w:val="18"/>
                <w:szCs w:val="18"/>
              </w:rPr>
            </w:pPr>
            <w:r>
              <w:rPr>
                <w:rFonts w:ascii="Times New Roman" w:eastAsiaTheme="minorEastAsia" w:hAnsi="Times New Roman" w:cs="Times New Roman"/>
                <w:sz w:val="18"/>
                <w:szCs w:val="18"/>
              </w:rPr>
              <w:t xml:space="preserve">Отношение </w:t>
            </w:r>
            <w:r>
              <w:rPr>
                <w:rFonts w:ascii="Times New Roman" w:eastAsiaTheme="minorEastAsia" w:hAnsi="Times New Roman" w:cs="Times New Roman"/>
                <w:spacing w:val="-20"/>
                <w:sz w:val="18"/>
                <w:szCs w:val="18"/>
              </w:rPr>
              <w:t>суммарного количества работников</w:t>
            </w:r>
            <w:r>
              <w:rPr>
                <w:rFonts w:ascii="Times New Roman" w:eastAsiaTheme="minorEastAsia" w:hAnsi="Times New Roman" w:cs="Times New Roman"/>
                <w:sz w:val="18"/>
                <w:szCs w:val="18"/>
              </w:rPr>
              <w:t xml:space="preserve"> Общества, уволенных по собственному желанию в соответствии с пп. 3 (</w:t>
            </w:r>
            <w:r>
              <w:rPr>
                <w:rFonts w:ascii="Times New Roman" w:eastAsiaTheme="minorEastAsia" w:hAnsi="Times New Roman" w:cs="Times New Roman"/>
                <w:spacing w:val="-20"/>
                <w:sz w:val="18"/>
                <w:szCs w:val="18"/>
              </w:rPr>
              <w:t xml:space="preserve">расторжение </w:t>
            </w:r>
            <w:r>
              <w:rPr>
                <w:rFonts w:ascii="Times New Roman" w:eastAsiaTheme="minorEastAsia" w:hAnsi="Times New Roman" w:cs="Times New Roman"/>
                <w:sz w:val="18"/>
                <w:szCs w:val="18"/>
              </w:rPr>
              <w:t xml:space="preserve">трудового договора по </w:t>
            </w:r>
            <w:r>
              <w:rPr>
                <w:rFonts w:ascii="Times New Roman" w:eastAsiaTheme="minorEastAsia" w:hAnsi="Times New Roman" w:cs="Times New Roman"/>
                <w:spacing w:val="-20"/>
                <w:sz w:val="18"/>
                <w:szCs w:val="18"/>
              </w:rPr>
              <w:t>инициативе</w:t>
            </w:r>
            <w:r>
              <w:rPr>
                <w:rFonts w:ascii="Times New Roman" w:eastAsiaTheme="minorEastAsia" w:hAnsi="Times New Roman" w:cs="Times New Roman"/>
                <w:sz w:val="18"/>
                <w:szCs w:val="18"/>
              </w:rPr>
              <w:t xml:space="preserve"> работника) </w:t>
            </w:r>
            <w:r>
              <w:rPr>
                <w:rFonts w:ascii="Times New Roman" w:eastAsiaTheme="minorEastAsia" w:hAnsi="Times New Roman" w:cs="Times New Roman"/>
                <w:spacing w:val="-20"/>
                <w:sz w:val="18"/>
                <w:szCs w:val="18"/>
              </w:rPr>
              <w:t>и 5 (перевод</w:t>
            </w:r>
            <w:r>
              <w:rPr>
                <w:rFonts w:ascii="Times New Roman" w:eastAsiaTheme="minorEastAsia" w:hAnsi="Times New Roman" w:cs="Times New Roman"/>
                <w:sz w:val="18"/>
                <w:szCs w:val="18"/>
              </w:rPr>
              <w:t xml:space="preserve"> работника по его просьбе или с его согласия на работу к другому работодателю, или переход на выборную работу (должность)) </w:t>
            </w:r>
          </w:p>
          <w:p w:rsidR="00D602D4" w:rsidRDefault="000B4C86">
            <w:pPr>
              <w:ind w:left="-57" w:right="-57"/>
              <w:contextualSpacing/>
              <w:jc w:val="both"/>
              <w:rPr>
                <w:rFonts w:ascii="Times New Roman" w:hAnsi="Times New Roman" w:cs="Times New Roman"/>
                <w:sz w:val="18"/>
                <w:szCs w:val="18"/>
              </w:rPr>
            </w:pPr>
            <w:r>
              <w:rPr>
                <w:rFonts w:ascii="Times New Roman" w:eastAsiaTheme="minorEastAsia" w:hAnsi="Times New Roman" w:cs="Times New Roman"/>
                <w:spacing w:val="-20"/>
                <w:sz w:val="18"/>
                <w:szCs w:val="18"/>
              </w:rPr>
              <w:t>статьи</w:t>
            </w:r>
            <w:r>
              <w:rPr>
                <w:rFonts w:ascii="Times New Roman" w:eastAsiaTheme="minorEastAsia" w:hAnsi="Times New Roman" w:cs="Times New Roman"/>
                <w:sz w:val="18"/>
                <w:szCs w:val="18"/>
              </w:rPr>
              <w:t xml:space="preserve"> </w:t>
            </w:r>
            <w:r>
              <w:rPr>
                <w:rFonts w:ascii="Times New Roman" w:eastAsiaTheme="minorEastAsia" w:hAnsi="Times New Roman" w:cs="Times New Roman"/>
                <w:spacing w:val="-20"/>
                <w:sz w:val="18"/>
                <w:szCs w:val="18"/>
              </w:rPr>
              <w:t>77 ТК РФ,</w:t>
            </w:r>
            <w:r>
              <w:rPr>
                <w:rFonts w:ascii="Times New Roman" w:eastAsiaTheme="minorEastAsia" w:hAnsi="Times New Roman" w:cs="Times New Roman"/>
                <w:sz w:val="18"/>
                <w:szCs w:val="18"/>
              </w:rPr>
              <w:t xml:space="preserve"> к среднесписочной численности за отчетный период</w:t>
            </w:r>
          </w:p>
          <w:p w:rsidR="00D602D4" w:rsidRDefault="00D602D4">
            <w:pPr>
              <w:ind w:left="-57" w:right="-57"/>
              <w:contextualSpacing/>
              <w:jc w:val="both"/>
              <w:rPr>
                <w:rFonts w:ascii="Times New Roman" w:hAnsi="Times New Roman" w:cs="Times New Roman"/>
                <w:sz w:val="18"/>
                <w:szCs w:val="18"/>
              </w:rPr>
            </w:pP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85" w:right="-85"/>
              <w:jc w:val="center"/>
              <w:rPr>
                <w:rFonts w:ascii="Times New Roman" w:hAnsi="Times New Roman" w:cs="Times New Roman"/>
              </w:rPr>
            </w:pPr>
            <w:r>
              <w:rPr>
                <w:rFonts w:ascii="Times New Roman" w:eastAsiaTheme="minorEastAsia" w:hAnsi="Times New Roman" w:cs="Times New Roman"/>
                <w:spacing w:val="-20"/>
                <w:sz w:val="18"/>
                <w:szCs w:val="18"/>
              </w:rPr>
              <w:t>Заместитель генерального директора по управлению персоналом, связям с общественностью и взаимодействию с органами власти</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6,5%</w:t>
            </w:r>
          </w:p>
        </w:tc>
        <w:tc>
          <w:tcPr>
            <w:tcW w:w="1276" w:type="dxa"/>
            <w:tcBorders>
              <w:top w:val="single" w:sz="4" w:space="0" w:color="000000"/>
              <w:left w:val="single" w:sz="4" w:space="0" w:color="000000"/>
              <w:bottom w:val="single" w:sz="4" w:space="0" w:color="000000"/>
              <w:right w:val="single" w:sz="4" w:space="0" w:color="000000"/>
            </w:tcBorders>
          </w:tcPr>
          <w:p w:rsidR="00D602D4" w:rsidRDefault="00D602D4">
            <w:pPr>
              <w:ind w:left="-85" w:right="-85"/>
              <w:contextualSpacing/>
              <w:jc w:val="center"/>
              <w:rPr>
                <w:rFonts w:ascii="Times New Roman" w:hAnsi="Times New Roman" w:cs="Times New Roman"/>
              </w:rPr>
            </w:pP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6,5%</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6,5%</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rPr>
            </w:pPr>
            <w:r>
              <w:rPr>
                <w:rFonts w:ascii="Times New Roman" w:eastAsia="Times New Roman" w:hAnsi="Times New Roman" w:cs="Times New Roman"/>
                <w:sz w:val="18"/>
                <w:szCs w:val="18"/>
              </w:rPr>
              <w:t>Уровень укомплектованности персоналом</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z w:val="18"/>
                <w:szCs w:val="18"/>
              </w:rPr>
            </w:pPr>
            <w:r>
              <w:rPr>
                <w:rFonts w:ascii="Times New Roman" w:eastAsiaTheme="minorEastAsia" w:hAnsi="Times New Roman" w:cs="Times New Roman"/>
                <w:sz w:val="18"/>
                <w:szCs w:val="18"/>
              </w:rPr>
              <w:t xml:space="preserve">Определяется ка отношение </w:t>
            </w:r>
            <w:r>
              <w:rPr>
                <w:rFonts w:ascii="Times New Roman" w:eastAsiaTheme="minorEastAsia" w:hAnsi="Times New Roman" w:cs="Times New Roman"/>
                <w:spacing w:val="-20"/>
                <w:sz w:val="18"/>
                <w:szCs w:val="18"/>
              </w:rPr>
              <w:t>штатной численности</w:t>
            </w:r>
            <w:r>
              <w:rPr>
                <w:rFonts w:ascii="Times New Roman" w:eastAsiaTheme="minorEastAsia" w:hAnsi="Times New Roman" w:cs="Times New Roman"/>
                <w:sz w:val="18"/>
                <w:szCs w:val="18"/>
              </w:rPr>
              <w:t xml:space="preserve">, уменьшений на количество вакантных должностей к </w:t>
            </w:r>
            <w:r>
              <w:rPr>
                <w:rFonts w:ascii="Times New Roman" w:eastAsiaTheme="minorEastAsia" w:hAnsi="Times New Roman" w:cs="Times New Roman"/>
                <w:spacing w:val="-20"/>
                <w:sz w:val="18"/>
                <w:szCs w:val="18"/>
              </w:rPr>
              <w:t>штатной</w:t>
            </w:r>
            <w:r>
              <w:rPr>
                <w:rFonts w:ascii="Times New Roman" w:eastAsiaTheme="minorEastAsia" w:hAnsi="Times New Roman" w:cs="Times New Roman"/>
                <w:sz w:val="18"/>
                <w:szCs w:val="18"/>
              </w:rPr>
              <w:t xml:space="preserve"> </w:t>
            </w:r>
            <w:r>
              <w:rPr>
                <w:rFonts w:ascii="Times New Roman" w:eastAsiaTheme="minorEastAsia" w:hAnsi="Times New Roman" w:cs="Times New Roman"/>
                <w:spacing w:val="-20"/>
                <w:sz w:val="18"/>
                <w:szCs w:val="18"/>
              </w:rPr>
              <w:t>численности</w:t>
            </w:r>
            <w:r>
              <w:rPr>
                <w:rFonts w:ascii="Times New Roman" w:eastAsiaTheme="minorEastAsia" w:hAnsi="Times New Roman" w:cs="Times New Roman"/>
                <w:sz w:val="18"/>
                <w:szCs w:val="18"/>
              </w:rPr>
              <w:t xml:space="preserve"> согласно штатного расписания Общества на конец отчетного периода</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85" w:right="-85"/>
              <w:jc w:val="center"/>
              <w:rPr>
                <w:rFonts w:ascii="Times New Roman" w:hAnsi="Times New Roman" w:cs="Times New Roman"/>
              </w:rPr>
            </w:pPr>
            <w:r>
              <w:rPr>
                <w:rFonts w:ascii="Times New Roman" w:eastAsiaTheme="minorEastAsia" w:hAnsi="Times New Roman" w:cs="Times New Roman"/>
                <w:spacing w:val="-20"/>
                <w:sz w:val="18"/>
                <w:szCs w:val="18"/>
              </w:rPr>
              <w:t>Заместитель генерального директора по управлению персоналом, связям с общественностью и взаимодействию с органами власти</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95%</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95%</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 xml:space="preserve">100% </w:t>
            </w:r>
          </w:p>
          <w:p w:rsidR="00D602D4" w:rsidRDefault="000B4C86">
            <w:pPr>
              <w:ind w:left="-113" w:right="-113"/>
              <w:contextualSpacing/>
              <w:jc w:val="center"/>
              <w:rPr>
                <w:rFonts w:ascii="Times New Roman" w:hAnsi="Times New Roman" w:cs="Times New Roman"/>
                <w:sz w:val="21"/>
                <w:szCs w:val="21"/>
              </w:rPr>
            </w:pPr>
            <w:r>
              <w:rPr>
                <w:rFonts w:ascii="Times New Roman" w:eastAsia="Times New Roman" w:hAnsi="Times New Roman" w:cs="Times New Roman"/>
                <w:sz w:val="18"/>
                <w:szCs w:val="18"/>
              </w:rPr>
              <w:t>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 w:val="18"/>
                <w:szCs w:val="18"/>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18"/>
                <w:szCs w:val="18"/>
              </w:rPr>
            </w:pPr>
            <w:r>
              <w:rPr>
                <w:rFonts w:ascii="Times New Roman" w:eastAsia="Times New Roman" w:hAnsi="Times New Roman" w:cs="Times New Roman"/>
                <w:sz w:val="18"/>
                <w:szCs w:val="18"/>
              </w:rPr>
              <w:t>95%</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18"/>
                <w:szCs w:val="18"/>
              </w:rPr>
            </w:pPr>
            <w:r>
              <w:rPr>
                <w:rFonts w:ascii="Times New Roman" w:eastAsia="Times New Roman" w:hAnsi="Times New Roman" w:cs="Times New Roman"/>
                <w:sz w:val="18"/>
                <w:szCs w:val="18"/>
              </w:rPr>
              <w:t>95%</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rPr>
            </w:pPr>
            <w:r>
              <w:rPr>
                <w:rFonts w:ascii="Times New Roman" w:eastAsia="Times New Roman" w:hAnsi="Times New Roman" w:cs="Times New Roman"/>
                <w:sz w:val="18"/>
                <w:szCs w:val="18"/>
              </w:rPr>
              <w:t xml:space="preserve">Соблюдение сроков </w:t>
            </w:r>
            <w:r>
              <w:rPr>
                <w:rFonts w:ascii="Times New Roman" w:eastAsiaTheme="minorEastAsia" w:hAnsi="Times New Roman" w:cs="Times New Roman"/>
                <w:spacing w:val="-20"/>
                <w:sz w:val="18"/>
                <w:szCs w:val="18"/>
              </w:rPr>
              <w:t>осуществления</w:t>
            </w:r>
            <w:r>
              <w:rPr>
                <w:rFonts w:ascii="Times New Roman" w:eastAsia="Times New Roman" w:hAnsi="Times New Roman" w:cs="Times New Roman"/>
                <w:sz w:val="18"/>
                <w:szCs w:val="18"/>
              </w:rPr>
              <w:t xml:space="preserve"> технологического </w:t>
            </w:r>
            <w:r>
              <w:rPr>
                <w:rFonts w:ascii="Times New Roman" w:eastAsiaTheme="minorEastAsia" w:hAnsi="Times New Roman" w:cs="Times New Roman"/>
                <w:spacing w:val="-20"/>
                <w:sz w:val="18"/>
                <w:szCs w:val="18"/>
              </w:rPr>
              <w:t>присоединения</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 xml:space="preserve">Комплексный показатель, оценивающий уровень качества осуществляемого тех. </w:t>
            </w:r>
            <w:r>
              <w:rPr>
                <w:rFonts w:ascii="Times New Roman" w:eastAsia="Times New Roman" w:hAnsi="Times New Roman" w:cs="Times New Roman"/>
                <w:sz w:val="18"/>
                <w:szCs w:val="18"/>
              </w:rPr>
              <w:t>присоединения к сети, из двух</w:t>
            </w:r>
            <w:r>
              <w:rPr>
                <w:rFonts w:ascii="Times New Roman" w:eastAsiaTheme="minorEastAsia" w:hAnsi="Times New Roman" w:cs="Times New Roman"/>
                <w:spacing w:val="-20"/>
                <w:sz w:val="18"/>
                <w:szCs w:val="18"/>
              </w:rPr>
              <w:t xml:space="preserve"> составляющих - качество рассмотрения </w:t>
            </w:r>
            <w:r>
              <w:rPr>
                <w:rFonts w:ascii="Times New Roman" w:eastAsia="Times New Roman" w:hAnsi="Times New Roman" w:cs="Times New Roman"/>
                <w:sz w:val="18"/>
                <w:szCs w:val="18"/>
              </w:rPr>
              <w:t xml:space="preserve">заявок на ТП, </w:t>
            </w:r>
            <w:r>
              <w:rPr>
                <w:rFonts w:ascii="Times New Roman" w:eastAsiaTheme="minorEastAsia" w:hAnsi="Times New Roman" w:cs="Times New Roman"/>
                <w:spacing w:val="-20"/>
                <w:sz w:val="18"/>
                <w:szCs w:val="18"/>
              </w:rPr>
              <w:t>качество</w:t>
            </w:r>
            <w:r>
              <w:rPr>
                <w:rFonts w:ascii="Times New Roman" w:eastAsia="Times New Roman" w:hAnsi="Times New Roman" w:cs="Times New Roman"/>
                <w:sz w:val="18"/>
                <w:szCs w:val="18"/>
              </w:rPr>
              <w:t xml:space="preserve"> исполнения договоров об осуществлении ТП заявителей к сети</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85" w:right="-85"/>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реализации и развитию услуг;</w:t>
            </w:r>
          </w:p>
          <w:p w:rsidR="00D602D4" w:rsidRDefault="000B4C86">
            <w:pPr>
              <w:ind w:left="-85" w:right="-85"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инвестиционной деятельности</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отн.ед.</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szCs w:val="24"/>
              </w:rPr>
            </w:pPr>
            <w:r>
              <w:rPr>
                <w:rFonts w:ascii="Times New Roman" w:eastAsia="Times New Roman" w:hAnsi="Times New Roman" w:cs="Times New Roman"/>
                <w:sz w:val="18"/>
                <w:szCs w:val="18"/>
              </w:rPr>
              <w:t>1,3</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szCs w:val="24"/>
              </w:rPr>
            </w:pPr>
            <w:r>
              <w:rPr>
                <w:rFonts w:ascii="Times New Roman" w:eastAsia="Times New Roman" w:hAnsi="Times New Roman" w:cs="Times New Roman"/>
                <w:sz w:val="18"/>
                <w:szCs w:val="18"/>
              </w:rPr>
              <w:t>1,5</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sz w:val="18"/>
                <w:szCs w:val="20"/>
              </w:rPr>
            </w:pPr>
            <w:r>
              <w:rPr>
                <w:rFonts w:ascii="Times New Roman" w:eastAsia="Times New Roman" w:hAnsi="Times New Roman" w:cs="Times New Roman"/>
                <w:sz w:val="18"/>
                <w:szCs w:val="18"/>
              </w:rPr>
              <w:t>≤ значения, рассчитанного согласно пункту 4.7 Порядка расчета КПЭ и ФКПЭ</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sz w:val="18"/>
                <w:szCs w:val="20"/>
              </w:rPr>
            </w:pPr>
            <w:r>
              <w:rPr>
                <w:rFonts w:ascii="Times New Roman" w:eastAsia="Times New Roman" w:hAnsi="Times New Roman" w:cs="Times New Roman"/>
                <w:sz w:val="18"/>
                <w:szCs w:val="18"/>
              </w:rPr>
              <w:t>≤ значения, рассчитанного согласно пункту 4.7 Порядка расчета КПЭ и ФКПЭ</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rPr>
            </w:pPr>
            <w:r>
              <w:rPr>
                <w:rFonts w:ascii="Times New Roman" w:eastAsia="Times New Roman" w:hAnsi="Times New Roman" w:cs="Times New Roman"/>
                <w:bCs/>
                <w:sz w:val="18"/>
                <w:szCs w:val="18"/>
              </w:rPr>
              <w:lastRenderedPageBreak/>
              <w:t>Долг/</w:t>
            </w:r>
            <w:r>
              <w:rPr>
                <w:rFonts w:ascii="Times New Roman" w:eastAsiaTheme="minorEastAsia" w:hAnsi="Times New Roman" w:cs="Times New Roman"/>
                <w:spacing w:val="-20"/>
                <w:sz w:val="18"/>
                <w:szCs w:val="18"/>
              </w:rPr>
              <w:t>EBITDA</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z w:val="18"/>
                <w:szCs w:val="18"/>
                <w:lang w:val="en-US"/>
              </w:rPr>
            </w:pPr>
            <w:r>
              <w:rPr>
                <w:rFonts w:ascii="Times New Roman" w:eastAsia="Times New Roman" w:hAnsi="Times New Roman" w:cs="Times New Roman"/>
                <w:sz w:val="18"/>
                <w:szCs w:val="18"/>
              </w:rPr>
              <w:t xml:space="preserve">Отношение суммы </w:t>
            </w:r>
            <w:r>
              <w:rPr>
                <w:rFonts w:ascii="Times New Roman" w:eastAsiaTheme="minorEastAsia" w:hAnsi="Times New Roman" w:cs="Times New Roman"/>
                <w:spacing w:val="-20"/>
                <w:sz w:val="18"/>
                <w:szCs w:val="18"/>
              </w:rPr>
              <w:t>долгосрочных</w:t>
            </w:r>
            <w:r>
              <w:rPr>
                <w:rFonts w:ascii="Times New Roman" w:eastAsia="Times New Roman" w:hAnsi="Times New Roman" w:cs="Times New Roman"/>
                <w:sz w:val="18"/>
                <w:szCs w:val="18"/>
              </w:rPr>
              <w:t xml:space="preserve"> и краткосрочных кредитов и займов к показателю </w:t>
            </w:r>
            <w:r>
              <w:rPr>
                <w:rFonts w:ascii="Times New Roman" w:eastAsia="Times New Roman" w:hAnsi="Times New Roman" w:cs="Times New Roman"/>
                <w:sz w:val="18"/>
                <w:szCs w:val="18"/>
                <w:lang w:val="en-US"/>
              </w:rPr>
              <w:t>EBITDA</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57" w:right="-57"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экономике и финансам</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тыс. руб.</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szCs w:val="24"/>
              </w:rPr>
            </w:pPr>
            <w:r>
              <w:rPr>
                <w:rFonts w:ascii="Times New Roman" w:eastAsia="Times New Roman" w:hAnsi="Times New Roman" w:cs="Times New Roman"/>
                <w:sz w:val="18"/>
                <w:szCs w:val="18"/>
              </w:rPr>
              <w:t>5,2</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szCs w:val="24"/>
              </w:rPr>
            </w:pPr>
            <w:r>
              <w:rPr>
                <w:rFonts w:ascii="Times New Roman" w:eastAsia="Times New Roman" w:hAnsi="Times New Roman" w:cs="Times New Roman"/>
                <w:sz w:val="18"/>
                <w:szCs w:val="18"/>
              </w:rPr>
              <w:t>4,9</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5,2</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4,6</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rPr>
            </w:pPr>
            <w:r>
              <w:rPr>
                <w:rFonts w:ascii="Times New Roman" w:eastAsia="Times New Roman" w:hAnsi="Times New Roman" w:cs="Times New Roman"/>
                <w:sz w:val="18"/>
                <w:szCs w:val="18"/>
              </w:rPr>
              <w:t xml:space="preserve">Эффективность </w:t>
            </w:r>
            <w:r>
              <w:rPr>
                <w:rFonts w:ascii="Times New Roman" w:eastAsiaTheme="minorEastAsia" w:hAnsi="Times New Roman" w:cs="Times New Roman"/>
                <w:spacing w:val="-20"/>
                <w:sz w:val="18"/>
                <w:szCs w:val="18"/>
              </w:rPr>
              <w:t>перехода</w:t>
            </w:r>
            <w:r>
              <w:rPr>
                <w:rFonts w:ascii="Times New Roman" w:eastAsia="Times New Roman" w:hAnsi="Times New Roman" w:cs="Times New Roman"/>
                <w:sz w:val="18"/>
                <w:szCs w:val="18"/>
              </w:rPr>
              <w:t xml:space="preserve"> на </w:t>
            </w:r>
            <w:r>
              <w:rPr>
                <w:rFonts w:ascii="Times New Roman" w:eastAsiaTheme="minorEastAsia" w:hAnsi="Times New Roman" w:cs="Times New Roman"/>
                <w:spacing w:val="-20"/>
                <w:sz w:val="18"/>
                <w:szCs w:val="18"/>
              </w:rPr>
              <w:t>использование</w:t>
            </w:r>
            <w:r>
              <w:rPr>
                <w:rFonts w:ascii="Times New Roman" w:eastAsia="Times New Roman" w:hAnsi="Times New Roman" w:cs="Times New Roman"/>
                <w:sz w:val="18"/>
                <w:szCs w:val="18"/>
              </w:rPr>
              <w:t xml:space="preserve"> </w:t>
            </w:r>
            <w:r>
              <w:rPr>
                <w:rFonts w:ascii="Times New Roman" w:eastAsiaTheme="minorEastAsia" w:hAnsi="Times New Roman" w:cs="Times New Roman"/>
                <w:spacing w:val="-20"/>
                <w:sz w:val="18"/>
                <w:szCs w:val="18"/>
              </w:rPr>
              <w:t>отечественного программного</w:t>
            </w:r>
            <w:r>
              <w:rPr>
                <w:rFonts w:ascii="Times New Roman" w:eastAsia="Times New Roman" w:hAnsi="Times New Roman" w:cs="Times New Roman"/>
                <w:sz w:val="18"/>
                <w:szCs w:val="18"/>
              </w:rPr>
              <w:t xml:space="preserve"> обеспечения</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eastAsiaTheme="minorEastAsia" w:hAnsi="Times New Roman" w:cs="Times New Roman"/>
                <w:spacing w:val="-20"/>
                <w:sz w:val="18"/>
                <w:szCs w:val="18"/>
              </w:rPr>
            </w:pPr>
            <w:r>
              <w:rPr>
                <w:rFonts w:ascii="Times New Roman" w:eastAsiaTheme="minorEastAsia" w:hAnsi="Times New Roman" w:cs="Times New Roman"/>
                <w:spacing w:val="-20"/>
                <w:sz w:val="18"/>
                <w:szCs w:val="18"/>
              </w:rPr>
              <w:t>Определяется как доля (процент) установленного российского (отечественного) ПО в общем объеме установленного ПО в Обществе, реализующего утвержденный СД Общества собственный план по переходу на преимущественное использование отечественного ПО</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57" w:right="-57" w:firstLine="57"/>
              <w:jc w:val="center"/>
              <w:rPr>
                <w:rFonts w:ascii="Times New Roman" w:hAnsi="Times New Roman" w:cs="Times New Roman"/>
                <w:sz w:val="21"/>
                <w:szCs w:val="21"/>
              </w:rPr>
            </w:pPr>
            <w:r>
              <w:rPr>
                <w:rFonts w:ascii="Times New Roman" w:eastAsiaTheme="minorEastAsia" w:hAnsi="Times New Roman" w:cs="Times New Roman"/>
                <w:spacing w:val="-20"/>
                <w:sz w:val="18"/>
                <w:szCs w:val="18"/>
              </w:rPr>
              <w:t>Генеральный директор</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84,3%</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93,9%</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88,9%</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90,0%</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rPr>
            </w:pPr>
            <w:r>
              <w:rPr>
                <w:rFonts w:ascii="Times New Roman" w:eastAsia="Times New Roman" w:hAnsi="Times New Roman" w:cs="Times New Roman"/>
                <w:sz w:val="18"/>
                <w:szCs w:val="18"/>
              </w:rPr>
              <w:t xml:space="preserve">Эффективность </w:t>
            </w:r>
            <w:r>
              <w:rPr>
                <w:rFonts w:ascii="Times New Roman" w:eastAsiaTheme="minorEastAsia" w:hAnsi="Times New Roman" w:cs="Times New Roman"/>
                <w:spacing w:val="-20"/>
                <w:sz w:val="18"/>
                <w:szCs w:val="18"/>
              </w:rPr>
              <w:t>перехода на использование отечественной</w:t>
            </w:r>
            <w:r>
              <w:rPr>
                <w:rFonts w:ascii="Times New Roman" w:eastAsia="Times New Roman" w:hAnsi="Times New Roman" w:cs="Times New Roman"/>
                <w:sz w:val="18"/>
                <w:szCs w:val="18"/>
              </w:rPr>
              <w:t xml:space="preserve"> </w:t>
            </w:r>
            <w:r>
              <w:rPr>
                <w:rFonts w:ascii="Times New Roman" w:eastAsiaTheme="minorEastAsia" w:hAnsi="Times New Roman" w:cs="Times New Roman"/>
                <w:spacing w:val="-20"/>
                <w:sz w:val="18"/>
                <w:szCs w:val="18"/>
              </w:rPr>
              <w:t>радиоэлектронной</w:t>
            </w:r>
            <w:r>
              <w:rPr>
                <w:rFonts w:ascii="Times New Roman" w:eastAsia="Times New Roman" w:hAnsi="Times New Roman" w:cs="Times New Roman"/>
                <w:sz w:val="18"/>
                <w:szCs w:val="18"/>
              </w:rPr>
              <w:t xml:space="preserve"> продукции</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eastAsiaTheme="minorEastAsia" w:hAnsi="Times New Roman" w:cs="Times New Roman"/>
                <w:sz w:val="18"/>
                <w:szCs w:val="18"/>
              </w:rPr>
            </w:pPr>
            <w:r>
              <w:rPr>
                <w:rFonts w:ascii="Times New Roman" w:eastAsiaTheme="minorEastAsia" w:hAnsi="Times New Roman" w:cs="Times New Roman"/>
                <w:sz w:val="18"/>
                <w:szCs w:val="18"/>
              </w:rPr>
              <w:t>Определяется как доля (процент) закупки Обществом российской</w:t>
            </w:r>
            <w:r>
              <w:rPr>
                <w:rFonts w:ascii="Times New Roman" w:eastAsiaTheme="minorEastAsia" w:hAnsi="Times New Roman" w:cs="Times New Roman"/>
                <w:spacing w:val="-20"/>
                <w:sz w:val="18"/>
                <w:szCs w:val="18"/>
              </w:rPr>
              <w:t xml:space="preserve"> (отечественной) РЭП в общем объеме по </w:t>
            </w:r>
            <w:r>
              <w:rPr>
                <w:rFonts w:ascii="Times New Roman" w:eastAsiaTheme="minorEastAsia" w:hAnsi="Times New Roman" w:cs="Times New Roman"/>
                <w:sz w:val="18"/>
                <w:szCs w:val="18"/>
              </w:rPr>
              <w:t>Обществу</w:t>
            </w:r>
            <w:r>
              <w:rPr>
                <w:rFonts w:ascii="Times New Roman" w:eastAsiaTheme="minorEastAsia" w:hAnsi="Times New Roman" w:cs="Times New Roman"/>
                <w:spacing w:val="-20"/>
                <w:sz w:val="18"/>
                <w:szCs w:val="18"/>
              </w:rPr>
              <w:t xml:space="preserve">, </w:t>
            </w:r>
            <w:r>
              <w:rPr>
                <w:rFonts w:ascii="Times New Roman" w:eastAsiaTheme="minorEastAsia" w:hAnsi="Times New Roman" w:cs="Times New Roman"/>
                <w:sz w:val="18"/>
                <w:szCs w:val="18"/>
              </w:rPr>
              <w:t>реализующего план по переходу на преимущественное использование РЭП</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57" w:right="-57"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техническим вопросам - главный инженер</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77%</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89,73%</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78%</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firstLine="57"/>
              <w:jc w:val="center"/>
              <w:rPr>
                <w:rFonts w:ascii="Times New Roman" w:hAnsi="Times New Roman" w:cs="Times New Roman"/>
              </w:rPr>
            </w:pPr>
            <w:r>
              <w:rPr>
                <w:rFonts w:ascii="Times New Roman" w:eastAsia="Times New Roman" w:hAnsi="Times New Roman" w:cs="Times New Roman"/>
                <w:sz w:val="18"/>
                <w:szCs w:val="18"/>
              </w:rPr>
              <w:t>79%</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rPr>
            </w:pPr>
            <w:r>
              <w:rPr>
                <w:rFonts w:ascii="Times New Roman" w:eastAsia="Times New Roman" w:hAnsi="Times New Roman" w:cs="Times New Roman"/>
                <w:sz w:val="18"/>
                <w:szCs w:val="18"/>
              </w:rPr>
              <w:t>Просроченная дебиторская задолженность за услуги по передаче электроэнергии</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z w:val="18"/>
                <w:szCs w:val="18"/>
              </w:rPr>
            </w:pPr>
            <w:r>
              <w:rPr>
                <w:rFonts w:ascii="Times New Roman" w:eastAsiaTheme="minorEastAsia" w:hAnsi="Times New Roman" w:cs="Times New Roman"/>
                <w:sz w:val="18"/>
                <w:szCs w:val="18"/>
              </w:rPr>
              <w:t xml:space="preserve">Непревышение фактического значения просроченной дебиторской задолженности (без учета мораторной задолженности) на конец отчетного периода над целевым значением </w:t>
            </w:r>
          </w:p>
          <w:p w:rsidR="00D602D4" w:rsidRDefault="00D602D4">
            <w:pPr>
              <w:ind w:left="-57" w:right="-57"/>
              <w:contextualSpacing/>
              <w:jc w:val="both"/>
              <w:rPr>
                <w:rFonts w:ascii="Times New Roman" w:hAnsi="Times New Roman" w:cs="Times New Roman"/>
                <w:sz w:val="18"/>
                <w:szCs w:val="18"/>
              </w:rPr>
            </w:pP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57" w:right="-57"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реализации и развитию услуг;</w:t>
            </w:r>
          </w:p>
          <w:p w:rsidR="00D602D4" w:rsidRDefault="000B4C86">
            <w:pPr>
              <w:ind w:left="-57" w:right="-57"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корпоративному управлению;</w:t>
            </w:r>
          </w:p>
          <w:p w:rsidR="00D602D4" w:rsidRDefault="000B4C86">
            <w:pPr>
              <w:ind w:left="-57" w:right="-57"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безопасности</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тыс. руб.</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6 457 095,6</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5 761 678,3</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7 092 417,7</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8 220 701,3</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Сохранность имущества организации</w:t>
            </w:r>
          </w:p>
          <w:p w:rsidR="00D602D4" w:rsidRDefault="00D602D4">
            <w:pPr>
              <w:ind w:left="-85" w:right="-85"/>
              <w:contextualSpacing/>
              <w:jc w:val="both"/>
              <w:rPr>
                <w:rFonts w:ascii="Times New Roman" w:hAnsi="Times New Roman" w:cs="Times New Roman"/>
                <w:sz w:val="18"/>
                <w:szCs w:val="18"/>
              </w:rPr>
            </w:pP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z w:val="21"/>
                <w:szCs w:val="21"/>
              </w:rPr>
            </w:pPr>
            <w:r>
              <w:rPr>
                <w:rFonts w:ascii="Times New Roman" w:eastAsiaTheme="minorEastAsia" w:hAnsi="Times New Roman" w:cs="Times New Roman"/>
                <w:sz w:val="18"/>
                <w:szCs w:val="18"/>
              </w:rPr>
              <w:t>При расчете показателя учитываются факты хищений или преднамеренных повреждений имущества Общества</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57" w:right="-57"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безопасности</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шт.</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0</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0</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0</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Обеспечение требований по защите инсайдерской информации, поддержание листинга акций и рейтинга </w:t>
            </w:r>
            <w:r>
              <w:rPr>
                <w:rFonts w:ascii="Times New Roman" w:eastAsia="Times New Roman" w:hAnsi="Times New Roman" w:cs="Times New Roman"/>
                <w:spacing w:val="-20"/>
                <w:sz w:val="18"/>
                <w:szCs w:val="18"/>
              </w:rPr>
              <w:t>корпоративного</w:t>
            </w:r>
            <w:r>
              <w:rPr>
                <w:rFonts w:ascii="Times New Roman" w:eastAsia="Times New Roman" w:hAnsi="Times New Roman" w:cs="Times New Roman"/>
                <w:sz w:val="18"/>
                <w:szCs w:val="18"/>
              </w:rPr>
              <w:t xml:space="preserve"> управления</w:t>
            </w:r>
          </w:p>
          <w:p w:rsidR="00D602D4" w:rsidRDefault="00D602D4">
            <w:pPr>
              <w:ind w:left="-85" w:right="-85"/>
              <w:contextualSpacing/>
              <w:rPr>
                <w:rFonts w:ascii="Times New Roman" w:hAnsi="Times New Roman" w:cs="Times New Roman"/>
                <w:sz w:val="18"/>
                <w:szCs w:val="18"/>
              </w:rPr>
            </w:pP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z w:val="21"/>
                <w:szCs w:val="21"/>
              </w:rPr>
            </w:pPr>
            <w:r>
              <w:rPr>
                <w:rFonts w:ascii="Times New Roman" w:eastAsiaTheme="minorEastAsia" w:hAnsi="Times New Roman" w:cs="Times New Roman"/>
                <w:sz w:val="18"/>
                <w:szCs w:val="18"/>
              </w:rPr>
              <w:t>Комплексный показатель, оценивающий уровень корпоративного управления в Обществе, из трех составляющих – обеспечение требований по защите инсайдерской информации, поддержание листинга акций и поддержание рейтинга корпоративного управления</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57" w:right="-57"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корпоративному управлению</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вып/не вып</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Выполнен</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Выполнен</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выполнен</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szCs w:val="20"/>
              </w:rPr>
            </w:pPr>
            <w:r>
              <w:rPr>
                <w:rFonts w:ascii="Times New Roman" w:eastAsia="Times New Roman" w:hAnsi="Times New Roman" w:cs="Times New Roman"/>
                <w:sz w:val="18"/>
                <w:szCs w:val="18"/>
              </w:rPr>
              <w:t>выполнен</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both"/>
              <w:rPr>
                <w:rFonts w:ascii="Times New Roman" w:hAnsi="Times New Roman" w:cs="Times New Roman"/>
                <w:sz w:val="18"/>
                <w:szCs w:val="18"/>
              </w:rPr>
            </w:pPr>
            <w:r>
              <w:rPr>
                <w:rFonts w:ascii="Times New Roman" w:eastAsia="Times New Roman" w:hAnsi="Times New Roman" w:cs="Times New Roman"/>
                <w:spacing w:val="-20"/>
                <w:sz w:val="18"/>
                <w:szCs w:val="18"/>
              </w:rPr>
              <w:t>Своевременность</w:t>
            </w:r>
            <w:r>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lastRenderedPageBreak/>
              <w:t>проведения ГОСА/ГОСУ Общества и дочерних обществ</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z w:val="21"/>
                <w:szCs w:val="21"/>
              </w:rPr>
            </w:pPr>
            <w:r>
              <w:rPr>
                <w:rFonts w:ascii="Times New Roman" w:eastAsiaTheme="minorEastAsia" w:hAnsi="Times New Roman" w:cs="Times New Roman"/>
                <w:sz w:val="18"/>
                <w:szCs w:val="18"/>
              </w:rPr>
              <w:lastRenderedPageBreak/>
              <w:t xml:space="preserve">Для расчета показателя принимаются случаи нарушения </w:t>
            </w:r>
            <w:r>
              <w:rPr>
                <w:rFonts w:ascii="Times New Roman" w:eastAsiaTheme="minorEastAsia" w:hAnsi="Times New Roman" w:cs="Times New Roman"/>
                <w:sz w:val="18"/>
                <w:szCs w:val="18"/>
              </w:rPr>
              <w:lastRenderedPageBreak/>
              <w:t>Обществом и его дочерними обществами сроков проведения ГОСА/ГОСУ, установленных законодательством РФ</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85" w:right="-85"/>
              <w:contextualSpacing/>
              <w:jc w:val="center"/>
              <w:rPr>
                <w:rFonts w:ascii="Times New Roman" w:hAnsi="Times New Roman" w:cs="Times New Roman"/>
              </w:rPr>
            </w:pPr>
            <w:r>
              <w:rPr>
                <w:rFonts w:ascii="Times New Roman" w:eastAsiaTheme="minorEastAsia" w:hAnsi="Times New Roman" w:cs="Times New Roman"/>
                <w:spacing w:val="-20"/>
                <w:sz w:val="18"/>
                <w:szCs w:val="18"/>
              </w:rPr>
              <w:lastRenderedPageBreak/>
              <w:t xml:space="preserve">Заместитель генерального </w:t>
            </w:r>
            <w:r>
              <w:rPr>
                <w:rFonts w:ascii="Times New Roman" w:eastAsiaTheme="minorEastAsia" w:hAnsi="Times New Roman" w:cs="Times New Roman"/>
                <w:spacing w:val="-20"/>
                <w:sz w:val="18"/>
                <w:szCs w:val="18"/>
              </w:rPr>
              <w:lastRenderedPageBreak/>
              <w:t>директора по корпоративному управлению</w:t>
            </w:r>
          </w:p>
        </w:tc>
        <w:tc>
          <w:tcPr>
            <w:tcW w:w="424" w:type="dxa"/>
            <w:tcBorders>
              <w:top w:val="single" w:sz="4" w:space="0" w:color="000000"/>
              <w:left w:val="single" w:sz="4" w:space="0" w:color="000000"/>
              <w:bottom w:val="single" w:sz="4" w:space="0" w:color="000000"/>
              <w:right w:val="single" w:sz="4" w:space="0" w:color="000000"/>
            </w:tcBorders>
          </w:tcPr>
          <w:p w:rsidR="00D602D4" w:rsidRDefault="00D602D4">
            <w:pPr>
              <w:ind w:left="-85" w:right="-85"/>
              <w:contextualSpacing/>
              <w:jc w:val="center"/>
              <w:rPr>
                <w:rFonts w:ascii="Times New Roman" w:hAnsi="Times New Roman" w:cs="Times New Roman"/>
              </w:rPr>
            </w:pP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100%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100%</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jc w:val="center"/>
              <w:rPr>
                <w:rFonts w:ascii="Times New Roman" w:hAnsi="Times New Roman" w:cs="Times New Roman"/>
              </w:rPr>
            </w:pPr>
            <w:r>
              <w:rPr>
                <w:rFonts w:ascii="Times New Roman" w:eastAsia="Times New Roman" w:hAnsi="Times New Roman" w:cs="Times New Roman"/>
                <w:sz w:val="18"/>
                <w:szCs w:val="18"/>
              </w:rPr>
              <w:t xml:space="preserve">100%, </w:t>
            </w:r>
            <w:r>
              <w:rPr>
                <w:rFonts w:ascii="Times New Roman" w:eastAsia="Times New Roman" w:hAnsi="Times New Roman" w:cs="Times New Roman"/>
                <w:sz w:val="18"/>
                <w:szCs w:val="18"/>
              </w:rPr>
              <w:lastRenderedPageBreak/>
              <w:t>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szCs w:val="20"/>
              </w:rPr>
              <w:lastRenderedPageBreak/>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18"/>
                <w:szCs w:val="18"/>
              </w:rPr>
            </w:pPr>
            <w:r>
              <w:rPr>
                <w:rFonts w:ascii="Times New Roman" w:eastAsia="Times New Roman" w:hAnsi="Times New Roman" w:cs="Times New Roman"/>
                <w:sz w:val="18"/>
                <w:szCs w:val="18"/>
              </w:rPr>
              <w:t>100%</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18"/>
                <w:szCs w:val="18"/>
              </w:rPr>
            </w:pPr>
            <w:r>
              <w:rPr>
                <w:rFonts w:ascii="Times New Roman" w:eastAsia="Times New Roman" w:hAnsi="Times New Roman" w:cs="Times New Roman"/>
                <w:sz w:val="18"/>
                <w:szCs w:val="18"/>
              </w:rPr>
              <w:t>100%</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rPr>
                <w:rFonts w:ascii="Times New Roman" w:hAnsi="Times New Roman" w:cs="Times New Roman"/>
              </w:rPr>
            </w:pPr>
            <w:r>
              <w:rPr>
                <w:rFonts w:ascii="Times New Roman" w:eastAsiaTheme="minorEastAsia" w:hAnsi="Times New Roman" w:cs="Times New Roman"/>
                <w:spacing w:val="-20"/>
                <w:sz w:val="18"/>
                <w:szCs w:val="18"/>
              </w:rPr>
              <w:t>Доля договоров</w:t>
            </w:r>
            <w:r>
              <w:rPr>
                <w:rFonts w:ascii="Times New Roman" w:eastAsia="Times New Roman" w:hAnsi="Times New Roman" w:cs="Times New Roman"/>
                <w:sz w:val="18"/>
                <w:szCs w:val="18"/>
              </w:rPr>
              <w:t xml:space="preserve">, заключенных </w:t>
            </w:r>
            <w:r>
              <w:rPr>
                <w:rFonts w:ascii="Times New Roman" w:eastAsiaTheme="minorEastAsia" w:hAnsi="Times New Roman" w:cs="Times New Roman"/>
                <w:spacing w:val="-20"/>
                <w:sz w:val="18"/>
                <w:szCs w:val="18"/>
              </w:rPr>
              <w:t>по результатам</w:t>
            </w:r>
            <w:r>
              <w:rPr>
                <w:rFonts w:ascii="Times New Roman" w:eastAsia="Times New Roman" w:hAnsi="Times New Roman" w:cs="Times New Roman"/>
                <w:sz w:val="18"/>
                <w:szCs w:val="18"/>
              </w:rPr>
              <w:t xml:space="preserve"> состоявшихся процедур, проведенных в </w:t>
            </w:r>
            <w:r>
              <w:rPr>
                <w:rFonts w:ascii="Times New Roman" w:eastAsiaTheme="minorEastAsia" w:hAnsi="Times New Roman" w:cs="Times New Roman"/>
                <w:spacing w:val="-20"/>
                <w:sz w:val="18"/>
                <w:szCs w:val="18"/>
              </w:rPr>
              <w:t>электронной</w:t>
            </w:r>
            <w:r>
              <w:rPr>
                <w:rFonts w:ascii="Times New Roman" w:eastAsia="Times New Roman" w:hAnsi="Times New Roman" w:cs="Times New Roman"/>
                <w:sz w:val="18"/>
                <w:szCs w:val="18"/>
              </w:rPr>
              <w:t xml:space="preserve"> форме</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z w:val="21"/>
                <w:szCs w:val="21"/>
              </w:rPr>
            </w:pPr>
            <w:r>
              <w:rPr>
                <w:rFonts w:ascii="Times New Roman" w:eastAsiaTheme="minorEastAsia" w:hAnsi="Times New Roman" w:cs="Times New Roman"/>
                <w:sz w:val="18"/>
                <w:szCs w:val="18"/>
              </w:rPr>
              <w:t xml:space="preserve">Рассчитывается как отношение количества </w:t>
            </w:r>
            <w:r>
              <w:rPr>
                <w:rFonts w:ascii="Times New Roman" w:eastAsiaTheme="minorEastAsia" w:hAnsi="Times New Roman" w:cs="Times New Roman"/>
                <w:spacing w:val="-20"/>
                <w:sz w:val="18"/>
                <w:szCs w:val="18"/>
              </w:rPr>
              <w:t>закупочных</w:t>
            </w:r>
            <w:r>
              <w:rPr>
                <w:rFonts w:ascii="Times New Roman" w:eastAsiaTheme="minorEastAsia" w:hAnsi="Times New Roman" w:cs="Times New Roman"/>
                <w:sz w:val="18"/>
                <w:szCs w:val="18"/>
              </w:rPr>
              <w:t xml:space="preserve"> процедур, проведенных в </w:t>
            </w:r>
            <w:r>
              <w:rPr>
                <w:rFonts w:ascii="Times New Roman" w:eastAsiaTheme="minorEastAsia" w:hAnsi="Times New Roman" w:cs="Times New Roman"/>
                <w:spacing w:val="-20"/>
                <w:sz w:val="18"/>
                <w:szCs w:val="18"/>
              </w:rPr>
              <w:t>электронной</w:t>
            </w:r>
            <w:r>
              <w:rPr>
                <w:rFonts w:ascii="Times New Roman" w:eastAsiaTheme="minorEastAsia" w:hAnsi="Times New Roman" w:cs="Times New Roman"/>
                <w:sz w:val="18"/>
                <w:szCs w:val="18"/>
              </w:rPr>
              <w:t xml:space="preserve"> форме, по </w:t>
            </w:r>
            <w:r>
              <w:rPr>
                <w:rFonts w:ascii="Times New Roman" w:eastAsiaTheme="minorEastAsia" w:hAnsi="Times New Roman" w:cs="Times New Roman"/>
                <w:spacing w:val="-20"/>
                <w:sz w:val="18"/>
                <w:szCs w:val="18"/>
              </w:rPr>
              <w:t>результатам</w:t>
            </w:r>
            <w:r>
              <w:rPr>
                <w:rFonts w:ascii="Times New Roman" w:eastAsiaTheme="minorEastAsia" w:hAnsi="Times New Roman" w:cs="Times New Roman"/>
                <w:sz w:val="18"/>
                <w:szCs w:val="18"/>
              </w:rPr>
              <w:t xml:space="preserve"> которых заключены расходные договоры, к общему количеству </w:t>
            </w:r>
            <w:r>
              <w:rPr>
                <w:rFonts w:ascii="Times New Roman" w:eastAsiaTheme="minorEastAsia" w:hAnsi="Times New Roman" w:cs="Times New Roman"/>
                <w:spacing w:val="-20"/>
                <w:sz w:val="18"/>
                <w:szCs w:val="18"/>
              </w:rPr>
              <w:t>закупочных</w:t>
            </w:r>
            <w:r>
              <w:rPr>
                <w:rFonts w:ascii="Times New Roman" w:eastAsiaTheme="minorEastAsia" w:hAnsi="Times New Roman" w:cs="Times New Roman"/>
                <w:sz w:val="18"/>
                <w:szCs w:val="18"/>
              </w:rPr>
              <w:t xml:space="preserve"> процедур (</w:t>
            </w:r>
            <w:r>
              <w:rPr>
                <w:rFonts w:ascii="Times New Roman" w:eastAsiaTheme="minorEastAsia" w:hAnsi="Times New Roman" w:cs="Times New Roman"/>
                <w:spacing w:val="-20"/>
                <w:sz w:val="18"/>
                <w:szCs w:val="18"/>
              </w:rPr>
              <w:t>конкурентных</w:t>
            </w:r>
            <w:r>
              <w:rPr>
                <w:rFonts w:ascii="Times New Roman" w:eastAsiaTheme="minorEastAsia" w:hAnsi="Times New Roman" w:cs="Times New Roman"/>
                <w:sz w:val="18"/>
                <w:szCs w:val="18"/>
              </w:rPr>
              <w:t xml:space="preserve"> и неконкурентных), по </w:t>
            </w:r>
            <w:r>
              <w:rPr>
                <w:rFonts w:ascii="Times New Roman" w:eastAsiaTheme="minorEastAsia" w:hAnsi="Times New Roman" w:cs="Times New Roman"/>
                <w:spacing w:val="-20"/>
                <w:sz w:val="18"/>
                <w:szCs w:val="18"/>
              </w:rPr>
              <w:t>результатам</w:t>
            </w:r>
            <w:r>
              <w:rPr>
                <w:rFonts w:ascii="Times New Roman" w:eastAsiaTheme="minorEastAsia" w:hAnsi="Times New Roman" w:cs="Times New Roman"/>
                <w:sz w:val="18"/>
                <w:szCs w:val="18"/>
              </w:rPr>
              <w:t xml:space="preserve"> которых заключены расходные договоры</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57" w:right="-57" w:firstLine="57"/>
              <w:jc w:val="center"/>
              <w:rPr>
                <w:rFonts w:ascii="Times New Roman" w:hAnsi="Times New Roman" w:cs="Times New Roman"/>
                <w:sz w:val="21"/>
                <w:szCs w:val="21"/>
              </w:rPr>
            </w:pPr>
            <w:r>
              <w:rPr>
                <w:rFonts w:ascii="Times New Roman" w:eastAsiaTheme="minorEastAsia" w:hAnsi="Times New Roman" w:cs="Times New Roman"/>
                <w:spacing w:val="-20"/>
                <w:sz w:val="18"/>
                <w:szCs w:val="18"/>
              </w:rPr>
              <w:t>Генеральный директор</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56,0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pStyle w:val="afd"/>
              <w:spacing w:after="0"/>
              <w:ind w:left="-85" w:right="-85"/>
              <w:contextualSpacing/>
              <w:jc w:val="center"/>
              <w:rPr>
                <w:sz w:val="22"/>
                <w:szCs w:val="22"/>
              </w:rPr>
            </w:pPr>
            <w:r>
              <w:rPr>
                <w:sz w:val="18"/>
                <w:szCs w:val="18"/>
              </w:rPr>
              <w:t>56,2</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60,0</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64,0</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rPr>
                <w:rFonts w:ascii="Times New Roman" w:hAnsi="Times New Roman" w:cs="Times New Roman"/>
                <w:sz w:val="21"/>
                <w:szCs w:val="21"/>
              </w:rPr>
            </w:pPr>
            <w:r>
              <w:rPr>
                <w:rFonts w:ascii="Times New Roman" w:eastAsia="Times New Roman" w:hAnsi="Times New Roman" w:cs="Times New Roman"/>
                <w:bCs/>
                <w:sz w:val="18"/>
                <w:szCs w:val="18"/>
              </w:rPr>
              <w:t xml:space="preserve">Количество </w:t>
            </w:r>
            <w:r>
              <w:rPr>
                <w:rFonts w:ascii="Times New Roman" w:eastAsiaTheme="minorEastAsia" w:hAnsi="Times New Roman" w:cs="Times New Roman"/>
                <w:spacing w:val="-20"/>
                <w:sz w:val="18"/>
                <w:szCs w:val="18"/>
              </w:rPr>
              <w:t>замечаний (ошибок) к ведению бухгалтерского учета в</w:t>
            </w:r>
            <w:r>
              <w:rPr>
                <w:rFonts w:ascii="Times New Roman" w:eastAsia="Times New Roman" w:hAnsi="Times New Roman" w:cs="Times New Roman"/>
                <w:bCs/>
                <w:sz w:val="18"/>
                <w:szCs w:val="18"/>
              </w:rPr>
              <w:t xml:space="preserve"> организации, выявленных аудитором и ревизионной комиссией при </w:t>
            </w:r>
            <w:r>
              <w:rPr>
                <w:rFonts w:ascii="Times New Roman" w:eastAsiaTheme="minorEastAsia" w:hAnsi="Times New Roman" w:cs="Times New Roman"/>
                <w:spacing w:val="-20"/>
                <w:sz w:val="18"/>
                <w:szCs w:val="18"/>
              </w:rPr>
              <w:t>проведении</w:t>
            </w:r>
            <w:r>
              <w:rPr>
                <w:rFonts w:ascii="Times New Roman" w:eastAsia="Times New Roman" w:hAnsi="Times New Roman" w:cs="Times New Roman"/>
                <w:bCs/>
                <w:sz w:val="18"/>
                <w:szCs w:val="18"/>
              </w:rPr>
              <w:t xml:space="preserve"> проверок по </w:t>
            </w:r>
            <w:r>
              <w:rPr>
                <w:rFonts w:ascii="Times New Roman" w:eastAsiaTheme="minorEastAsia" w:hAnsi="Times New Roman" w:cs="Times New Roman"/>
                <w:spacing w:val="-20"/>
                <w:sz w:val="18"/>
                <w:szCs w:val="18"/>
              </w:rPr>
              <w:t>итогам отчетного периода</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imes New Roman"/>
                <w:strike/>
                <w:sz w:val="21"/>
                <w:szCs w:val="21"/>
              </w:rPr>
            </w:pPr>
            <w:r>
              <w:rPr>
                <w:rFonts w:ascii="Times New Roman" w:eastAsia="Times New Roman" w:hAnsi="Times New Roman" w:cs="Times New Roman"/>
                <w:sz w:val="18"/>
                <w:szCs w:val="18"/>
              </w:rPr>
              <w:t xml:space="preserve">При оценке выполнения </w:t>
            </w:r>
            <w:r>
              <w:rPr>
                <w:rFonts w:ascii="Times New Roman" w:eastAsiaTheme="minorEastAsia" w:hAnsi="Times New Roman" w:cs="Times New Roman"/>
                <w:spacing w:val="-20"/>
                <w:sz w:val="18"/>
                <w:szCs w:val="18"/>
              </w:rPr>
              <w:t>показателя</w:t>
            </w:r>
            <w:r>
              <w:rPr>
                <w:rFonts w:ascii="Times New Roman" w:eastAsia="Times New Roman" w:hAnsi="Times New Roman" w:cs="Times New Roman"/>
                <w:sz w:val="18"/>
                <w:szCs w:val="18"/>
              </w:rPr>
              <w:t xml:space="preserve"> учитываются замечания (</w:t>
            </w:r>
            <w:r>
              <w:rPr>
                <w:rFonts w:ascii="Times New Roman" w:eastAsiaTheme="minorEastAsia" w:hAnsi="Times New Roman" w:cs="Times New Roman"/>
                <w:spacing w:val="-20"/>
                <w:sz w:val="18"/>
                <w:szCs w:val="18"/>
              </w:rPr>
              <w:t>ошибки</w:t>
            </w:r>
            <w:r>
              <w:rPr>
                <w:rFonts w:ascii="Times New Roman" w:eastAsia="Times New Roman" w:hAnsi="Times New Roman" w:cs="Times New Roman"/>
                <w:sz w:val="18"/>
                <w:szCs w:val="18"/>
              </w:rPr>
              <w:t xml:space="preserve">) в части ведения бухгалтерского учета и составления отчетности, замечания в части исполнения законодательства РФ о налогах и сборах, а также учитывается </w:t>
            </w:r>
            <w:r>
              <w:rPr>
                <w:rFonts w:ascii="Times New Roman" w:eastAsia="Times New Roman" w:hAnsi="Times New Roman" w:cs="Times New Roman"/>
                <w:spacing w:val="-20"/>
                <w:sz w:val="18"/>
                <w:szCs w:val="18"/>
              </w:rPr>
              <w:t>уровень существенности, который</w:t>
            </w:r>
            <w:r>
              <w:rPr>
                <w:rFonts w:ascii="Times New Roman" w:eastAsia="Times New Roman" w:hAnsi="Times New Roman" w:cs="Times New Roman"/>
                <w:sz w:val="18"/>
                <w:szCs w:val="18"/>
              </w:rPr>
              <w:t xml:space="preserve"> устанавливается стандартами аудиторской деятельности</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Главный бухгалтер - начальник департамента бухгалтерского и налогового учета и отчетности;</w:t>
            </w:r>
          </w:p>
          <w:p w:rsidR="00D602D4" w:rsidRDefault="000B4C86">
            <w:pPr>
              <w:ind w:left="-57" w:right="-57" w:firstLine="57"/>
              <w:jc w:val="center"/>
              <w:rPr>
                <w:rFonts w:ascii="Times New Roman" w:hAnsi="Times New Roman" w:cs="Times New Roman"/>
                <w:spacing w:val="-20"/>
                <w:sz w:val="21"/>
                <w:szCs w:val="21"/>
              </w:rPr>
            </w:pPr>
            <w:r>
              <w:rPr>
                <w:rFonts w:ascii="Times New Roman" w:eastAsiaTheme="minorEastAsia" w:hAnsi="Times New Roman" w:cs="Times New Roman"/>
                <w:spacing w:val="-20"/>
                <w:sz w:val="18"/>
                <w:szCs w:val="18"/>
              </w:rPr>
              <w:t>Заместитель генерального директора по экономике и финансам</w:t>
            </w:r>
          </w:p>
        </w:tc>
        <w:tc>
          <w:tcPr>
            <w:tcW w:w="42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шт.</w:t>
            </w: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pStyle w:val="afd"/>
              <w:spacing w:after="0" w:line="256" w:lineRule="auto"/>
              <w:ind w:left="-85" w:right="-85"/>
              <w:contextualSpacing/>
              <w:jc w:val="center"/>
              <w:rPr>
                <w:sz w:val="22"/>
                <w:szCs w:val="22"/>
              </w:rPr>
            </w:pPr>
            <w:r>
              <w:rPr>
                <w:sz w:val="18"/>
                <w:szCs w:val="18"/>
              </w:rPr>
              <w:t>0</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0</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0</w:t>
            </w:r>
          </w:p>
        </w:tc>
      </w:tr>
      <w:tr w:rsidR="00D602D4">
        <w:trPr>
          <w:gridAfter w:val="1"/>
          <w:wAfter w:w="12" w:type="dxa"/>
          <w:trHeight w:val="20"/>
        </w:trPr>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rPr>
                <w:rFonts w:ascii="Times New Roman" w:hAnsi="Times New Roman" w:cs="Times New Roman"/>
                <w:bCs/>
              </w:rPr>
            </w:pPr>
            <w:r>
              <w:rPr>
                <w:rFonts w:ascii="Times New Roman" w:eastAsia="Times New Roman" w:hAnsi="Times New Roman" w:cs="Times New Roman"/>
                <w:bCs/>
                <w:sz w:val="18"/>
                <w:szCs w:val="18"/>
              </w:rPr>
              <w:t>Эффективность реализации дополнительных услуг</w:t>
            </w:r>
          </w:p>
        </w:tc>
        <w:tc>
          <w:tcPr>
            <w:tcW w:w="4848" w:type="dxa"/>
            <w:tcBorders>
              <w:top w:val="single" w:sz="4" w:space="0" w:color="000000"/>
              <w:left w:val="single" w:sz="4" w:space="0" w:color="000000"/>
              <w:bottom w:val="single" w:sz="4" w:space="0" w:color="000000"/>
              <w:right w:val="single" w:sz="4" w:space="0" w:color="000000"/>
            </w:tcBorders>
          </w:tcPr>
          <w:p w:rsidR="00D602D4" w:rsidRDefault="000B4C86">
            <w:pPr>
              <w:ind w:left="-57" w:right="-57"/>
              <w:contextualSpacing/>
              <w:jc w:val="both"/>
              <w:rPr>
                <w:rFonts w:ascii="Times New Roman" w:hAnsi="Times New Roman" w:cstheme="minorHAnsi"/>
                <w:sz w:val="21"/>
                <w:szCs w:val="21"/>
              </w:rPr>
            </w:pPr>
            <w:r>
              <w:rPr>
                <w:rFonts w:ascii="Times New Roman" w:eastAsia="Times New Roman" w:hAnsi="Times New Roman" w:cs="Times New Roman"/>
                <w:sz w:val="18"/>
                <w:szCs w:val="18"/>
              </w:rPr>
              <w:t xml:space="preserve">Показатель </w:t>
            </w:r>
            <w:r>
              <w:rPr>
                <w:rFonts w:ascii="Times New Roman" w:eastAsiaTheme="minorEastAsia" w:hAnsi="Times New Roman" w:cs="Times New Roman"/>
                <w:spacing w:val="-20"/>
                <w:sz w:val="18"/>
                <w:szCs w:val="18"/>
              </w:rPr>
              <w:t>оценивает</w:t>
            </w:r>
            <w:r>
              <w:rPr>
                <w:rFonts w:ascii="Times New Roman" w:eastAsia="Times New Roman" w:hAnsi="Times New Roman" w:cs="Times New Roman"/>
                <w:sz w:val="18"/>
                <w:szCs w:val="18"/>
              </w:rPr>
              <w:t xml:space="preserve"> достижение плановой выручки от реализации дополнительных услуг прочей </w:t>
            </w:r>
            <w:r>
              <w:rPr>
                <w:rFonts w:ascii="Times New Roman" w:eastAsiaTheme="minorEastAsia" w:hAnsi="Times New Roman" w:cs="Times New Roman"/>
                <w:spacing w:val="-20"/>
                <w:sz w:val="18"/>
                <w:szCs w:val="18"/>
              </w:rPr>
              <w:t>деятельности</w:t>
            </w:r>
            <w:r>
              <w:rPr>
                <w:rFonts w:ascii="Times New Roman" w:eastAsia="Times New Roman" w:hAnsi="Times New Roman" w:cs="Times New Roman"/>
                <w:sz w:val="18"/>
                <w:szCs w:val="18"/>
              </w:rPr>
              <w:t xml:space="preserve"> и </w:t>
            </w:r>
            <w:r>
              <w:rPr>
                <w:rFonts w:ascii="Times New Roman" w:eastAsiaTheme="minorEastAsia" w:hAnsi="Times New Roman" w:cs="Times New Roman"/>
                <w:spacing w:val="-20"/>
                <w:sz w:val="18"/>
                <w:szCs w:val="18"/>
              </w:rPr>
              <w:t>достижение</w:t>
            </w:r>
            <w:r>
              <w:rPr>
                <w:rFonts w:ascii="Times New Roman" w:eastAsia="Times New Roman" w:hAnsi="Times New Roman" w:cs="Times New Roman"/>
                <w:sz w:val="18"/>
                <w:szCs w:val="18"/>
              </w:rPr>
              <w:t xml:space="preserve"> плановой валовой прибыли от реализации дополнительных </w:t>
            </w:r>
            <w:r>
              <w:rPr>
                <w:rFonts w:ascii="Times New Roman" w:eastAsiaTheme="minorEastAsia" w:hAnsi="Times New Roman" w:cs="Times New Roman"/>
                <w:spacing w:val="-20"/>
                <w:sz w:val="18"/>
                <w:szCs w:val="18"/>
              </w:rPr>
              <w:t xml:space="preserve">услуг </w:t>
            </w:r>
            <w:r>
              <w:rPr>
                <w:rFonts w:ascii="Times New Roman" w:eastAsia="Times New Roman" w:hAnsi="Times New Roman" w:cs="Times New Roman"/>
                <w:sz w:val="18"/>
                <w:szCs w:val="18"/>
              </w:rPr>
              <w:t>прочей</w:t>
            </w:r>
            <w:r>
              <w:rPr>
                <w:rFonts w:ascii="Times New Roman" w:eastAsiaTheme="minorEastAsia" w:hAnsi="Times New Roman" w:cs="Times New Roman"/>
                <w:spacing w:val="-20"/>
                <w:sz w:val="18"/>
                <w:szCs w:val="18"/>
              </w:rPr>
              <w:t xml:space="preserve"> деятельности за</w:t>
            </w:r>
            <w:r>
              <w:rPr>
                <w:rFonts w:ascii="Times New Roman" w:eastAsia="Times New Roman" w:hAnsi="Times New Roman" w:cs="Times New Roman"/>
                <w:sz w:val="18"/>
                <w:szCs w:val="18"/>
              </w:rPr>
              <w:t xml:space="preserve"> отчетный период</w:t>
            </w:r>
          </w:p>
        </w:tc>
        <w:tc>
          <w:tcPr>
            <w:tcW w:w="1844"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left="-57" w:right="-57" w:firstLine="57"/>
              <w:jc w:val="center"/>
              <w:rPr>
                <w:rFonts w:ascii="Times New Roman" w:hAnsi="Times New Roman" w:cs="Times New Roman"/>
                <w:sz w:val="21"/>
                <w:szCs w:val="21"/>
              </w:rPr>
            </w:pPr>
            <w:r>
              <w:rPr>
                <w:rFonts w:ascii="Times New Roman" w:eastAsiaTheme="minorEastAsia" w:hAnsi="Times New Roman" w:cs="Times New Roman"/>
                <w:spacing w:val="-20"/>
                <w:sz w:val="18"/>
                <w:szCs w:val="18"/>
              </w:rPr>
              <w:t>Генеральный директор</w:t>
            </w:r>
          </w:p>
        </w:tc>
        <w:tc>
          <w:tcPr>
            <w:tcW w:w="424" w:type="dxa"/>
            <w:tcBorders>
              <w:top w:val="single" w:sz="4" w:space="0" w:color="000000"/>
              <w:left w:val="single" w:sz="4" w:space="0" w:color="000000"/>
              <w:bottom w:val="single" w:sz="4" w:space="0" w:color="000000"/>
              <w:right w:val="single" w:sz="4" w:space="0" w:color="000000"/>
            </w:tcBorders>
          </w:tcPr>
          <w:p w:rsidR="00D602D4" w:rsidRDefault="00D602D4">
            <w:pPr>
              <w:ind w:left="-85" w:right="-85"/>
              <w:contextualSpacing/>
              <w:jc w:val="center"/>
              <w:rPr>
                <w:rFonts w:ascii="Times New Roman" w:hAnsi="Times New Roman" w:cs="Times New Roman"/>
              </w:rPr>
            </w:pPr>
          </w:p>
        </w:tc>
        <w:tc>
          <w:tcPr>
            <w:tcW w:w="1105"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100%</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104%</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100%, достигнут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hAnsi="Times New Roman"/>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100%</w:t>
            </w:r>
          </w:p>
        </w:tc>
        <w:tc>
          <w:tcPr>
            <w:tcW w:w="1133" w:type="dxa"/>
            <w:tcBorders>
              <w:top w:val="single" w:sz="4" w:space="0" w:color="000000"/>
              <w:left w:val="single" w:sz="4" w:space="0" w:color="000000"/>
              <w:bottom w:val="single" w:sz="4" w:space="0" w:color="000000"/>
              <w:right w:val="single" w:sz="4" w:space="0" w:color="000000"/>
            </w:tcBorders>
          </w:tcPr>
          <w:p w:rsidR="00D602D4" w:rsidRDefault="000B4C86">
            <w:pPr>
              <w:ind w:left="-85" w:right="-85"/>
              <w:contextualSpacing/>
              <w:jc w:val="center"/>
              <w:rPr>
                <w:rFonts w:ascii="Times New Roman" w:hAnsi="Times New Roman" w:cs="Times New Roman"/>
              </w:rPr>
            </w:pPr>
            <w:r>
              <w:rPr>
                <w:rFonts w:ascii="Times New Roman" w:eastAsia="Times New Roman" w:hAnsi="Times New Roman" w:cs="Times New Roman"/>
                <w:sz w:val="18"/>
                <w:szCs w:val="18"/>
              </w:rPr>
              <w:t>100%</w:t>
            </w:r>
          </w:p>
        </w:tc>
      </w:tr>
    </w:tbl>
    <w:p w:rsidR="00D602D4" w:rsidRDefault="00D602D4"/>
    <w:p w:rsidR="00D602D4" w:rsidRDefault="000B4C86">
      <w:r>
        <w:br/>
      </w:r>
    </w:p>
    <w:p w:rsidR="00D602D4" w:rsidRDefault="00D602D4"/>
    <w:p w:rsidR="00D602D4" w:rsidRDefault="00D602D4"/>
    <w:p w:rsidR="00D602D4" w:rsidRDefault="00D602D4">
      <w:pPr>
        <w:spacing w:after="0" w:line="240" w:lineRule="auto"/>
        <w:rPr>
          <w:rFonts w:ascii="Times New Roman" w:eastAsia="Times New Roman" w:hAnsi="Times New Roman" w:cs="Times New Roman"/>
          <w:b/>
          <w:bCs/>
          <w:sz w:val="26"/>
          <w:szCs w:val="26"/>
        </w:rPr>
        <w:sectPr w:rsidR="00D602D4">
          <w:headerReference w:type="default" r:id="rId40"/>
          <w:footerReference w:type="default" r:id="rId41"/>
          <w:footerReference w:type="first" r:id="rId42"/>
          <w:pgSz w:w="16838" w:h="11906" w:orient="landscape"/>
          <w:pgMar w:top="1276" w:right="567" w:bottom="851" w:left="425" w:header="720" w:footer="1825" w:gutter="0"/>
          <w:cols w:space="720"/>
          <w:titlePg/>
          <w:docGrid w:linePitch="360"/>
        </w:sectPr>
      </w:pPr>
    </w:p>
    <w:p w:rsidR="00D602D4" w:rsidRDefault="000B4C86">
      <w:pPr>
        <w:pStyle w:val="13"/>
        <w:rPr>
          <w:rFonts w:ascii="Times New Roman" w:eastAsia="Times New Roman" w:hAnsi="Times New Roman" w:cs="Times New Roman"/>
          <w:b/>
          <w:bCs/>
          <w:color w:val="000000" w:themeColor="text1"/>
          <w:sz w:val="26"/>
          <w:szCs w:val="26"/>
        </w:rPr>
      </w:pPr>
      <w:bookmarkStart w:id="25" w:name="_Toc26"/>
      <w:r>
        <w:rPr>
          <w:rFonts w:ascii="Times New Roman" w:eastAsia="Times New Roman" w:hAnsi="Times New Roman" w:cs="Times New Roman"/>
          <w:b/>
          <w:bCs/>
          <w:color w:val="000000" w:themeColor="text1"/>
          <w:sz w:val="26"/>
          <w:szCs w:val="26"/>
        </w:rPr>
        <w:lastRenderedPageBreak/>
        <w:t>2.5. Ключевые риски</w:t>
      </w:r>
      <w:bookmarkEnd w:id="25"/>
    </w:p>
    <w:p w:rsidR="00D602D4" w:rsidRDefault="00D602D4">
      <w:pPr>
        <w:spacing w:after="0" w:line="240" w:lineRule="auto"/>
        <w:rPr>
          <w:rFonts w:ascii="Times New Roman" w:eastAsia="Times New Roman" w:hAnsi="Times New Roman" w:cs="Times New Roman"/>
          <w:b/>
          <w:bCs/>
          <w:sz w:val="26"/>
          <w:szCs w:val="26"/>
        </w:rPr>
      </w:pPr>
    </w:p>
    <w:p w:rsidR="00D602D4" w:rsidRDefault="000B4C86">
      <w:pPr>
        <w:pStyle w:val="ConsPlusNormal"/>
        <w:keepNext/>
        <w:widowControl/>
        <w:tabs>
          <w:tab w:val="left" w:pos="9356"/>
        </w:tabs>
        <w:ind w:firstLine="709"/>
        <w:jc w:val="both"/>
        <w:rPr>
          <w:rFonts w:ascii="Times New Roman" w:hAnsi="Times New Roman" w:cs="Times New Roman"/>
          <w:sz w:val="24"/>
          <w:szCs w:val="24"/>
        </w:rPr>
      </w:pPr>
      <w:r>
        <w:rPr>
          <w:rFonts w:ascii="Times New Roman" w:hAnsi="Times New Roman" w:cs="Times New Roman"/>
          <w:sz w:val="24"/>
          <w:szCs w:val="24"/>
        </w:rPr>
        <w:t>В целях обеспечения устойчивого непрерывного функционирования и развития Общество осуществляет своевременную идентификацию, оценку рисков и разработку мероприятий по управлению ими.</w:t>
      </w:r>
    </w:p>
    <w:p w:rsidR="00D602D4" w:rsidRDefault="000B4C86">
      <w:pPr>
        <w:pStyle w:val="ConsPlusNormal"/>
        <w:keepNext/>
        <w:widowControl/>
        <w:tabs>
          <w:tab w:val="left" w:pos="9356"/>
        </w:tabs>
        <w:ind w:firstLine="709"/>
        <w:jc w:val="both"/>
        <w:rPr>
          <w:rFonts w:ascii="Times New Roman" w:hAnsi="Times New Roman" w:cs="Times New Roman"/>
          <w:sz w:val="24"/>
          <w:szCs w:val="24"/>
        </w:rPr>
      </w:pPr>
      <w:r>
        <w:rPr>
          <w:rFonts w:ascii="Times New Roman" w:hAnsi="Times New Roman" w:cs="Times New Roman"/>
          <w:sz w:val="24"/>
          <w:szCs w:val="24"/>
        </w:rPr>
        <w:t>Управление рисками рассматривается в Обществе как неотъемлемая часть стратегического и операционного управления, бизнес-планирования и представляет собой комплекс мер, реализуемых на всех уровнях управления, ориентированных, в первую очередь, на выявление потенциальных рисков до их возникновения и управление ими.</w:t>
      </w:r>
      <w:r>
        <w:rPr>
          <w:rFonts w:ascii="Arial Narrow" w:hAnsi="Arial Narrow"/>
          <w:bCs/>
          <w:sz w:val="24"/>
          <w:szCs w:val="24"/>
        </w:rPr>
        <w:t xml:space="preserve"> </w:t>
      </w:r>
    </w:p>
    <w:p w:rsidR="00D602D4" w:rsidRDefault="000B4C86">
      <w:pPr>
        <w:pStyle w:val="ConsPlusNormal"/>
        <w:keepNext/>
        <w:widowControl/>
        <w:tabs>
          <w:tab w:val="left" w:pos="9356"/>
        </w:tabs>
        <w:ind w:firstLine="709"/>
        <w:jc w:val="both"/>
        <w:rPr>
          <w:rFonts w:ascii="Times New Roman" w:hAnsi="Times New Roman" w:cs="Times New Roman"/>
          <w:sz w:val="24"/>
          <w:szCs w:val="24"/>
        </w:rPr>
      </w:pPr>
      <w:r>
        <w:rPr>
          <w:rFonts w:ascii="Times New Roman" w:hAnsi="Times New Roman" w:cs="Times New Roman"/>
          <w:sz w:val="24"/>
          <w:szCs w:val="24"/>
        </w:rPr>
        <w:t>В сложившихся условиях осуществления финансово-хозяйственной деятельности менеджмент Общества при принятии управленческих решений на всех уровнях управления с учетом имеющегося опыта и профессиональных навыков проводит анализ всех потенциально возможных рисковых событий.</w:t>
      </w:r>
    </w:p>
    <w:p w:rsidR="00D602D4" w:rsidRDefault="000B4C86">
      <w:pPr>
        <w:keepNext/>
        <w:tabs>
          <w:tab w:val="left" w:pos="992"/>
        </w:tabs>
        <w:spacing w:after="0" w:line="240" w:lineRule="auto"/>
        <w:ind w:firstLine="709"/>
        <w:rPr>
          <w:rFonts w:ascii="Times New Roman" w:eastAsiaTheme="minorEastAsia" w:hAnsi="Times New Roman" w:cs="Times New Roman"/>
          <w:b/>
          <w:bCs/>
          <w:sz w:val="24"/>
          <w:szCs w:val="24"/>
          <w:highlight w:val="white"/>
        </w:rPr>
      </w:pPr>
      <w:r>
        <w:rPr>
          <w:rFonts w:ascii="Times New Roman" w:hAnsi="Times New Roman" w:cs="Times New Roman"/>
          <w:b/>
          <w:sz w:val="24"/>
          <w:szCs w:val="24"/>
        </w:rPr>
        <w:t xml:space="preserve">Сведения об утверждении предпочтительного риска (риск-аппетита) Общества, целевых показателях предпочтительного риска (риск-аппетита) </w:t>
      </w:r>
    </w:p>
    <w:p w:rsidR="00D602D4" w:rsidRDefault="000B4C86">
      <w:pPr>
        <w:keepNext/>
        <w:spacing w:after="0" w:line="240" w:lineRule="auto"/>
        <w:ind w:firstLine="709"/>
        <w:jc w:val="both"/>
        <w:rPr>
          <w:rFonts w:ascii="Times New Roman" w:eastAsiaTheme="minorEastAsia" w:hAnsi="Times New Roman" w:cs="Times New Roman"/>
          <w:color w:val="000000"/>
          <w:sz w:val="24"/>
          <w:szCs w:val="24"/>
        </w:rPr>
      </w:pPr>
      <w:r>
        <w:rPr>
          <w:rFonts w:ascii="Times New Roman" w:hAnsi="Times New Roman" w:cs="Times New Roman"/>
          <w:bCs/>
          <w:color w:val="000000"/>
          <w:sz w:val="24"/>
          <w:szCs w:val="24"/>
        </w:rPr>
        <w:t>Советом директоров (протокол от 10.11.2023 № 505/23) утвержден предпочтительный риск (риск-аппетит) ПАО «Россети Сибирь». Предпочтительный риск (риск-аппетит) Общества представляет собой предельно допустимый уровень рисков, который Общество считает приемлемым в процессе достижения целей и готово поддерживать.</w:t>
      </w:r>
    </w:p>
    <w:p w:rsidR="00D602D4" w:rsidRDefault="000B4C86">
      <w:pPr>
        <w:keepNext/>
        <w:spacing w:after="0" w:line="240" w:lineRule="auto"/>
        <w:jc w:val="right"/>
        <w:rPr>
          <w:rFonts w:ascii="Times New Roman" w:hAnsi="Times New Roman" w:cs="Times New Roman"/>
          <w:sz w:val="24"/>
          <w:szCs w:val="24"/>
        </w:rPr>
      </w:pPr>
      <w:r>
        <w:rPr>
          <w:rFonts w:ascii="Times New Roman" w:hAnsi="Times New Roman" w:cs="Times New Roman"/>
          <w:sz w:val="24"/>
          <w:szCs w:val="24"/>
        </w:rPr>
        <w:t>Таблица 8</w:t>
      </w:r>
    </w:p>
    <w:p w:rsidR="00D602D4" w:rsidRDefault="000B4C86">
      <w:pPr>
        <w:keepNext/>
        <w:spacing w:after="0" w:line="240" w:lineRule="auto"/>
        <w:jc w:val="center"/>
        <w:rPr>
          <w:rFonts w:ascii="Times New Roman" w:hAnsi="Times New Roman" w:cs="Times New Roman"/>
          <w:b/>
          <w:sz w:val="20"/>
          <w:szCs w:val="20"/>
        </w:rPr>
      </w:pPr>
      <w:r>
        <w:rPr>
          <w:rFonts w:ascii="Times New Roman" w:hAnsi="Times New Roman" w:cs="Times New Roman"/>
          <w:b/>
          <w:sz w:val="24"/>
          <w:szCs w:val="24"/>
        </w:rPr>
        <w:t>Предпочтительный риск (риск-аппетит) ПАО «Россети Сибирь»</w:t>
      </w:r>
    </w:p>
    <w:tbl>
      <w:tblPr>
        <w:tblW w:w="97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10"/>
      </w:tblGrid>
      <w:tr w:rsidR="00D602D4">
        <w:trPr>
          <w:trHeight w:val="235"/>
        </w:trPr>
        <w:tc>
          <w:tcPr>
            <w:tcW w:w="9710" w:type="dxa"/>
            <w:shd w:val="clear" w:color="FFFFFF" w:fill="FFFFFF"/>
            <w:vAlign w:val="center"/>
          </w:tcPr>
          <w:p w:rsidR="00D602D4" w:rsidRDefault="000B4C86">
            <w:pPr>
              <w:keepNext/>
              <w:spacing w:after="0"/>
              <w:rPr>
                <w:rFonts w:ascii="Times New Roman" w:hAnsi="Times New Roman" w:cs="Times New Roman"/>
                <w:b/>
                <w:sz w:val="20"/>
                <w:szCs w:val="20"/>
              </w:rPr>
            </w:pPr>
            <w:r>
              <w:rPr>
                <w:rFonts w:ascii="Times New Roman" w:hAnsi="Times New Roman" w:cs="Times New Roman"/>
                <w:b/>
                <w:sz w:val="20"/>
                <w:szCs w:val="20"/>
              </w:rPr>
              <w:t>Целевой показатель предпочтительного риска (риск-аппетита)</w:t>
            </w:r>
          </w:p>
        </w:tc>
      </w:tr>
      <w:tr w:rsidR="00D602D4">
        <w:trPr>
          <w:trHeight w:val="235"/>
        </w:trPr>
        <w:tc>
          <w:tcPr>
            <w:tcW w:w="9710" w:type="dxa"/>
            <w:shd w:val="clear" w:color="FFFFFF" w:fill="FFFFFF"/>
            <w:vAlign w:val="center"/>
          </w:tcPr>
          <w:p w:rsidR="00D602D4" w:rsidRDefault="000B4C86">
            <w:pPr>
              <w:pStyle w:val="ac"/>
              <w:keepNext/>
              <w:spacing w:after="0" w:line="259" w:lineRule="auto"/>
              <w:ind w:left="0"/>
              <w:contextualSpacing w:val="0"/>
              <w:rPr>
                <w:rFonts w:ascii="Times New Roman" w:hAnsi="Times New Roman" w:cs="Times New Roman"/>
                <w:sz w:val="20"/>
                <w:szCs w:val="20"/>
              </w:rPr>
            </w:pPr>
            <w:r>
              <w:rPr>
                <w:rFonts w:ascii="Times New Roman" w:hAnsi="Times New Roman" w:cs="Times New Roman"/>
                <w:sz w:val="20"/>
                <w:szCs w:val="20"/>
              </w:rPr>
              <w:t>ПАО «Россети Сибирь» обеспечивает надежное и качественное электроснабжение</w:t>
            </w:r>
          </w:p>
        </w:tc>
      </w:tr>
      <w:tr w:rsidR="00D602D4">
        <w:trPr>
          <w:trHeight w:val="244"/>
        </w:trPr>
        <w:tc>
          <w:tcPr>
            <w:tcW w:w="9710" w:type="dxa"/>
            <w:shd w:val="clear" w:color="FFFFFF" w:fill="FFFFFF"/>
            <w:vAlign w:val="center"/>
          </w:tcPr>
          <w:p w:rsidR="00D602D4" w:rsidRDefault="000B4C86">
            <w:pPr>
              <w:pStyle w:val="ac"/>
              <w:keepNext/>
              <w:spacing w:after="0" w:line="259" w:lineRule="auto"/>
              <w:ind w:left="0"/>
              <w:contextualSpacing w:val="0"/>
              <w:rPr>
                <w:rFonts w:ascii="Times New Roman" w:hAnsi="Times New Roman" w:cs="Times New Roman"/>
                <w:sz w:val="20"/>
                <w:szCs w:val="20"/>
              </w:rPr>
            </w:pPr>
            <w:r>
              <w:rPr>
                <w:rFonts w:ascii="Times New Roman" w:hAnsi="Times New Roman" w:cs="Times New Roman"/>
                <w:sz w:val="20"/>
                <w:szCs w:val="20"/>
              </w:rPr>
              <w:t>ПАО «Россети Сибирь» обеспечивает реализацию обязательств Политики в области охраны труда, развитие и совершенствование системы управления охраной труда и культуры безопасности</w:t>
            </w:r>
          </w:p>
        </w:tc>
      </w:tr>
      <w:tr w:rsidR="00D602D4">
        <w:trPr>
          <w:trHeight w:val="244"/>
        </w:trPr>
        <w:tc>
          <w:tcPr>
            <w:tcW w:w="9710" w:type="dxa"/>
            <w:shd w:val="clear" w:color="FFFFFF" w:fill="FFFFFF"/>
            <w:vAlign w:val="center"/>
          </w:tcPr>
          <w:p w:rsidR="00D602D4" w:rsidRDefault="000B4C86">
            <w:pPr>
              <w:pStyle w:val="ac"/>
              <w:keepNext/>
              <w:spacing w:after="0" w:line="259" w:lineRule="auto"/>
              <w:ind w:left="0"/>
              <w:contextualSpacing w:val="0"/>
              <w:rPr>
                <w:rFonts w:ascii="Times New Roman" w:hAnsi="Times New Roman" w:cs="Times New Roman"/>
                <w:sz w:val="20"/>
                <w:szCs w:val="20"/>
              </w:rPr>
            </w:pPr>
            <w:r>
              <w:rPr>
                <w:rFonts w:ascii="Times New Roman" w:hAnsi="Times New Roman" w:cs="Times New Roman"/>
                <w:sz w:val="20"/>
                <w:szCs w:val="20"/>
              </w:rPr>
              <w:t>ПАО «Россети Сибирь» обеспечивает развитие и повышение доступности электросетевой инфраструктуры</w:t>
            </w:r>
          </w:p>
        </w:tc>
      </w:tr>
      <w:tr w:rsidR="00D602D4">
        <w:trPr>
          <w:trHeight w:val="244"/>
        </w:trPr>
        <w:tc>
          <w:tcPr>
            <w:tcW w:w="9710" w:type="dxa"/>
            <w:shd w:val="clear" w:color="FFFFFF" w:fill="FFFFFF"/>
            <w:vAlign w:val="center"/>
          </w:tcPr>
          <w:p w:rsidR="00D602D4" w:rsidRDefault="000B4C86">
            <w:pPr>
              <w:pStyle w:val="ac"/>
              <w:keepNext/>
              <w:spacing w:after="0" w:line="259" w:lineRule="auto"/>
              <w:ind w:left="0"/>
              <w:contextualSpacing w:val="0"/>
              <w:rPr>
                <w:rFonts w:ascii="Times New Roman" w:hAnsi="Times New Roman" w:cs="Times New Roman"/>
                <w:sz w:val="20"/>
                <w:szCs w:val="20"/>
              </w:rPr>
            </w:pPr>
            <w:r>
              <w:rPr>
                <w:rFonts w:ascii="Times New Roman" w:hAnsi="Times New Roman" w:cs="Times New Roman"/>
                <w:sz w:val="20"/>
                <w:szCs w:val="20"/>
              </w:rPr>
              <w:t>ПАО «Россети Сибирь» стремится к снижению потерь электроэнергии при ее передаче и распределении</w:t>
            </w:r>
          </w:p>
        </w:tc>
      </w:tr>
      <w:tr w:rsidR="00D602D4">
        <w:trPr>
          <w:trHeight w:val="244"/>
        </w:trPr>
        <w:tc>
          <w:tcPr>
            <w:tcW w:w="9710" w:type="dxa"/>
            <w:shd w:val="clear" w:color="FFFFFF" w:fill="FFFFFF"/>
            <w:vAlign w:val="center"/>
          </w:tcPr>
          <w:p w:rsidR="00D602D4" w:rsidRDefault="000B4C86">
            <w:pPr>
              <w:pStyle w:val="ac"/>
              <w:keepNext/>
              <w:spacing w:after="0" w:line="259" w:lineRule="auto"/>
              <w:ind w:left="0"/>
              <w:contextualSpacing w:val="0"/>
              <w:rPr>
                <w:rFonts w:ascii="Times New Roman" w:hAnsi="Times New Roman" w:cs="Times New Roman"/>
                <w:sz w:val="20"/>
                <w:szCs w:val="20"/>
              </w:rPr>
            </w:pPr>
            <w:r>
              <w:rPr>
                <w:rFonts w:ascii="Times New Roman" w:hAnsi="Times New Roman" w:cs="Times New Roman"/>
                <w:sz w:val="20"/>
                <w:szCs w:val="20"/>
              </w:rPr>
              <w:t>ПАО «Россети Сибирь» стремится к сохранению устойчивого финансового положения</w:t>
            </w:r>
          </w:p>
        </w:tc>
      </w:tr>
      <w:tr w:rsidR="00D602D4">
        <w:trPr>
          <w:trHeight w:val="244"/>
        </w:trPr>
        <w:tc>
          <w:tcPr>
            <w:tcW w:w="9710" w:type="dxa"/>
            <w:shd w:val="clear" w:color="FFFFFF" w:fill="FFFFFF"/>
            <w:vAlign w:val="center"/>
          </w:tcPr>
          <w:p w:rsidR="00D602D4" w:rsidRDefault="000B4C86">
            <w:pPr>
              <w:pStyle w:val="ac"/>
              <w:keepNext/>
              <w:spacing w:after="0" w:line="259" w:lineRule="auto"/>
              <w:ind w:left="0" w:right="-4"/>
              <w:contextualSpacing w:val="0"/>
              <w:rPr>
                <w:rFonts w:ascii="Times New Roman" w:hAnsi="Times New Roman" w:cs="Times New Roman"/>
                <w:sz w:val="20"/>
                <w:szCs w:val="20"/>
              </w:rPr>
            </w:pPr>
            <w:r>
              <w:rPr>
                <w:rFonts w:ascii="Times New Roman" w:hAnsi="Times New Roman" w:cs="Times New Roman"/>
                <w:sz w:val="20"/>
                <w:szCs w:val="20"/>
              </w:rPr>
              <w:t>ПАО «Россети Сибирь» стремится к снижению (минимизации) негативного воздействия на окружающую среду</w:t>
            </w:r>
          </w:p>
        </w:tc>
      </w:tr>
      <w:tr w:rsidR="00D602D4">
        <w:trPr>
          <w:trHeight w:val="244"/>
        </w:trPr>
        <w:tc>
          <w:tcPr>
            <w:tcW w:w="9710" w:type="dxa"/>
            <w:shd w:val="clear" w:color="FFFFFF" w:fill="FFFFFF"/>
            <w:vAlign w:val="center"/>
          </w:tcPr>
          <w:p w:rsidR="00D602D4" w:rsidRDefault="000B4C86">
            <w:pPr>
              <w:pStyle w:val="ac"/>
              <w:keepNext/>
              <w:spacing w:after="0" w:line="259" w:lineRule="auto"/>
              <w:ind w:left="0"/>
              <w:contextualSpacing w:val="0"/>
              <w:rPr>
                <w:rFonts w:ascii="Times New Roman" w:hAnsi="Times New Roman" w:cs="Times New Roman"/>
                <w:sz w:val="20"/>
                <w:szCs w:val="20"/>
              </w:rPr>
            </w:pPr>
            <w:r>
              <w:rPr>
                <w:rFonts w:ascii="Times New Roman" w:hAnsi="Times New Roman" w:cs="Times New Roman"/>
                <w:sz w:val="20"/>
                <w:szCs w:val="20"/>
              </w:rPr>
              <w:t>ПАО «Россети Сибирь» обеспечивает соблюдение прав акционеров</w:t>
            </w:r>
          </w:p>
        </w:tc>
      </w:tr>
      <w:tr w:rsidR="00D602D4">
        <w:trPr>
          <w:trHeight w:val="244"/>
        </w:trPr>
        <w:tc>
          <w:tcPr>
            <w:tcW w:w="9710" w:type="dxa"/>
            <w:shd w:val="clear" w:color="FFFFFF" w:fill="FFFFFF"/>
            <w:vAlign w:val="center"/>
          </w:tcPr>
          <w:p w:rsidR="00D602D4" w:rsidRDefault="000B4C86">
            <w:pPr>
              <w:pStyle w:val="ac"/>
              <w:keepNext/>
              <w:spacing w:after="0" w:line="259" w:lineRule="auto"/>
              <w:ind w:left="0"/>
              <w:contextualSpacing w:val="0"/>
              <w:rPr>
                <w:rFonts w:ascii="Times New Roman" w:hAnsi="Times New Roman" w:cs="Times New Roman"/>
                <w:sz w:val="20"/>
                <w:szCs w:val="20"/>
              </w:rPr>
            </w:pPr>
            <w:r>
              <w:rPr>
                <w:rFonts w:ascii="Times New Roman" w:hAnsi="Times New Roman" w:cs="Times New Roman"/>
                <w:sz w:val="20"/>
                <w:szCs w:val="20"/>
              </w:rPr>
              <w:t>ПАО «Россети Сибирь» не приемлет нарушение требований, установленных законодательством Российской Федерации</w:t>
            </w:r>
          </w:p>
        </w:tc>
      </w:tr>
      <w:tr w:rsidR="00D602D4">
        <w:trPr>
          <w:trHeight w:val="244"/>
        </w:trPr>
        <w:tc>
          <w:tcPr>
            <w:tcW w:w="9710" w:type="dxa"/>
            <w:shd w:val="clear" w:color="FFFFFF" w:fill="FFFFFF"/>
            <w:vAlign w:val="center"/>
          </w:tcPr>
          <w:p w:rsidR="00D602D4" w:rsidRDefault="000B4C86">
            <w:pPr>
              <w:pStyle w:val="ac"/>
              <w:keepNext/>
              <w:spacing w:after="0" w:line="259" w:lineRule="auto"/>
              <w:ind w:left="0"/>
              <w:contextualSpacing w:val="0"/>
              <w:rPr>
                <w:rFonts w:ascii="Times New Roman" w:hAnsi="Times New Roman" w:cs="Times New Roman"/>
                <w:sz w:val="20"/>
                <w:szCs w:val="20"/>
              </w:rPr>
            </w:pPr>
            <w:r>
              <w:rPr>
                <w:rFonts w:ascii="Times New Roman" w:hAnsi="Times New Roman" w:cs="Times New Roman"/>
                <w:sz w:val="20"/>
                <w:szCs w:val="20"/>
              </w:rPr>
              <w:t>ПАО «Россети Сибирь» стремится к обеспечению технологического и инновационного развития путем проведения и внедрения научных разработок</w:t>
            </w:r>
          </w:p>
        </w:tc>
      </w:tr>
      <w:tr w:rsidR="00D602D4">
        <w:trPr>
          <w:trHeight w:val="244"/>
        </w:trPr>
        <w:tc>
          <w:tcPr>
            <w:tcW w:w="9710" w:type="dxa"/>
            <w:shd w:val="clear" w:color="FFFFFF" w:fill="FFFFFF"/>
            <w:vAlign w:val="center"/>
          </w:tcPr>
          <w:p w:rsidR="00D602D4" w:rsidRDefault="000B4C86">
            <w:pPr>
              <w:pStyle w:val="ac"/>
              <w:keepNext/>
              <w:spacing w:after="0" w:line="259" w:lineRule="auto"/>
              <w:ind w:left="0"/>
              <w:contextualSpacing w:val="0"/>
              <w:rPr>
                <w:rFonts w:ascii="Times New Roman" w:hAnsi="Times New Roman" w:cs="Times New Roman"/>
                <w:sz w:val="20"/>
                <w:szCs w:val="20"/>
              </w:rPr>
            </w:pPr>
            <w:r>
              <w:rPr>
                <w:rFonts w:ascii="Times New Roman" w:hAnsi="Times New Roman" w:cs="Times New Roman"/>
                <w:sz w:val="20"/>
                <w:szCs w:val="20"/>
              </w:rPr>
              <w:t>ПАО «Россети Сибирь» обеспечивает развитие кадрового потенциала электросетевого комплекса и поддерживает стабильно высокий уровень обеспеченности персоналом</w:t>
            </w:r>
          </w:p>
        </w:tc>
      </w:tr>
    </w:tbl>
    <w:p w:rsidR="00D602D4" w:rsidRDefault="00D602D4">
      <w:pPr>
        <w:keepNext/>
        <w:tabs>
          <w:tab w:val="left" w:pos="0"/>
          <w:tab w:val="left" w:pos="1276"/>
        </w:tabs>
        <w:spacing w:line="240" w:lineRule="auto"/>
        <w:ind w:left="-142" w:firstLine="709"/>
        <w:rPr>
          <w:rFonts w:ascii="Times New Roman" w:eastAsiaTheme="minorEastAsia" w:hAnsi="Times New Roman"/>
          <w:sz w:val="24"/>
          <w:szCs w:val="24"/>
        </w:rPr>
      </w:pPr>
    </w:p>
    <w:p w:rsidR="00D602D4" w:rsidRDefault="000B4C86">
      <w:pPr>
        <w:keepNext/>
        <w:tabs>
          <w:tab w:val="left" w:pos="993"/>
        </w:tabs>
        <w:spacing w:after="0" w:line="240" w:lineRule="auto"/>
        <w:ind w:right="-143"/>
        <w:rPr>
          <w:rFonts w:ascii="Times New Roman" w:hAnsi="Times New Roman" w:cs="Times New Roman"/>
          <w:b/>
          <w:sz w:val="24"/>
          <w:szCs w:val="24"/>
        </w:rPr>
      </w:pPr>
      <w:r>
        <w:rPr>
          <w:rFonts w:ascii="Times New Roman" w:hAnsi="Times New Roman" w:cs="Times New Roman"/>
          <w:b/>
          <w:sz w:val="24"/>
          <w:szCs w:val="24"/>
        </w:rPr>
        <w:t>Сведения об управлении ключевыми рисками Общества</w:t>
      </w:r>
    </w:p>
    <w:p w:rsidR="00D602D4" w:rsidRDefault="000B4C86">
      <w:pPr>
        <w:keepNext/>
        <w:tabs>
          <w:tab w:val="left" w:pos="1276"/>
        </w:tabs>
        <w:spacing w:after="0" w:line="240" w:lineRule="auto"/>
        <w:ind w:firstLine="709"/>
        <w:jc w:val="both"/>
        <w:rPr>
          <w:rFonts w:ascii="Times New Roman" w:hAnsi="Times New Roman" w:cs="Times New Roman"/>
          <w:bCs/>
          <w:sz w:val="24"/>
          <w:szCs w:val="24"/>
          <w:highlight w:val="white"/>
        </w:rPr>
      </w:pPr>
      <w:r>
        <w:rPr>
          <w:rFonts w:ascii="Times New Roman" w:hAnsi="Times New Roman" w:cs="Times New Roman"/>
          <w:bCs/>
          <w:sz w:val="24"/>
          <w:szCs w:val="24"/>
        </w:rPr>
        <w:t>В Обществе утверждены основополагающие методологические документы в области управления рисками – Пол</w:t>
      </w:r>
      <w:r>
        <w:rPr>
          <w:rFonts w:ascii="Times New Roman" w:hAnsi="Times New Roman" w:cs="Times New Roman"/>
          <w:bCs/>
          <w:sz w:val="24"/>
          <w:szCs w:val="24"/>
          <w:highlight w:val="white"/>
        </w:rPr>
        <w:t>итика управления рисками и внутреннего контроля Общества (утверждена решением Совета директоров от 22.08.2023, протокол от 25.08.2023 № 501/23), а также стандарт организации СО 2.055/0 «</w:t>
      </w:r>
      <w:r>
        <w:rPr>
          <w:rFonts w:ascii="Times New Roman" w:eastAsia="Times New Roman" w:hAnsi="Times New Roman" w:cs="Times New Roman"/>
          <w:sz w:val="24"/>
          <w:szCs w:val="24"/>
          <w:highlight w:val="white"/>
        </w:rPr>
        <w:t xml:space="preserve">Оценка и мониторинг рисков. Методика». </w:t>
      </w:r>
      <w:r>
        <w:rPr>
          <w:rFonts w:ascii="Times New Roman" w:hAnsi="Times New Roman" w:cs="Times New Roman"/>
          <w:bCs/>
          <w:sz w:val="24"/>
          <w:szCs w:val="24"/>
          <w:highlight w:val="white"/>
        </w:rPr>
        <w:t>Решением Правления Общества от 16.01.2024 (протокол от 17.01.2024 №712/24) утвержден реестр рисков Общества на 2024 год, решением Правления Общества от 29.03.2024 (протокол от 01.04.2024 №724/24) утвержден план мероприятий по управлению рисками.</w:t>
      </w:r>
    </w:p>
    <w:p w:rsidR="00D602D4" w:rsidRDefault="000B4C86">
      <w:pPr>
        <w:spacing w:after="0" w:line="240" w:lineRule="auto"/>
        <w:rPr>
          <w:rFonts w:ascii="Times New Roman" w:hAnsi="Times New Roman" w:cs="Times New Roman"/>
          <w:sz w:val="24"/>
          <w:szCs w:val="24"/>
        </w:rPr>
      </w:pPr>
      <w:r>
        <w:rPr>
          <w:rFonts w:ascii="Times New Roman" w:hAnsi="Times New Roman" w:cs="Times New Roman"/>
          <w:bCs/>
          <w:sz w:val="24"/>
          <w:szCs w:val="24"/>
        </w:rPr>
        <w:br w:type="page" w:clear="all"/>
      </w:r>
    </w:p>
    <w:p w:rsidR="00D602D4" w:rsidRDefault="000B4C86">
      <w:pPr>
        <w:pStyle w:val="ConsPlusNormal"/>
        <w:ind w:firstLine="709"/>
        <w:jc w:val="both"/>
        <w:rPr>
          <w:rFonts w:ascii="Times New Roman" w:hAnsi="Times New Roman" w:cs="Times New Roman"/>
          <w:sz w:val="24"/>
          <w:szCs w:val="24"/>
        </w:rPr>
      </w:pPr>
      <w:r>
        <w:rPr>
          <w:rFonts w:ascii="Times New Roman" w:hAnsi="Times New Roman" w:cs="Times New Roman"/>
          <w:bCs/>
          <w:sz w:val="24"/>
          <w:szCs w:val="24"/>
          <w:highlight w:val="white"/>
          <w:lang w:eastAsia="en-US"/>
        </w:rPr>
        <w:lastRenderedPageBreak/>
        <w:t>Оценка рисков осуществляется экспертным методом. По результа</w:t>
      </w:r>
      <w:r>
        <w:rPr>
          <w:rFonts w:ascii="Times New Roman" w:hAnsi="Times New Roman" w:cs="Times New Roman"/>
          <w:bCs/>
          <w:sz w:val="24"/>
          <w:szCs w:val="24"/>
          <w:lang w:eastAsia="en-US"/>
        </w:rPr>
        <w:t>там оценки определяется уровень существенности риска в соответствии с определенными в СО 2.055/0 «</w:t>
      </w:r>
      <w:r>
        <w:rPr>
          <w:rFonts w:ascii="Times New Roman" w:hAnsi="Times New Roman" w:cs="Times New Roman"/>
          <w:sz w:val="24"/>
          <w:szCs w:val="24"/>
          <w:highlight w:val="white"/>
        </w:rPr>
        <w:t>Оценка и мониторинг рисков. Методика»</w:t>
      </w:r>
      <w:r>
        <w:rPr>
          <w:rFonts w:ascii="Times New Roman" w:hAnsi="Times New Roman" w:cs="Times New Roman"/>
          <w:bCs/>
          <w:sz w:val="24"/>
          <w:szCs w:val="24"/>
          <w:lang w:eastAsia="en-US"/>
        </w:rPr>
        <w:t xml:space="preserve"> уровнями существенности: </w:t>
      </w:r>
    </w:p>
    <w:p w:rsidR="00D602D4" w:rsidRDefault="000B4C86">
      <w:pPr>
        <w:widowControl w:val="0"/>
        <w:tabs>
          <w:tab w:val="left" w:pos="318"/>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умеренный – уровень, не оказывающий значительного влияния на деятельность Компании, но подлежащий периодическому мониторингу; </w:t>
      </w:r>
    </w:p>
    <w:p w:rsidR="00D602D4" w:rsidRDefault="000B4C86">
      <w:pPr>
        <w:widowControl w:val="0"/>
        <w:tabs>
          <w:tab w:val="left" w:pos="318"/>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значимый – уровень, не являющийся критичным, но оказывающий существенное влияние на деятельность Компании и подлежащий управлению; </w:t>
      </w:r>
    </w:p>
    <w:p w:rsidR="00D602D4" w:rsidRDefault="000B4C86">
      <w:pPr>
        <w:widowControl w:val="0"/>
        <w:tabs>
          <w:tab w:val="left" w:pos="318"/>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критический – уровень, не приемлемый для Компании и подлежащий приоритетному управлению.</w:t>
      </w:r>
    </w:p>
    <w:p w:rsidR="00D602D4" w:rsidRDefault="000B4C86">
      <w:pPr>
        <w:widowControl w:val="0"/>
        <w:tabs>
          <w:tab w:val="left" w:pos="0"/>
          <w:tab w:val="left" w:pos="1276"/>
        </w:tabs>
        <w:spacing w:after="0" w:line="240" w:lineRule="auto"/>
        <w:ind w:firstLine="567"/>
        <w:jc w:val="both"/>
        <w:rPr>
          <w:rFonts w:ascii="Times New Roman" w:eastAsiaTheme="minorEastAsia" w:hAnsi="Times New Roman"/>
          <w:sz w:val="24"/>
          <w:szCs w:val="24"/>
        </w:rPr>
      </w:pPr>
      <w:r>
        <w:rPr>
          <w:rFonts w:ascii="Times New Roman" w:eastAsiaTheme="minorEastAsia" w:hAnsi="Times New Roman"/>
          <w:sz w:val="24"/>
          <w:szCs w:val="24"/>
          <w:lang w:eastAsia="ru-RU"/>
        </w:rPr>
        <w:t>В 2024 году в Обществе была пересмотрена методология управления рисками, в  связи  с  чем динамика оценки рисков в настоящем годовом отчете не раскрывается.</w:t>
      </w:r>
    </w:p>
    <w:p w:rsidR="00D602D4" w:rsidRDefault="000B4C86">
      <w:pPr>
        <w:pStyle w:val="ConsPlusNormal"/>
        <w:ind w:firstLine="709"/>
        <w:jc w:val="both"/>
        <w:rPr>
          <w:rFonts w:ascii="Times New Roman" w:hAnsi="Times New Roman" w:cs="Times New Roman"/>
          <w:bCs/>
          <w:sz w:val="24"/>
          <w:szCs w:val="24"/>
        </w:rPr>
      </w:pPr>
      <w:r>
        <w:rPr>
          <w:rFonts w:ascii="Times New Roman" w:hAnsi="Times New Roman" w:cs="Times New Roman"/>
          <w:bCs/>
          <w:sz w:val="24"/>
          <w:szCs w:val="24"/>
          <w:lang w:eastAsia="en-US"/>
        </w:rPr>
        <w:t>Ниже представлен перечень наиболее существенных рисков, которые могут влиять на деятельность Общества, а также мероприятия по управлению данными рисками.</w:t>
      </w:r>
    </w:p>
    <w:p w:rsidR="00D602D4" w:rsidRDefault="000B4C86">
      <w:pPr>
        <w:pStyle w:val="ConsPlusNormal"/>
        <w:tabs>
          <w:tab w:val="left" w:pos="9356"/>
        </w:tabs>
        <w:ind w:firstLine="0"/>
        <w:jc w:val="right"/>
        <w:rPr>
          <w:rFonts w:ascii="Times New Roman" w:hAnsi="Times New Roman" w:cs="Times New Roman"/>
        </w:rPr>
      </w:pPr>
      <w:r>
        <w:rPr>
          <w:rFonts w:ascii="Times New Roman" w:hAnsi="Times New Roman" w:cs="Times New Roman"/>
          <w:sz w:val="24"/>
          <w:szCs w:val="24"/>
        </w:rPr>
        <w:t>Таблиц</w:t>
      </w:r>
      <w:r>
        <w:rPr>
          <w:rFonts w:ascii="Times New Roman" w:hAnsi="Times New Roman" w:cs="Times New Roman"/>
          <w:sz w:val="24"/>
          <w:szCs w:val="24"/>
          <w:highlight w:val="white"/>
        </w:rPr>
        <w:t>а</w:t>
      </w:r>
      <w:r>
        <w:rPr>
          <w:rFonts w:ascii="Times New Roman" w:hAnsi="Times New Roman" w:cs="Times New Roman"/>
          <w:sz w:val="24"/>
          <w:szCs w:val="24"/>
          <w:highlight w:val="white"/>
          <w:shd w:val="clear" w:color="auto" w:fill="FF0000"/>
        </w:rPr>
        <w:t xml:space="preserve"> 9</w:t>
      </w:r>
    </w:p>
    <w:p w:rsidR="00D602D4" w:rsidRDefault="000B4C86">
      <w:pPr>
        <w:pStyle w:val="ConsPlusNormal"/>
        <w:tabs>
          <w:tab w:val="left" w:pos="9356"/>
        </w:tabs>
        <w:ind w:firstLine="0"/>
        <w:jc w:val="center"/>
        <w:rPr>
          <w:rFonts w:ascii="Times New Roman" w:hAnsi="Times New Roman" w:cs="Times New Roman"/>
          <w:b/>
          <w:bCs/>
        </w:rPr>
      </w:pPr>
      <w:r>
        <w:rPr>
          <w:rFonts w:ascii="Times New Roman" w:hAnsi="Times New Roman" w:cs="Times New Roman"/>
          <w:b/>
          <w:sz w:val="24"/>
          <w:szCs w:val="24"/>
        </w:rPr>
        <w:t>Ключевые риски Общества</w:t>
      </w:r>
    </w:p>
    <w:tbl>
      <w:tblPr>
        <w:tblW w:w="10178" w:type="dxa"/>
        <w:tblInd w:w="-111" w:type="dxa"/>
        <w:tblLayout w:type="fixed"/>
        <w:tblLook w:val="04A0" w:firstRow="1" w:lastRow="0" w:firstColumn="1" w:lastColumn="0" w:noHBand="0" w:noVBand="1"/>
      </w:tblPr>
      <w:tblGrid>
        <w:gridCol w:w="973"/>
        <w:gridCol w:w="2107"/>
        <w:gridCol w:w="1459"/>
        <w:gridCol w:w="5639"/>
      </w:tblGrid>
      <w:tr w:rsidR="00D602D4">
        <w:tc>
          <w:tcPr>
            <w:tcW w:w="973" w:type="dxa"/>
            <w:tcBorders>
              <w:top w:val="single" w:sz="4" w:space="0" w:color="000000"/>
              <w:left w:val="single" w:sz="4" w:space="0" w:color="000000"/>
              <w:bottom w:val="single" w:sz="4" w:space="0" w:color="000000"/>
              <w:right w:val="none" w:sz="4" w:space="0" w:color="000000"/>
            </w:tcBorders>
            <w:shd w:val="clear" w:color="000000" w:fill="DDEBF7"/>
            <w:noWrap/>
            <w:vAlign w:val="center"/>
          </w:tcPr>
          <w:p w:rsidR="00D602D4" w:rsidRDefault="000B4C86">
            <w:pPr>
              <w:widowControl w:val="0"/>
              <w:spacing w:after="0" w:line="240" w:lineRule="auto"/>
              <w:rPr>
                <w:rFonts w:ascii="Times New Roman" w:hAnsi="Times New Roman" w:cs="Times New Roman"/>
                <w:b/>
                <w:bCs/>
                <w:sz w:val="20"/>
                <w:szCs w:val="20"/>
              </w:rPr>
            </w:pPr>
            <w:r>
              <w:rPr>
                <w:rFonts w:ascii="Times New Roman" w:hAnsi="Times New Roman" w:cs="Times New Roman"/>
                <w:b/>
                <w:bCs/>
                <w:sz w:val="20"/>
                <w:szCs w:val="20"/>
              </w:rPr>
              <w:t>№ п/п</w:t>
            </w:r>
          </w:p>
        </w:tc>
        <w:tc>
          <w:tcPr>
            <w:tcW w:w="2107" w:type="dxa"/>
            <w:tcBorders>
              <w:top w:val="single" w:sz="4" w:space="0" w:color="000000"/>
              <w:left w:val="single" w:sz="4" w:space="0" w:color="000000"/>
              <w:bottom w:val="single" w:sz="4" w:space="0" w:color="000000"/>
              <w:right w:val="none" w:sz="4" w:space="0" w:color="000000"/>
            </w:tcBorders>
            <w:shd w:val="clear" w:color="000000" w:fill="DDEBF7"/>
            <w:noWrap/>
            <w:vAlign w:val="center"/>
          </w:tcPr>
          <w:p w:rsidR="00D602D4" w:rsidRDefault="000B4C86">
            <w:pPr>
              <w:widowControl w:val="0"/>
              <w:spacing w:after="0" w:line="240" w:lineRule="auto"/>
              <w:rPr>
                <w:rFonts w:ascii="Times New Roman" w:hAnsi="Times New Roman" w:cs="Times New Roman"/>
                <w:b/>
                <w:bCs/>
                <w:sz w:val="20"/>
                <w:szCs w:val="20"/>
              </w:rPr>
            </w:pPr>
            <w:r>
              <w:rPr>
                <w:rFonts w:ascii="Times New Roman" w:hAnsi="Times New Roman" w:cs="Times New Roman"/>
                <w:b/>
                <w:bCs/>
                <w:sz w:val="20"/>
                <w:szCs w:val="20"/>
              </w:rPr>
              <w:t>Наименование риска</w:t>
            </w:r>
          </w:p>
        </w:tc>
        <w:tc>
          <w:tcPr>
            <w:tcW w:w="1459" w:type="dxa"/>
            <w:tcBorders>
              <w:top w:val="single" w:sz="4" w:space="0" w:color="000000"/>
              <w:left w:val="single" w:sz="4" w:space="0" w:color="000000"/>
              <w:bottom w:val="single" w:sz="4" w:space="0" w:color="000000"/>
              <w:right w:val="single" w:sz="4" w:space="0" w:color="000000"/>
            </w:tcBorders>
            <w:shd w:val="clear" w:color="000000" w:fill="DDEBF7"/>
            <w:vAlign w:val="center"/>
          </w:tcPr>
          <w:p w:rsidR="00D602D4" w:rsidRDefault="000B4C86">
            <w:pPr>
              <w:widowControl w:val="0"/>
              <w:spacing w:after="0" w:line="240" w:lineRule="auto"/>
              <w:rPr>
                <w:rFonts w:ascii="Times New Roman" w:hAnsi="Times New Roman" w:cs="Times New Roman"/>
                <w:b/>
                <w:bCs/>
                <w:sz w:val="20"/>
                <w:szCs w:val="20"/>
              </w:rPr>
            </w:pPr>
            <w:r>
              <w:rPr>
                <w:rFonts w:ascii="Times New Roman" w:hAnsi="Times New Roman" w:cs="Times New Roman"/>
                <w:b/>
                <w:bCs/>
                <w:sz w:val="20"/>
                <w:szCs w:val="20"/>
              </w:rPr>
              <w:t>Уровень существенности риска в 2024 году</w:t>
            </w:r>
          </w:p>
        </w:tc>
        <w:tc>
          <w:tcPr>
            <w:tcW w:w="5639" w:type="dxa"/>
            <w:tcBorders>
              <w:top w:val="single" w:sz="4" w:space="0" w:color="000000"/>
              <w:left w:val="single" w:sz="4" w:space="0" w:color="000000"/>
              <w:bottom w:val="single" w:sz="4" w:space="0" w:color="000000"/>
              <w:right w:val="single" w:sz="4" w:space="0" w:color="000000"/>
            </w:tcBorders>
            <w:shd w:val="clear" w:color="000000" w:fill="DDEBF7"/>
            <w:vAlign w:val="center"/>
          </w:tcPr>
          <w:p w:rsidR="00D602D4" w:rsidRDefault="000B4C86">
            <w:pPr>
              <w:widowControl w:val="0"/>
              <w:spacing w:after="0" w:line="240" w:lineRule="auto"/>
              <w:rPr>
                <w:rFonts w:ascii="Times New Roman" w:hAnsi="Times New Roman" w:cs="Times New Roman"/>
                <w:b/>
                <w:bCs/>
                <w:sz w:val="20"/>
                <w:szCs w:val="20"/>
              </w:rPr>
            </w:pPr>
            <w:r>
              <w:rPr>
                <w:rFonts w:ascii="Times New Roman" w:hAnsi="Times New Roman" w:cs="Times New Roman"/>
                <w:b/>
                <w:bCs/>
                <w:sz w:val="20"/>
                <w:szCs w:val="20"/>
              </w:rPr>
              <w:t>Мероприятия по управлению риском</w:t>
            </w:r>
          </w:p>
        </w:tc>
      </w:tr>
      <w:tr w:rsidR="00D602D4">
        <w:tc>
          <w:tcPr>
            <w:tcW w:w="973"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СР1</w:t>
            </w:r>
          </w:p>
        </w:tc>
        <w:tc>
          <w:tcPr>
            <w:tcW w:w="210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Недостижение показателей уровня надежности и качества электроснабжения</w:t>
            </w:r>
          </w:p>
        </w:tc>
        <w:tc>
          <w:tcPr>
            <w:tcW w:w="1459" w:type="dxa"/>
            <w:tcBorders>
              <w:top w:val="single" w:sz="4" w:space="0" w:color="000000"/>
              <w:left w:val="single" w:sz="4" w:space="0" w:color="000000"/>
              <w:bottom w:val="single" w:sz="4" w:space="0" w:color="000000"/>
              <w:right w:val="single" w:sz="4" w:space="0" w:color="000000"/>
            </w:tcBorders>
            <w:shd w:val="clear" w:color="FFFFFF" w:fill="FFFF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Значимый</w:t>
            </w:r>
          </w:p>
        </w:tc>
        <w:tc>
          <w:tcPr>
            <w:tcW w:w="563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35"/>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Замена и модернизация устаревшего (изношенного) оборудования ПС 35-110 кВ;</w:t>
            </w:r>
          </w:p>
          <w:p w:rsidR="00D602D4" w:rsidRDefault="000B4C86">
            <w:pPr>
              <w:pStyle w:val="ac"/>
              <w:widowControl w:val="0"/>
              <w:numPr>
                <w:ilvl w:val="0"/>
                <w:numId w:val="35"/>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Реконструкция электрических сетей, ЛЭП 0,4 – 110 кВ.</w:t>
            </w:r>
          </w:p>
        </w:tc>
      </w:tr>
      <w:tr w:rsidR="00D602D4">
        <w:tc>
          <w:tcPr>
            <w:tcW w:w="973"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СР2</w:t>
            </w:r>
          </w:p>
        </w:tc>
        <w:tc>
          <w:tcPr>
            <w:tcW w:w="210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Ухудшение макроэкономических условий, влияющих на деятельность Общества</w:t>
            </w:r>
          </w:p>
        </w:tc>
        <w:tc>
          <w:tcPr>
            <w:tcW w:w="1459" w:type="dxa"/>
            <w:tcBorders>
              <w:top w:val="single" w:sz="4" w:space="0" w:color="000000"/>
              <w:left w:val="single" w:sz="4" w:space="0" w:color="000000"/>
              <w:bottom w:val="single" w:sz="4" w:space="0" w:color="000000"/>
              <w:right w:val="single" w:sz="4" w:space="0" w:color="000000"/>
            </w:tcBorders>
            <w:shd w:val="clear" w:color="FFFFFF" w:fill="FFFF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Значимый</w:t>
            </w:r>
          </w:p>
        </w:tc>
        <w:tc>
          <w:tcPr>
            <w:tcW w:w="563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36"/>
              </w:numPr>
              <w:tabs>
                <w:tab w:val="left" w:pos="283"/>
              </w:tabs>
              <w:spacing w:after="0" w:line="240" w:lineRule="auto"/>
              <w:ind w:left="0" w:firstLine="0"/>
              <w:contextualSpacing w:val="0"/>
              <w:rPr>
                <w:rFonts w:ascii="Times New Roman" w:eastAsia="Times New Roman" w:hAnsi="Times New Roman" w:cs="Times New Roman"/>
                <w:sz w:val="20"/>
                <w:szCs w:val="20"/>
              </w:rPr>
            </w:pPr>
            <w:r>
              <w:rPr>
                <w:rFonts w:ascii="Times New Roman" w:eastAsia="Times New Roman" w:hAnsi="Times New Roman" w:cs="Times New Roman"/>
                <w:sz w:val="20"/>
                <w:szCs w:val="20"/>
              </w:rPr>
              <w:t>Еженедельный анализ полезного отпуска в разрезе филиалов, а также анализ электропотребления крупными потребителями;</w:t>
            </w:r>
          </w:p>
          <w:p w:rsidR="00D602D4" w:rsidRDefault="000B4C86">
            <w:pPr>
              <w:pStyle w:val="ac"/>
              <w:widowControl w:val="0"/>
              <w:numPr>
                <w:ilvl w:val="0"/>
                <w:numId w:val="36"/>
              </w:numPr>
              <w:tabs>
                <w:tab w:val="left" w:pos="283"/>
              </w:tabs>
              <w:spacing w:after="0" w:line="240" w:lineRule="auto"/>
              <w:ind w:left="0" w:firstLine="0"/>
              <w:contextualSpacing w:val="0"/>
              <w:rPr>
                <w:rFonts w:ascii="Times New Roman" w:eastAsia="Times New Roman" w:hAnsi="Times New Roman" w:cs="Times New Roman"/>
                <w:sz w:val="20"/>
                <w:szCs w:val="20"/>
              </w:rPr>
            </w:pPr>
            <w:r>
              <w:rPr>
                <w:rFonts w:ascii="Times New Roman" w:eastAsia="Times New Roman" w:hAnsi="Times New Roman" w:cs="Times New Roman"/>
                <w:sz w:val="20"/>
                <w:szCs w:val="20"/>
              </w:rPr>
              <w:t>Ежемесячный анализ трендов электропотребления в разрезе групп потребителей с выделением крупных потребителей по каждой группе.</w:t>
            </w:r>
          </w:p>
        </w:tc>
      </w:tr>
      <w:tr w:rsidR="00D602D4">
        <w:tc>
          <w:tcPr>
            <w:tcW w:w="97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СР4</w:t>
            </w:r>
          </w:p>
        </w:tc>
        <w:tc>
          <w:tcPr>
            <w:tcW w:w="210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Недостижение показателей Стратегии цифровой трансформации</w:t>
            </w:r>
          </w:p>
        </w:tc>
        <w:tc>
          <w:tcPr>
            <w:tcW w:w="1459" w:type="dxa"/>
            <w:tcBorders>
              <w:top w:val="single" w:sz="4" w:space="0" w:color="000000"/>
              <w:left w:val="single" w:sz="4" w:space="0" w:color="000000"/>
              <w:bottom w:val="single" w:sz="4" w:space="0" w:color="000000"/>
              <w:right w:val="single" w:sz="4" w:space="0" w:color="000000"/>
            </w:tcBorders>
            <w:shd w:val="clear" w:color="FFFFFF" w:fill="FF00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Критический</w:t>
            </w:r>
          </w:p>
        </w:tc>
        <w:tc>
          <w:tcPr>
            <w:tcW w:w="563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37"/>
              </w:numPr>
              <w:tabs>
                <w:tab w:val="left" w:pos="283"/>
              </w:tabs>
              <w:spacing w:after="0" w:line="240" w:lineRule="auto"/>
              <w:ind w:left="0" w:firstLine="0"/>
              <w:contextualSpacing w:val="0"/>
              <w:rPr>
                <w:rFonts w:ascii="Times New Roman" w:eastAsia="Times New Roman" w:hAnsi="Times New Roman" w:cs="Times New Roman"/>
                <w:sz w:val="20"/>
                <w:szCs w:val="20"/>
              </w:rPr>
            </w:pPr>
            <w:r>
              <w:rPr>
                <w:rFonts w:ascii="Times New Roman" w:eastAsia="Times New Roman" w:hAnsi="Times New Roman" w:cs="Times New Roman"/>
                <w:sz w:val="20"/>
                <w:szCs w:val="20"/>
              </w:rPr>
              <w:t>Своевременное объявление ТЗП на закупку российского программного обеспечения;</w:t>
            </w:r>
          </w:p>
          <w:p w:rsidR="00D602D4" w:rsidRDefault="000B4C86">
            <w:pPr>
              <w:pStyle w:val="ac"/>
              <w:widowControl w:val="0"/>
              <w:numPr>
                <w:ilvl w:val="0"/>
                <w:numId w:val="37"/>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Ежегодное вынесение на рассмотрение Советом директоров Общества плана импортозамещения ПО в целях обеспечения достаточного финансирования запланированных мероприятий по достижению установленных показателей. обеспечения.</w:t>
            </w:r>
          </w:p>
        </w:tc>
      </w:tr>
      <w:tr w:rsidR="00D602D4">
        <w:trPr>
          <w:trHeight w:val="1523"/>
        </w:trPr>
        <w:tc>
          <w:tcPr>
            <w:tcW w:w="973"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ОР2</w:t>
            </w:r>
          </w:p>
        </w:tc>
        <w:tc>
          <w:tcPr>
            <w:tcW w:w="210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Возникновение несчастного случая на производстве</w:t>
            </w:r>
          </w:p>
        </w:tc>
        <w:tc>
          <w:tcPr>
            <w:tcW w:w="1459" w:type="dxa"/>
            <w:tcBorders>
              <w:top w:val="single" w:sz="4" w:space="0" w:color="000000"/>
              <w:left w:val="single" w:sz="4" w:space="0" w:color="000000"/>
              <w:bottom w:val="single" w:sz="4" w:space="0" w:color="000000"/>
              <w:right w:val="single" w:sz="4" w:space="0" w:color="000000"/>
            </w:tcBorders>
            <w:shd w:val="clear" w:color="FF0000" w:fill="FF00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Критический</w:t>
            </w:r>
          </w:p>
        </w:tc>
        <w:tc>
          <w:tcPr>
            <w:tcW w:w="563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Реализация Комплексной программы по снижению рисков травматизма производственного персонала ПАО «Россети Сибирь» (обучение персонала, проведение психо-физиологического обследования персонала, проведение аттестации рабочих мест, обеспечение персонала современными средствами защиты, комплектами устойчивыми к воздействию эл.дуги  и т.д.). </w:t>
            </w:r>
          </w:p>
        </w:tc>
      </w:tr>
      <w:tr w:rsidR="00D602D4">
        <w:tc>
          <w:tcPr>
            <w:tcW w:w="97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ОР5</w:t>
            </w:r>
          </w:p>
        </w:tc>
        <w:tc>
          <w:tcPr>
            <w:tcW w:w="210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Превышение установленного целевого значения уровня потерь электроэнергии (%)</w:t>
            </w:r>
          </w:p>
        </w:tc>
        <w:tc>
          <w:tcPr>
            <w:tcW w:w="1459" w:type="dxa"/>
            <w:tcBorders>
              <w:top w:val="single" w:sz="4" w:space="0" w:color="000000"/>
              <w:left w:val="single" w:sz="4" w:space="0" w:color="000000"/>
              <w:bottom w:val="single" w:sz="4" w:space="0" w:color="000000"/>
              <w:right w:val="single" w:sz="4" w:space="0" w:color="000000"/>
            </w:tcBorders>
            <w:shd w:val="clear" w:color="FFFF00" w:fill="FFFF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Значимый</w:t>
            </w:r>
          </w:p>
        </w:tc>
        <w:tc>
          <w:tcPr>
            <w:tcW w:w="563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Выполнение мероприятий в рамках Программы по снижению потерь электроэнергии на 2024-2028 годы</w:t>
            </w:r>
          </w:p>
        </w:tc>
      </w:tr>
      <w:tr w:rsidR="00D602D4">
        <w:tc>
          <w:tcPr>
            <w:tcW w:w="97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ОР6</w:t>
            </w:r>
          </w:p>
        </w:tc>
        <w:tc>
          <w:tcPr>
            <w:tcW w:w="210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Нарушение сроков осуществления технологического присоединения</w:t>
            </w:r>
          </w:p>
        </w:tc>
        <w:tc>
          <w:tcPr>
            <w:tcW w:w="1459" w:type="dxa"/>
            <w:tcBorders>
              <w:top w:val="single" w:sz="4" w:space="0" w:color="000000"/>
              <w:left w:val="single" w:sz="4" w:space="0" w:color="000000"/>
              <w:bottom w:val="single" w:sz="4" w:space="0" w:color="000000"/>
              <w:right w:val="single" w:sz="4" w:space="0" w:color="000000"/>
            </w:tcBorders>
            <w:shd w:val="clear" w:color="FFFFFF" w:fill="FF00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Критический</w:t>
            </w:r>
          </w:p>
        </w:tc>
        <w:tc>
          <w:tcPr>
            <w:tcW w:w="563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38"/>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Ежегодное формирование и ежеквартальная корректировка Планов по ТП с учетом ранжирования приоритетов исполнения договоров ТП (исполнение в первую очередь договоров, с высокой степенью готовности исполнения ТУ, минимальными капитальными затратами, социально-экономически важных для региона, с высоким риском обращения заявителя в УФАС, при наличии готовности заявителей к ТП);</w:t>
            </w:r>
          </w:p>
          <w:p w:rsidR="00D602D4" w:rsidRDefault="000B4C86">
            <w:pPr>
              <w:pStyle w:val="ac"/>
              <w:widowControl w:val="0"/>
              <w:numPr>
                <w:ilvl w:val="0"/>
                <w:numId w:val="38"/>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Продление сроков исполнения договоров ТП;</w:t>
            </w:r>
          </w:p>
          <w:p w:rsidR="00D602D4" w:rsidRDefault="000B4C86">
            <w:pPr>
              <w:pStyle w:val="ac"/>
              <w:widowControl w:val="0"/>
              <w:numPr>
                <w:ilvl w:val="0"/>
                <w:numId w:val="38"/>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Расторжение договоров ТП.</w:t>
            </w:r>
          </w:p>
        </w:tc>
      </w:tr>
      <w:tr w:rsidR="00D602D4">
        <w:tc>
          <w:tcPr>
            <w:tcW w:w="97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ОР9</w:t>
            </w:r>
          </w:p>
        </w:tc>
        <w:tc>
          <w:tcPr>
            <w:tcW w:w="210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 xml:space="preserve">Нарушение и (или) </w:t>
            </w:r>
            <w:r>
              <w:rPr>
                <w:rFonts w:ascii="Times New Roman" w:eastAsia="Times New Roman" w:hAnsi="Times New Roman" w:cs="Times New Roman"/>
                <w:color w:val="000000"/>
                <w:sz w:val="20"/>
                <w:szCs w:val="20"/>
              </w:rPr>
              <w:lastRenderedPageBreak/>
              <w:t>прекращение функционирования объектов критической информационной инфраструктуры в результате совершения компьютерных атак</w:t>
            </w:r>
          </w:p>
        </w:tc>
        <w:tc>
          <w:tcPr>
            <w:tcW w:w="1459" w:type="dxa"/>
            <w:tcBorders>
              <w:top w:val="single" w:sz="4" w:space="0" w:color="000000"/>
              <w:left w:val="single" w:sz="4" w:space="0" w:color="000000"/>
              <w:right w:val="single" w:sz="4" w:space="0" w:color="000000"/>
            </w:tcBorders>
            <w:shd w:val="clear" w:color="FFFF00" w:fill="FFFF00"/>
            <w:noWrap/>
            <w:vAlign w:val="center"/>
          </w:tcPr>
          <w:p w:rsidR="00D602D4" w:rsidRDefault="000B4C86">
            <w:pPr>
              <w:widowControl w:val="0"/>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Значимый</w:t>
            </w:r>
          </w:p>
        </w:tc>
        <w:tc>
          <w:tcPr>
            <w:tcW w:w="563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39"/>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Внедрение систем защиты информационно-</w:t>
            </w:r>
            <w:r>
              <w:rPr>
                <w:rFonts w:ascii="Times New Roman" w:eastAsia="Times New Roman" w:hAnsi="Times New Roman" w:cs="Times New Roman"/>
                <w:sz w:val="20"/>
                <w:szCs w:val="20"/>
              </w:rPr>
              <w:lastRenderedPageBreak/>
              <w:t>телекоммуникационных систем объектов электросетевого комплекса Общества в целях минимизации рисков возникновения компьютерных инцидентов;</w:t>
            </w:r>
          </w:p>
          <w:p w:rsidR="00D602D4" w:rsidRDefault="000B4C86">
            <w:pPr>
              <w:pStyle w:val="ac"/>
              <w:widowControl w:val="0"/>
              <w:numPr>
                <w:ilvl w:val="0"/>
                <w:numId w:val="39"/>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Выявление компьютерных инцидентов, в результате которых произошло неправомерное воздействие на объекты электросетевого комплекса и их информационные и телекоммуникационные системы. Устранение уязвимостей, минимизация негативных последствий.</w:t>
            </w:r>
          </w:p>
        </w:tc>
      </w:tr>
      <w:tr w:rsidR="00D602D4">
        <w:tc>
          <w:tcPr>
            <w:tcW w:w="97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lastRenderedPageBreak/>
              <w:t>ОР10</w:t>
            </w:r>
          </w:p>
        </w:tc>
        <w:tc>
          <w:tcPr>
            <w:tcW w:w="210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Неправомерный доступ к конфиденциальной информации</w:t>
            </w:r>
          </w:p>
        </w:tc>
        <w:tc>
          <w:tcPr>
            <w:tcW w:w="1459" w:type="dxa"/>
            <w:tcBorders>
              <w:top w:val="single" w:sz="4" w:space="0" w:color="000000"/>
              <w:left w:val="single" w:sz="4" w:space="0" w:color="000000"/>
              <w:bottom w:val="single" w:sz="4" w:space="0" w:color="000000"/>
              <w:right w:val="single" w:sz="4" w:space="0" w:color="000000"/>
            </w:tcBorders>
            <w:shd w:val="clear" w:color="FFFF00" w:fill="FFFF00"/>
            <w:noWrap/>
            <w:vAlign w:val="center"/>
          </w:tcPr>
          <w:p w:rsidR="00D602D4" w:rsidRDefault="000B4C86">
            <w:pPr>
              <w:widowControl w:val="0"/>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Значимый</w:t>
            </w:r>
          </w:p>
        </w:tc>
        <w:tc>
          <w:tcPr>
            <w:tcW w:w="563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40"/>
              </w:numPr>
              <w:tabs>
                <w:tab w:val="left" w:pos="283"/>
              </w:tabs>
              <w:spacing w:after="0" w:line="240" w:lineRule="auto"/>
              <w:ind w:left="0" w:right="198"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Проведение проверок состояния работы по обеспечению защиты конфиденциальной информации, в том числе: </w:t>
            </w:r>
          </w:p>
          <w:p w:rsidR="00D602D4" w:rsidRDefault="000B4C86">
            <w:pPr>
              <w:widowControl w:val="0"/>
              <w:spacing w:after="0" w:line="240" w:lineRule="auto"/>
              <w:ind w:right="198"/>
              <w:rPr>
                <w:rFonts w:ascii="Times New Roman" w:hAnsi="Times New Roman" w:cs="Times New Roman"/>
                <w:sz w:val="20"/>
                <w:szCs w:val="20"/>
              </w:rPr>
            </w:pPr>
            <w:r>
              <w:rPr>
                <w:rFonts w:ascii="Times New Roman" w:eastAsia="Times New Roman" w:hAnsi="Times New Roman" w:cs="Times New Roman"/>
                <w:sz w:val="20"/>
                <w:szCs w:val="20"/>
              </w:rPr>
              <w:t>- организация сбора, обработки и хранения персональных данных работников Общества, а также лиц, не являющихся работниками;</w:t>
            </w:r>
          </w:p>
          <w:p w:rsidR="00D602D4" w:rsidRDefault="000B4C86">
            <w:pPr>
              <w:widowControl w:val="0"/>
              <w:spacing w:after="0" w:line="240" w:lineRule="auto"/>
              <w:ind w:right="198"/>
              <w:rPr>
                <w:rFonts w:ascii="Times New Roman" w:hAnsi="Times New Roman" w:cs="Times New Roman"/>
                <w:sz w:val="20"/>
                <w:szCs w:val="20"/>
              </w:rPr>
            </w:pPr>
            <w:r>
              <w:rPr>
                <w:rFonts w:ascii="Times New Roman" w:eastAsia="Times New Roman" w:hAnsi="Times New Roman" w:cs="Times New Roman"/>
                <w:sz w:val="20"/>
                <w:szCs w:val="20"/>
              </w:rPr>
              <w:t>- организация работы по защите сведений, составляющих коммерческую тайну;</w:t>
            </w:r>
          </w:p>
          <w:p w:rsidR="00D602D4" w:rsidRDefault="000B4C86">
            <w:pPr>
              <w:widowControl w:val="0"/>
              <w:spacing w:after="0" w:line="240" w:lineRule="auto"/>
              <w:ind w:right="198"/>
              <w:rPr>
                <w:rFonts w:ascii="Times New Roman" w:hAnsi="Times New Roman" w:cs="Times New Roman"/>
                <w:sz w:val="20"/>
                <w:szCs w:val="20"/>
              </w:rPr>
            </w:pPr>
            <w:r>
              <w:rPr>
                <w:rFonts w:ascii="Times New Roman" w:eastAsia="Times New Roman" w:hAnsi="Times New Roman" w:cs="Times New Roman"/>
                <w:sz w:val="20"/>
                <w:szCs w:val="20"/>
              </w:rPr>
              <w:t>-  организация работы по защите сведений, составляющих служебную тайну.</w:t>
            </w:r>
          </w:p>
          <w:p w:rsidR="00D602D4" w:rsidRDefault="000B4C86">
            <w:pPr>
              <w:widowControl w:val="0"/>
              <w:spacing w:after="0" w:line="240" w:lineRule="auto"/>
              <w:ind w:right="198"/>
              <w:rPr>
                <w:rFonts w:ascii="Times New Roman" w:hAnsi="Times New Roman" w:cs="Times New Roman"/>
                <w:sz w:val="20"/>
                <w:szCs w:val="20"/>
              </w:rPr>
            </w:pPr>
            <w:r>
              <w:rPr>
                <w:rFonts w:ascii="Times New Roman" w:eastAsia="Times New Roman" w:hAnsi="Times New Roman" w:cs="Times New Roman"/>
                <w:sz w:val="20"/>
                <w:szCs w:val="20"/>
              </w:rPr>
              <w:t>2) Проведение проверок на предмет возможного несанкционированного доступа к конфиденциальной информации по техническим каналам (как извне, так и в локальных вычислительных сетях).</w:t>
            </w:r>
          </w:p>
        </w:tc>
      </w:tr>
      <w:tr w:rsidR="00D602D4">
        <w:trPr>
          <w:trHeight w:val="230"/>
        </w:trPr>
        <w:tc>
          <w:tcPr>
            <w:tcW w:w="973" w:type="dxa"/>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ОР12</w:t>
            </w:r>
          </w:p>
        </w:tc>
        <w:tc>
          <w:tcPr>
            <w:tcW w:w="2107"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Недостижение уровня обеспеченности персоналом</w:t>
            </w:r>
          </w:p>
        </w:tc>
        <w:tc>
          <w:tcPr>
            <w:tcW w:w="1459" w:type="dxa"/>
            <w:vMerge w:val="restart"/>
            <w:tcBorders>
              <w:top w:val="single" w:sz="4" w:space="0" w:color="000000"/>
              <w:left w:val="single" w:sz="4" w:space="0" w:color="000000"/>
              <w:bottom w:val="single" w:sz="4" w:space="0" w:color="000000"/>
              <w:right w:val="single" w:sz="4" w:space="0" w:color="000000"/>
            </w:tcBorders>
            <w:shd w:val="clear" w:color="FF0000" w:fill="FF0000"/>
            <w:noWrap/>
            <w:vAlign w:val="center"/>
          </w:tcPr>
          <w:p w:rsidR="00D602D4" w:rsidRDefault="000B4C86">
            <w:pPr>
              <w:widowControl w:val="0"/>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Критический</w:t>
            </w:r>
          </w:p>
        </w:tc>
        <w:tc>
          <w:tcPr>
            <w:tcW w:w="563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41"/>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Размещение вакансий на внутренних и внешних источниках подбора персонала (вакансии размещаются на портале «Россети Сибирь», официальном сайте ПАО «Россети Сибирь», сайте «Работа России», сайт hh.ru, Факультетус и др.);</w:t>
            </w:r>
          </w:p>
          <w:p w:rsidR="00D602D4" w:rsidRDefault="000B4C86">
            <w:pPr>
              <w:pStyle w:val="ac"/>
              <w:widowControl w:val="0"/>
              <w:numPr>
                <w:ilvl w:val="0"/>
                <w:numId w:val="41"/>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Разработка плана работы вновь принятого на должность сотрудника на период испытания/программы адаптации; </w:t>
            </w:r>
          </w:p>
          <w:p w:rsidR="00D602D4" w:rsidRDefault="000B4C86">
            <w:pPr>
              <w:pStyle w:val="ac"/>
              <w:widowControl w:val="0"/>
              <w:numPr>
                <w:ilvl w:val="0"/>
                <w:numId w:val="41"/>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Прохождение обязательных дистанционных курсов для вновь принятых/переведенных сотрудников; </w:t>
            </w:r>
          </w:p>
          <w:p w:rsidR="00D602D4" w:rsidRDefault="000B4C86">
            <w:pPr>
              <w:pStyle w:val="ac"/>
              <w:widowControl w:val="0"/>
              <w:numPr>
                <w:ilvl w:val="0"/>
                <w:numId w:val="41"/>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Осуществление профориентационной деятельности среди студентов организаций высшего образования и среднего профессионального образования, учащихся школ; </w:t>
            </w:r>
          </w:p>
          <w:p w:rsidR="00D602D4" w:rsidRDefault="000B4C86">
            <w:pPr>
              <w:pStyle w:val="ac"/>
              <w:widowControl w:val="0"/>
              <w:numPr>
                <w:ilvl w:val="0"/>
                <w:numId w:val="41"/>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Организация целевой подготовки студентов организаций высшего образования и среднего профессионального образования</w:t>
            </w:r>
          </w:p>
          <w:p w:rsidR="00D602D4" w:rsidRDefault="000B4C86">
            <w:pPr>
              <w:pStyle w:val="ac"/>
              <w:widowControl w:val="0"/>
              <w:numPr>
                <w:ilvl w:val="0"/>
                <w:numId w:val="41"/>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Организация практик студентов организаций высшего образования и среднего профессионального образования в ПАО «Россети Сибирь».</w:t>
            </w:r>
          </w:p>
        </w:tc>
      </w:tr>
      <w:tr w:rsidR="00D602D4">
        <w:trPr>
          <w:trHeight w:val="230"/>
        </w:trPr>
        <w:tc>
          <w:tcPr>
            <w:tcW w:w="973" w:type="dxa"/>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ОР13</w:t>
            </w:r>
          </w:p>
        </w:tc>
        <w:tc>
          <w:tcPr>
            <w:tcW w:w="2107"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Публикация в медиаресурсах негативной информации в отношении Общества, менеджмента и работников</w:t>
            </w:r>
          </w:p>
        </w:tc>
        <w:tc>
          <w:tcPr>
            <w:tcW w:w="1459" w:type="dxa"/>
            <w:vMerge w:val="restart"/>
            <w:tcBorders>
              <w:top w:val="single" w:sz="4" w:space="0" w:color="000000"/>
              <w:left w:val="single" w:sz="4" w:space="0" w:color="000000"/>
              <w:bottom w:val="single" w:sz="4" w:space="0" w:color="000000"/>
              <w:right w:val="single" w:sz="4" w:space="0" w:color="000000"/>
            </w:tcBorders>
            <w:shd w:val="clear" w:color="FF0000" w:fill="FF0000"/>
            <w:noWrap/>
            <w:vAlign w:val="center"/>
          </w:tcPr>
          <w:p w:rsidR="00D602D4" w:rsidRDefault="000B4C86">
            <w:pPr>
              <w:widowControl w:val="0"/>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Критический </w:t>
            </w:r>
          </w:p>
        </w:tc>
        <w:tc>
          <w:tcPr>
            <w:tcW w:w="563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42"/>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Усиление штабного антикризисного взаимодействия директоров филиалов с руководителями регионов и исполнительной региональной власти: прямая коммуникация с использованием достоверной информации о первопричинах технологических нарушений и мерах по устранению последствий;    </w:t>
            </w:r>
          </w:p>
          <w:p w:rsidR="00D602D4" w:rsidRDefault="000B4C86">
            <w:pPr>
              <w:pStyle w:val="ac"/>
              <w:widowControl w:val="0"/>
              <w:numPr>
                <w:ilvl w:val="0"/>
                <w:numId w:val="42"/>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Разработка и реализация коммуникационной кампании по итогам расследования дел (с позиционированием невиновности энергетиков с использованием комментариев руководителей регионов, в случае положительного для Общества исхода).</w:t>
            </w:r>
          </w:p>
        </w:tc>
      </w:tr>
      <w:tr w:rsidR="00D602D4">
        <w:tc>
          <w:tcPr>
            <w:tcW w:w="973"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ФР1</w:t>
            </w:r>
          </w:p>
        </w:tc>
        <w:tc>
          <w:tcPr>
            <w:tcW w:w="210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Недостижение планового уровня выручки от услуг по передаче электроэнергии</w:t>
            </w:r>
          </w:p>
        </w:tc>
        <w:tc>
          <w:tcPr>
            <w:tcW w:w="1459" w:type="dxa"/>
            <w:tcBorders>
              <w:top w:val="single" w:sz="4" w:space="0" w:color="000000"/>
              <w:left w:val="single" w:sz="4" w:space="0" w:color="000000"/>
              <w:bottom w:val="single" w:sz="4" w:space="0" w:color="000000"/>
              <w:right w:val="single" w:sz="4" w:space="0" w:color="000000"/>
            </w:tcBorders>
            <w:shd w:val="clear" w:color="FFFFFF" w:fill="FFFF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Значимый</w:t>
            </w:r>
          </w:p>
        </w:tc>
        <w:tc>
          <w:tcPr>
            <w:tcW w:w="563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43"/>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Контроль данных об объемах потребления, применяемых гарантирующими поставщиками (энергосбытовыми организациями) при расчете стоимости услуг по передаче электрической энергии (в том числе в разбивке по уровням напряжения, по которым дифференцируется цена (тариф) на услуги по передаче электрической энергии, по выбранным потребителями вариантам тарифа, по категориям потребителей, в пределах и сверх социальной нормы потребления);</w:t>
            </w:r>
          </w:p>
          <w:p w:rsidR="00D602D4" w:rsidRDefault="000B4C86">
            <w:pPr>
              <w:pStyle w:val="ac"/>
              <w:widowControl w:val="0"/>
              <w:numPr>
                <w:ilvl w:val="0"/>
                <w:numId w:val="43"/>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Повышение точности и своевременности снятия показаний ПУ. Установка АИИСКУЭ;</w:t>
            </w:r>
          </w:p>
          <w:p w:rsidR="00D602D4" w:rsidRDefault="000B4C86">
            <w:pPr>
              <w:pStyle w:val="ac"/>
              <w:widowControl w:val="0"/>
              <w:numPr>
                <w:ilvl w:val="0"/>
                <w:numId w:val="43"/>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Работа по исключению фактов бездоговорного и </w:t>
            </w:r>
            <w:r>
              <w:rPr>
                <w:rFonts w:ascii="Times New Roman" w:eastAsia="Times New Roman" w:hAnsi="Times New Roman" w:cs="Times New Roman"/>
                <w:sz w:val="20"/>
                <w:szCs w:val="20"/>
              </w:rPr>
              <w:lastRenderedPageBreak/>
              <w:t>безучетного потребления электрической энергии.</w:t>
            </w:r>
          </w:p>
        </w:tc>
      </w:tr>
      <w:tr w:rsidR="00D602D4">
        <w:tc>
          <w:tcPr>
            <w:tcW w:w="97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lastRenderedPageBreak/>
              <w:t>ФР2</w:t>
            </w:r>
          </w:p>
        </w:tc>
        <w:tc>
          <w:tcPr>
            <w:tcW w:w="2107"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Недостижение планового уровня выручки от услуг по технологическому присоединению</w:t>
            </w:r>
          </w:p>
        </w:tc>
        <w:tc>
          <w:tcPr>
            <w:tcW w:w="1459" w:type="dxa"/>
            <w:tcBorders>
              <w:top w:val="single" w:sz="4" w:space="0" w:color="000000"/>
              <w:left w:val="single" w:sz="4" w:space="0" w:color="000000"/>
              <w:bottom w:val="single" w:sz="4" w:space="0" w:color="000000"/>
              <w:right w:val="single" w:sz="4" w:space="0" w:color="000000"/>
            </w:tcBorders>
            <w:shd w:val="clear" w:color="FF0000" w:fill="FF00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Критический</w:t>
            </w:r>
          </w:p>
        </w:tc>
        <w:tc>
          <w:tcPr>
            <w:tcW w:w="5639"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44"/>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Своевременное и в полном объеме включение объектов по ТП на исполнение в ИПР на соответствующий плановый год;</w:t>
            </w:r>
          </w:p>
          <w:p w:rsidR="00D602D4" w:rsidRDefault="000B4C86">
            <w:pPr>
              <w:pStyle w:val="ac"/>
              <w:widowControl w:val="0"/>
              <w:numPr>
                <w:ilvl w:val="0"/>
                <w:numId w:val="44"/>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При  наличии риска неисполнения плана по выручке - своевременное внесение изменений в договоры с выделением этапности их исполнения для актирования выполненных в отчетном году работ;</w:t>
            </w:r>
          </w:p>
          <w:p w:rsidR="00D602D4" w:rsidRDefault="000B4C86">
            <w:pPr>
              <w:pStyle w:val="ac"/>
              <w:widowControl w:val="0"/>
              <w:numPr>
                <w:ilvl w:val="0"/>
                <w:numId w:val="44"/>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Своевременное актирование исполнения договоров ТП.</w:t>
            </w:r>
          </w:p>
        </w:tc>
      </w:tr>
      <w:tr w:rsidR="00D602D4">
        <w:tc>
          <w:tcPr>
            <w:tcW w:w="973"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ФР3</w:t>
            </w:r>
          </w:p>
        </w:tc>
        <w:tc>
          <w:tcPr>
            <w:tcW w:w="210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Недостижение планового уровня выручки от дополнительных (нетарифных) услуг</w:t>
            </w:r>
          </w:p>
        </w:tc>
        <w:tc>
          <w:tcPr>
            <w:tcW w:w="1459" w:type="dxa"/>
            <w:tcBorders>
              <w:top w:val="single" w:sz="4" w:space="0" w:color="000000"/>
              <w:left w:val="single" w:sz="4" w:space="0" w:color="000000"/>
              <w:bottom w:val="single" w:sz="4" w:space="0" w:color="000000"/>
              <w:right w:val="single" w:sz="4" w:space="0" w:color="000000"/>
            </w:tcBorders>
            <w:shd w:val="clear" w:color="FF0000" w:fill="FF00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Критический</w:t>
            </w:r>
          </w:p>
        </w:tc>
        <w:tc>
          <w:tcPr>
            <w:tcW w:w="563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45"/>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Мониторинг показателей  выручки и законтрактованности бизнес-плана в разрезе филиалов;</w:t>
            </w:r>
          </w:p>
          <w:p w:rsidR="00D602D4" w:rsidRDefault="000B4C86">
            <w:pPr>
              <w:pStyle w:val="ac"/>
              <w:widowControl w:val="0"/>
              <w:numPr>
                <w:ilvl w:val="0"/>
                <w:numId w:val="45"/>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Проведение комплексной оценки формирования цен на дополнительные услуги, определение резервов для снижения цен (при наличии возможности);</w:t>
            </w:r>
          </w:p>
          <w:p w:rsidR="00D602D4" w:rsidRDefault="000B4C86">
            <w:pPr>
              <w:pStyle w:val="ac"/>
              <w:widowControl w:val="0"/>
              <w:numPr>
                <w:ilvl w:val="0"/>
                <w:numId w:val="45"/>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Организация встреч с операторами связи на территории филиалов с целью активизации процесса легализации незаконно размещенного ВОЛС. </w:t>
            </w:r>
          </w:p>
        </w:tc>
      </w:tr>
      <w:tr w:rsidR="00D602D4">
        <w:tc>
          <w:tcPr>
            <w:tcW w:w="97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ФР4</w:t>
            </w:r>
          </w:p>
        </w:tc>
        <w:tc>
          <w:tcPr>
            <w:tcW w:w="210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Превышение планового уровня неподконтрольных операционных расходов: на покупку электроэнергии в целях компенсации потерь, на оплату услуг транзита электроэнергии</w:t>
            </w:r>
          </w:p>
        </w:tc>
        <w:tc>
          <w:tcPr>
            <w:tcW w:w="1459" w:type="dxa"/>
            <w:tcBorders>
              <w:top w:val="single" w:sz="4" w:space="0" w:color="000000"/>
              <w:left w:val="single" w:sz="4" w:space="0" w:color="000000"/>
              <w:bottom w:val="single" w:sz="4" w:space="0" w:color="000000"/>
              <w:right w:val="single" w:sz="4" w:space="0" w:color="000000"/>
            </w:tcBorders>
            <w:shd w:val="clear" w:color="FFFFFF" w:fill="FF00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Критический</w:t>
            </w:r>
          </w:p>
        </w:tc>
        <w:tc>
          <w:tcPr>
            <w:tcW w:w="5639" w:type="dxa"/>
            <w:tcBorders>
              <w:top w:val="none" w:sz="4" w:space="0" w:color="000000"/>
              <w:left w:val="none" w:sz="4" w:space="0" w:color="000000"/>
              <w:bottom w:val="single" w:sz="4" w:space="0" w:color="000000"/>
              <w:right w:val="single" w:sz="4" w:space="0" w:color="000000"/>
            </w:tcBorders>
            <w:shd w:val="clear" w:color="000000"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Риск неподконтрольный.</w:t>
            </w:r>
          </w:p>
          <w:p w:rsidR="00D602D4" w:rsidRDefault="000B4C86">
            <w:pPr>
              <w:pStyle w:val="ac"/>
              <w:widowControl w:val="0"/>
              <w:numPr>
                <w:ilvl w:val="0"/>
                <w:numId w:val="46"/>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Контроль данных об объемах потребления, применяемых гарантирующими поставщиками при расчете стоимости услуг в целях компенсации потерь электроэнергии, </w:t>
            </w:r>
          </w:p>
          <w:p w:rsidR="00D602D4" w:rsidRDefault="000B4C86">
            <w:pPr>
              <w:pStyle w:val="ac"/>
              <w:widowControl w:val="0"/>
              <w:numPr>
                <w:ilvl w:val="0"/>
                <w:numId w:val="46"/>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Контроль данных об объемах потребления, применяемых ТСО при расчете стоимости услуг по передаче электроэнергии по своим сетям.</w:t>
            </w:r>
          </w:p>
        </w:tc>
      </w:tr>
      <w:tr w:rsidR="00D602D4">
        <w:tc>
          <w:tcPr>
            <w:tcW w:w="973"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ФР5</w:t>
            </w:r>
          </w:p>
        </w:tc>
        <w:tc>
          <w:tcPr>
            <w:tcW w:w="210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Превышение планового уровня прочих операционных (подконтрольных и неподконтрольных) расходов</w:t>
            </w:r>
          </w:p>
        </w:tc>
        <w:tc>
          <w:tcPr>
            <w:tcW w:w="1459" w:type="dxa"/>
            <w:tcBorders>
              <w:top w:val="single" w:sz="4" w:space="0" w:color="000000"/>
              <w:left w:val="single" w:sz="4" w:space="0" w:color="000000"/>
              <w:bottom w:val="single" w:sz="4" w:space="0" w:color="000000"/>
              <w:right w:val="single" w:sz="4" w:space="0" w:color="000000"/>
            </w:tcBorders>
            <w:shd w:val="clear" w:color="FFFF00" w:fill="FFFF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Значимый</w:t>
            </w:r>
          </w:p>
        </w:tc>
        <w:tc>
          <w:tcPr>
            <w:tcW w:w="563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Регулярный контроль уровня расходов по факту каждого отчетного периода, ожидаемого уровня расходов по году.</w:t>
            </w:r>
          </w:p>
        </w:tc>
      </w:tr>
      <w:tr w:rsidR="00D602D4">
        <w:tc>
          <w:tcPr>
            <w:tcW w:w="97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ФР6</w:t>
            </w:r>
          </w:p>
        </w:tc>
        <w:tc>
          <w:tcPr>
            <w:tcW w:w="2107"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Превышение планового уровня процентных расходов</w:t>
            </w:r>
          </w:p>
        </w:tc>
        <w:tc>
          <w:tcPr>
            <w:tcW w:w="1459" w:type="dxa"/>
            <w:tcBorders>
              <w:top w:val="single" w:sz="4" w:space="0" w:color="000000"/>
              <w:left w:val="single" w:sz="4" w:space="0" w:color="000000"/>
              <w:bottom w:val="single" w:sz="4" w:space="0" w:color="000000"/>
              <w:right w:val="single" w:sz="4" w:space="0" w:color="000000"/>
            </w:tcBorders>
            <w:shd w:val="clear" w:color="FF0000" w:fill="FF00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Критический</w:t>
            </w:r>
          </w:p>
        </w:tc>
        <w:tc>
          <w:tcPr>
            <w:tcW w:w="5639"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47"/>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Проведение мероприятий по оптимизации расходов;      </w:t>
            </w:r>
          </w:p>
          <w:p w:rsidR="00D602D4" w:rsidRDefault="000B4C86">
            <w:pPr>
              <w:pStyle w:val="ac"/>
              <w:widowControl w:val="0"/>
              <w:numPr>
                <w:ilvl w:val="0"/>
                <w:numId w:val="47"/>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Мониторинг предложений банков-кредиторов по уровням процентных ставок;</w:t>
            </w:r>
          </w:p>
          <w:p w:rsidR="00D602D4" w:rsidRDefault="000B4C86">
            <w:pPr>
              <w:pStyle w:val="ac"/>
              <w:widowControl w:val="0"/>
              <w:numPr>
                <w:ilvl w:val="0"/>
                <w:numId w:val="47"/>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Предоставление в банки-кредиторы отчетности в сроки в соответствии с условиями кредитных договоров;   </w:t>
            </w:r>
          </w:p>
          <w:p w:rsidR="00D602D4" w:rsidRDefault="000B4C86">
            <w:pPr>
              <w:pStyle w:val="ac"/>
              <w:widowControl w:val="0"/>
              <w:numPr>
                <w:ilvl w:val="0"/>
                <w:numId w:val="47"/>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Использование кредитных ресурсов строго на цели, определенные заключенными кредитными договорами.</w:t>
            </w:r>
          </w:p>
        </w:tc>
      </w:tr>
      <w:tr w:rsidR="00D602D4">
        <w:tc>
          <w:tcPr>
            <w:tcW w:w="97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ФР7</w:t>
            </w:r>
          </w:p>
        </w:tc>
        <w:tc>
          <w:tcPr>
            <w:tcW w:w="2107"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Превышение планового значения просроченной дебиторской задолженности от услуг по передаче электроэнергии</w:t>
            </w:r>
          </w:p>
        </w:tc>
        <w:tc>
          <w:tcPr>
            <w:tcW w:w="1459" w:type="dxa"/>
            <w:tcBorders>
              <w:top w:val="single" w:sz="4" w:space="0" w:color="000000"/>
              <w:left w:val="single" w:sz="4" w:space="0" w:color="000000"/>
              <w:bottom w:val="single" w:sz="4" w:space="0" w:color="000000"/>
              <w:right w:val="single" w:sz="4" w:space="0" w:color="000000"/>
            </w:tcBorders>
            <w:shd w:val="clear" w:color="FFFF00" w:fill="FFFF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Значимый</w:t>
            </w:r>
          </w:p>
        </w:tc>
        <w:tc>
          <w:tcPr>
            <w:tcW w:w="5639"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48"/>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Контроль за своевременным исполнением обязательств по оплате услуг;</w:t>
            </w:r>
          </w:p>
          <w:p w:rsidR="00D602D4" w:rsidRDefault="000B4C86">
            <w:pPr>
              <w:pStyle w:val="ac"/>
              <w:widowControl w:val="0"/>
              <w:numPr>
                <w:ilvl w:val="0"/>
                <w:numId w:val="48"/>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Формирование и контроль за исполнением плана-графика мероприятий по снижению ПДЗ. </w:t>
            </w:r>
          </w:p>
          <w:p w:rsidR="00D602D4" w:rsidRDefault="000B4C86">
            <w:pPr>
              <w:pStyle w:val="ac"/>
              <w:widowControl w:val="0"/>
              <w:numPr>
                <w:ilvl w:val="0"/>
                <w:numId w:val="48"/>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Осуществление ПИР за несвоевременную оплату услуг, взыскание задолженности по полученным исполнительным листам, а также ведение процедуры банкротства. </w:t>
            </w:r>
          </w:p>
        </w:tc>
      </w:tr>
      <w:tr w:rsidR="00D602D4">
        <w:trPr>
          <w:trHeight w:val="230"/>
        </w:trPr>
        <w:tc>
          <w:tcPr>
            <w:tcW w:w="973"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ФР8</w:t>
            </w:r>
          </w:p>
        </w:tc>
        <w:tc>
          <w:tcPr>
            <w:tcW w:w="2107" w:type="dxa"/>
            <w:vMerge w:val="restar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Превышение планового уровня долговой нагрузки</w:t>
            </w:r>
          </w:p>
        </w:tc>
        <w:tc>
          <w:tcPr>
            <w:tcW w:w="1459" w:type="dxa"/>
            <w:vMerge w:val="restart"/>
            <w:tcBorders>
              <w:top w:val="single" w:sz="4" w:space="0" w:color="000000"/>
              <w:left w:val="single" w:sz="4" w:space="0" w:color="000000"/>
              <w:bottom w:val="single" w:sz="4" w:space="0" w:color="000000"/>
              <w:right w:val="single" w:sz="4" w:space="0" w:color="000000"/>
            </w:tcBorders>
            <w:shd w:val="clear" w:color="FFFF00" w:fill="FFFF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Значимый</w:t>
            </w:r>
          </w:p>
        </w:tc>
        <w:tc>
          <w:tcPr>
            <w:tcW w:w="5639" w:type="dxa"/>
            <w:vMerge w:val="restar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Проведение мероприятий по оптимизации расходов, переносу платежей на максимально-возможно поздние сроки      </w:t>
            </w:r>
          </w:p>
        </w:tc>
      </w:tr>
      <w:tr w:rsidR="00D602D4">
        <w:trPr>
          <w:trHeight w:val="230"/>
        </w:trPr>
        <w:tc>
          <w:tcPr>
            <w:tcW w:w="973"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ФР9</w:t>
            </w:r>
          </w:p>
        </w:tc>
        <w:tc>
          <w:tcPr>
            <w:tcW w:w="2107" w:type="dxa"/>
            <w:vMerge w:val="restar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Ограничение / невозможность привлечь требуемый объем финансирования</w:t>
            </w:r>
          </w:p>
        </w:tc>
        <w:tc>
          <w:tcPr>
            <w:tcW w:w="1459" w:type="dxa"/>
            <w:vMerge w:val="restart"/>
            <w:tcBorders>
              <w:top w:val="single" w:sz="4" w:space="0" w:color="000000"/>
              <w:left w:val="single" w:sz="4" w:space="0" w:color="000000"/>
              <w:bottom w:val="single" w:sz="4" w:space="0" w:color="000000"/>
              <w:right w:val="single" w:sz="4" w:space="0" w:color="000000"/>
            </w:tcBorders>
            <w:shd w:val="clear" w:color="FFFF00" w:fill="FFFF00"/>
            <w:noWrap/>
            <w:vAlign w:val="center"/>
          </w:tcPr>
          <w:p w:rsidR="00D602D4" w:rsidRDefault="000B4C86">
            <w:pPr>
              <w:widowControl w:val="0"/>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Значимый</w:t>
            </w:r>
          </w:p>
        </w:tc>
        <w:tc>
          <w:tcPr>
            <w:tcW w:w="5639" w:type="dxa"/>
            <w:vMerge w:val="restar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49"/>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Мониторинг предложений банков-кредиторов по уровням процентных ставок </w:t>
            </w:r>
          </w:p>
          <w:p w:rsidR="00D602D4" w:rsidRDefault="000B4C86">
            <w:pPr>
              <w:pStyle w:val="ac"/>
              <w:widowControl w:val="0"/>
              <w:numPr>
                <w:ilvl w:val="0"/>
                <w:numId w:val="49"/>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Контроль за исполнением условий кредитных соглашений в части своевременного погашения процентов за пользование кредитными  ресурсами  и  основного долга, в части  контроля исполнения финансовых ковенант;</w:t>
            </w:r>
          </w:p>
          <w:p w:rsidR="00D602D4" w:rsidRDefault="000B4C86">
            <w:pPr>
              <w:pStyle w:val="ac"/>
              <w:widowControl w:val="0"/>
              <w:numPr>
                <w:ilvl w:val="0"/>
                <w:numId w:val="49"/>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 xml:space="preserve">Проведение мероприятий по оптимизации расходов, переносу платежей на максимально-возможно поздние сроки     </w:t>
            </w:r>
          </w:p>
        </w:tc>
      </w:tr>
      <w:tr w:rsidR="00D602D4">
        <w:trPr>
          <w:trHeight w:val="230"/>
        </w:trPr>
        <w:tc>
          <w:tcPr>
            <w:tcW w:w="973"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ПР6</w:t>
            </w:r>
          </w:p>
        </w:tc>
        <w:tc>
          <w:tcPr>
            <w:tcW w:w="2107" w:type="dxa"/>
            <w:vMerge w:val="restar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 xml:space="preserve">Нарушение требований к проведению работ на объектах электросетевого </w:t>
            </w:r>
            <w:r>
              <w:rPr>
                <w:rFonts w:ascii="Times New Roman" w:eastAsia="Times New Roman" w:hAnsi="Times New Roman" w:cs="Times New Roman"/>
                <w:color w:val="000000"/>
                <w:sz w:val="20"/>
                <w:szCs w:val="20"/>
              </w:rPr>
              <w:lastRenderedPageBreak/>
              <w:t>хозяйства, в т.ч. строительных работ</w:t>
            </w:r>
          </w:p>
        </w:tc>
        <w:tc>
          <w:tcPr>
            <w:tcW w:w="1459" w:type="dxa"/>
            <w:vMerge w:val="restart"/>
            <w:tcBorders>
              <w:top w:val="single" w:sz="4" w:space="0" w:color="000000"/>
              <w:left w:val="single" w:sz="4" w:space="0" w:color="000000"/>
              <w:bottom w:val="single" w:sz="4" w:space="0" w:color="000000"/>
              <w:right w:val="single" w:sz="4" w:space="0" w:color="000000"/>
            </w:tcBorders>
            <w:shd w:val="clear" w:color="FFFF00" w:fill="FFFF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lastRenderedPageBreak/>
              <w:t>Значимый</w:t>
            </w:r>
          </w:p>
        </w:tc>
        <w:tc>
          <w:tcPr>
            <w:tcW w:w="5639" w:type="dxa"/>
            <w:vMerge w:val="restar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50"/>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Проведени</w:t>
            </w:r>
            <w:r>
              <w:rPr>
                <w:rFonts w:ascii="Times New Roman" w:eastAsia="Times New Roman" w:hAnsi="Times New Roman" w:cs="Times New Roman"/>
                <w:sz w:val="20"/>
                <w:szCs w:val="20"/>
                <w:highlight w:val="white"/>
              </w:rPr>
              <w:t>е строительного ко</w:t>
            </w:r>
            <w:r>
              <w:rPr>
                <w:rFonts w:ascii="Times New Roman" w:eastAsia="Times New Roman" w:hAnsi="Times New Roman" w:cs="Times New Roman"/>
                <w:sz w:val="20"/>
                <w:szCs w:val="20"/>
              </w:rPr>
              <w:t>нтроля (технического надзора) в ходе выполнения строительно-монтажных работ;</w:t>
            </w:r>
          </w:p>
          <w:p w:rsidR="00D602D4" w:rsidRDefault="000B4C86">
            <w:pPr>
              <w:pStyle w:val="ac"/>
              <w:widowControl w:val="0"/>
              <w:numPr>
                <w:ilvl w:val="0"/>
                <w:numId w:val="50"/>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Организация контроля при приемке  законченных строительством объектов, проверки исполнительной и приемо-сдаточной документации;</w:t>
            </w:r>
          </w:p>
          <w:p w:rsidR="00D602D4" w:rsidRDefault="000B4C86">
            <w:pPr>
              <w:pStyle w:val="ac"/>
              <w:widowControl w:val="0"/>
              <w:numPr>
                <w:ilvl w:val="0"/>
                <w:numId w:val="50"/>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lastRenderedPageBreak/>
              <w:t>Ведение претензионно-исковой работы с подрядными организациями, допустившими нарушение договорных обязательств, требований строительных и технических норм и правил.</w:t>
            </w:r>
          </w:p>
        </w:tc>
      </w:tr>
      <w:tr w:rsidR="00D602D4">
        <w:trPr>
          <w:trHeight w:val="230"/>
        </w:trPr>
        <w:tc>
          <w:tcPr>
            <w:tcW w:w="973"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lastRenderedPageBreak/>
              <w:t>ПР9</w:t>
            </w:r>
          </w:p>
        </w:tc>
        <w:tc>
          <w:tcPr>
            <w:tcW w:w="2107" w:type="dxa"/>
            <w:vMerge w:val="restar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Совершение преступления коррупционной направленности работниками Общества</w:t>
            </w:r>
          </w:p>
        </w:tc>
        <w:tc>
          <w:tcPr>
            <w:tcW w:w="1459" w:type="dxa"/>
            <w:vMerge w:val="restart"/>
            <w:tcBorders>
              <w:top w:val="single" w:sz="4" w:space="0" w:color="000000"/>
              <w:left w:val="single" w:sz="4" w:space="0" w:color="000000"/>
              <w:bottom w:val="single" w:sz="4" w:space="0" w:color="000000"/>
              <w:right w:val="single" w:sz="4" w:space="0" w:color="000000"/>
            </w:tcBorders>
            <w:shd w:val="clear" w:color="FFFFFF" w:fill="FF00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Критический</w:t>
            </w:r>
          </w:p>
        </w:tc>
        <w:tc>
          <w:tcPr>
            <w:tcW w:w="5639" w:type="dxa"/>
            <w:vMerge w:val="restar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51"/>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Разработка, утверждение и реализация мероприятий плана противодействия коррупции ПАО «Россети Сибирь»;</w:t>
            </w:r>
          </w:p>
          <w:p w:rsidR="00D602D4" w:rsidRDefault="000B4C86">
            <w:pPr>
              <w:pStyle w:val="ac"/>
              <w:widowControl w:val="0"/>
              <w:numPr>
                <w:ilvl w:val="0"/>
                <w:numId w:val="51"/>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Проведение онлайн-обучения и тестирования всех принимаемых сотрудников по вопросам профилактики и противодействия коррупции;</w:t>
            </w:r>
          </w:p>
          <w:p w:rsidR="00D602D4" w:rsidRDefault="000B4C86">
            <w:pPr>
              <w:pStyle w:val="ac"/>
              <w:widowControl w:val="0"/>
              <w:numPr>
                <w:ilvl w:val="0"/>
                <w:numId w:val="51"/>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Заключение Соглашений о соблюдении требований Антикоррупционной политики со всеми вновь принятыми сотрудниками.</w:t>
            </w:r>
          </w:p>
        </w:tc>
      </w:tr>
      <w:tr w:rsidR="00D602D4">
        <w:trPr>
          <w:trHeight w:val="2341"/>
        </w:trPr>
        <w:tc>
          <w:tcPr>
            <w:tcW w:w="973"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ПР10</w:t>
            </w:r>
          </w:p>
        </w:tc>
        <w:tc>
          <w:tcPr>
            <w:tcW w:w="2107" w:type="dxa"/>
            <w:vMerge w:val="restar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Неправомерные действия юридических и физических лиц, в том числе работников ДО, наносящие экономический ущерб, а также вред деловой репутации Общества</w:t>
            </w:r>
          </w:p>
        </w:tc>
        <w:tc>
          <w:tcPr>
            <w:tcW w:w="1459" w:type="dxa"/>
            <w:vMerge w:val="restart"/>
            <w:tcBorders>
              <w:top w:val="single" w:sz="4" w:space="0" w:color="000000"/>
              <w:left w:val="single" w:sz="4" w:space="0" w:color="000000"/>
              <w:bottom w:val="single" w:sz="4" w:space="0" w:color="000000"/>
              <w:right w:val="single" w:sz="4" w:space="0" w:color="000000"/>
            </w:tcBorders>
            <w:shd w:val="clear" w:color="FFFFFF" w:fill="FF0000"/>
            <w:noWrap/>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rPr>
              <w:t>Критический</w:t>
            </w:r>
          </w:p>
        </w:tc>
        <w:tc>
          <w:tcPr>
            <w:tcW w:w="5639" w:type="dxa"/>
            <w:vMerge w:val="restar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widowControl w:val="0"/>
              <w:numPr>
                <w:ilvl w:val="0"/>
                <w:numId w:val="52"/>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Проверка аффилированности сотрудников Общества сконтрагентами оказывающими услуги, либо производящими работы для Общества;</w:t>
            </w:r>
          </w:p>
          <w:p w:rsidR="00D602D4" w:rsidRDefault="000B4C86">
            <w:pPr>
              <w:pStyle w:val="ac"/>
              <w:widowControl w:val="0"/>
              <w:numPr>
                <w:ilvl w:val="0"/>
                <w:numId w:val="52"/>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Проведение служебных проверок в отношении сотрудников Общества по фактам нарушения стандартов и локальных актов Общества, с целью профилактики повторных нарушений и недопущению совершения мошеннических и иных противоправных действий;</w:t>
            </w:r>
          </w:p>
          <w:p w:rsidR="00D602D4" w:rsidRDefault="000B4C86">
            <w:pPr>
              <w:pStyle w:val="ac"/>
              <w:widowControl w:val="0"/>
              <w:numPr>
                <w:ilvl w:val="0"/>
                <w:numId w:val="52"/>
              </w:numPr>
              <w:tabs>
                <w:tab w:val="left" w:pos="283"/>
              </w:tabs>
              <w:spacing w:after="0" w:line="240" w:lineRule="auto"/>
              <w:ind w:left="0" w:firstLine="0"/>
              <w:contextualSpacing w:val="0"/>
              <w:rPr>
                <w:rFonts w:ascii="Times New Roman" w:hAnsi="Times New Roman" w:cs="Times New Roman"/>
                <w:sz w:val="20"/>
                <w:szCs w:val="20"/>
              </w:rPr>
            </w:pPr>
            <w:r>
              <w:rPr>
                <w:rFonts w:ascii="Times New Roman" w:eastAsia="Times New Roman" w:hAnsi="Times New Roman" w:cs="Times New Roman"/>
                <w:sz w:val="20"/>
                <w:szCs w:val="20"/>
              </w:rPr>
              <w:t>Проведение проверок контрагентов на соответствия объемов и качества выполненных работ;</w:t>
            </w:r>
          </w:p>
        </w:tc>
      </w:tr>
    </w:tbl>
    <w:p w:rsidR="00D602D4" w:rsidRDefault="000B4C86">
      <w:pPr>
        <w:keepNext/>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Карта рисков ПАО «Россети Сибирь»</w:t>
      </w:r>
    </w:p>
    <w:p w:rsidR="00D602D4" w:rsidRDefault="000B4C86">
      <w:pPr>
        <w:keepNext/>
        <w:spacing w:after="0" w:line="240" w:lineRule="auto"/>
        <w:jc w:val="center"/>
        <w:rPr>
          <w:rFonts w:ascii="Times New Roman" w:hAnsi="Times New Roman" w:cs="Times New Roman"/>
          <w:sz w:val="24"/>
          <w:szCs w:val="24"/>
        </w:rPr>
      </w:pPr>
      <w:r>
        <w:rPr>
          <w:noProof/>
          <w:lang w:eastAsia="ru-RU"/>
        </w:rPr>
        <w:drawing>
          <wp:inline distT="0" distB="0" distL="0" distR="0">
            <wp:extent cx="4473347" cy="3131427"/>
            <wp:effectExtent l="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05510" name=""/>
                    <pic:cNvPicPr>
                      <a:picLocks noChangeAspect="1"/>
                    </pic:cNvPicPr>
                  </pic:nvPicPr>
                  <pic:blipFill>
                    <a:blip r:embed="rId43"/>
                    <a:stretch/>
                  </pic:blipFill>
                  <pic:spPr bwMode="auto">
                    <a:xfrm>
                      <a:off x="0" y="0"/>
                      <a:ext cx="4473346" cy="3131426"/>
                    </a:xfrm>
                    <a:prstGeom prst="rect">
                      <a:avLst/>
                    </a:prstGeom>
                  </pic:spPr>
                </pic:pic>
              </a:graphicData>
            </a:graphic>
          </wp:inline>
        </w:drawing>
      </w:r>
    </w:p>
    <w:p w:rsidR="00D602D4" w:rsidRDefault="000B4C86">
      <w:pPr>
        <w:keepNext/>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 xml:space="preserve">Рисунок 4– </w:t>
      </w:r>
      <w:r>
        <w:rPr>
          <w:rFonts w:ascii="Times New Roman" w:eastAsia="Times New Roman" w:hAnsi="Times New Roman" w:cs="Times New Roman"/>
          <w:sz w:val="20"/>
          <w:szCs w:val="20"/>
          <w:lang w:eastAsia="ru-RU"/>
        </w:rPr>
        <w:t>Карта рисков Общества на 2024год</w:t>
      </w:r>
    </w:p>
    <w:p w:rsidR="00D602D4" w:rsidRDefault="00D602D4">
      <w:pPr>
        <w:keepNext/>
        <w:ind w:firstLine="426"/>
        <w:rPr>
          <w:rFonts w:ascii="Times New Roman" w:eastAsia="Times New Roman" w:hAnsi="Times New Roman" w:cs="Times New Roman"/>
          <w:b/>
          <w:bCs/>
          <w:caps/>
          <w:sz w:val="24"/>
          <w:szCs w:val="24"/>
        </w:rPr>
      </w:pPr>
    </w:p>
    <w:p w:rsidR="00D602D4" w:rsidRDefault="00D602D4">
      <w:pPr>
        <w:keepNext/>
        <w:ind w:firstLine="426"/>
        <w:rPr>
          <w:rFonts w:ascii="Times New Roman" w:eastAsia="Times New Roman" w:hAnsi="Times New Roman" w:cs="Times New Roman"/>
          <w:b/>
          <w:bCs/>
          <w:caps/>
          <w:sz w:val="24"/>
          <w:szCs w:val="24"/>
        </w:rPr>
      </w:pPr>
    </w:p>
    <w:p w:rsidR="00D602D4" w:rsidRDefault="000B4C86">
      <w:pPr>
        <w:keepNext/>
        <w:ind w:firstLine="709"/>
        <w:rPr>
          <w:rFonts w:ascii="Times New Roman" w:eastAsia="Times New Roman" w:hAnsi="Times New Roman" w:cs="Times New Roman"/>
          <w:b/>
          <w:bCs/>
          <w:caps/>
          <w:sz w:val="24"/>
          <w:szCs w:val="24"/>
        </w:rPr>
      </w:pPr>
      <w:r>
        <w:rPr>
          <w:rFonts w:ascii="Times New Roman" w:eastAsia="Times New Roman" w:hAnsi="Times New Roman" w:cs="Times New Roman"/>
          <w:b/>
          <w:bCs/>
          <w:caps/>
          <w:sz w:val="24"/>
          <w:szCs w:val="24"/>
        </w:rPr>
        <w:t>Реализация ключевых рисков</w:t>
      </w:r>
    </w:p>
    <w:p w:rsidR="00D602D4" w:rsidRDefault="000B4C86">
      <w:pPr>
        <w:keepNext/>
        <w:pBdr>
          <w:top w:val="none" w:sz="4" w:space="0" w:color="000000"/>
          <w:left w:val="none" w:sz="4" w:space="0" w:color="000000"/>
          <w:bottom w:val="none" w:sz="4" w:space="0" w:color="000000"/>
          <w:right w:val="none" w:sz="4" w:space="0" w:color="000000"/>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Информация о реализации критических и значимых рисков рассматривается органами управления Общества в рамках отчета об организации, функционировании и эффективности системы управления рисками и внутреннего контроля ПАО «Россети Сибирь» за 2024 год.</w:t>
      </w:r>
    </w:p>
    <w:p w:rsidR="00D602D4" w:rsidRDefault="00D602D4">
      <w:pPr>
        <w:keepNext/>
        <w:ind w:firstLine="709"/>
        <w:rPr>
          <w:rFonts w:ascii="Times New Roman" w:eastAsia="Times New Roman" w:hAnsi="Times New Roman" w:cs="Times New Roman"/>
          <w:b/>
          <w:bCs/>
          <w:caps/>
          <w:sz w:val="24"/>
          <w:szCs w:val="24"/>
        </w:rPr>
      </w:pPr>
    </w:p>
    <w:p w:rsidR="00D602D4" w:rsidRDefault="000B4C86">
      <w:pPr>
        <w:keepNext/>
        <w:ind w:firstLine="709"/>
        <w:jc w:val="both"/>
        <w:rPr>
          <w:rFonts w:ascii="Times New Roman" w:eastAsia="Times New Roman" w:hAnsi="Times New Roman" w:cs="Times New Roman"/>
          <w:b/>
          <w:bCs/>
          <w:caps/>
          <w:sz w:val="24"/>
          <w:szCs w:val="24"/>
        </w:rPr>
      </w:pPr>
      <w:r>
        <w:rPr>
          <w:rFonts w:ascii="Times New Roman" w:eastAsia="Times New Roman" w:hAnsi="Times New Roman" w:cs="Times New Roman"/>
          <w:b/>
          <w:bCs/>
          <w:caps/>
          <w:sz w:val="24"/>
          <w:szCs w:val="24"/>
        </w:rPr>
        <w:t>Информация о рисках информационной безопасности и киберугроз</w:t>
      </w:r>
    </w:p>
    <w:p w:rsidR="00D602D4" w:rsidRDefault="000B4C86">
      <w:pPr>
        <w:keepNext/>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sz w:val="24"/>
          <w:szCs w:val="24"/>
        </w:rPr>
        <w:t xml:space="preserve">В целях снижения рисков информационной безопасности, обеспечения устойчивости критической информационной инфраструктуры при проведении в отношении неё </w:t>
      </w:r>
      <w:r>
        <w:rPr>
          <w:rFonts w:ascii="Times New Roman" w:eastAsia="Times New Roman" w:hAnsi="Times New Roman" w:cs="Times New Roman"/>
          <w:color w:val="000000"/>
          <w:sz w:val="24"/>
          <w:szCs w:val="24"/>
        </w:rPr>
        <w:lastRenderedPageBreak/>
        <w:t>компьютерных атак, выполнения требований федеральных законов по информационной безопасности в ПАО «Россети Сибирь» в 2024 году проведены следующие мероприятия:</w:t>
      </w:r>
    </w:p>
    <w:p w:rsidR="00D602D4" w:rsidRDefault="00D602D4">
      <w:pPr>
        <w:keepNext/>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hAnsi="Times New Roman" w:cs="Times New Roman"/>
          <w:sz w:val="24"/>
          <w:szCs w:val="24"/>
        </w:rPr>
      </w:pPr>
    </w:p>
    <w:p w:rsidR="00D602D4" w:rsidRDefault="000B4C86">
      <w:pPr>
        <w:keepNext/>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sz w:val="24"/>
          <w:szCs w:val="24"/>
        </w:rPr>
        <w:t>1. Завершено импортозамещение средств защиты информации: в 2024 году выполнена замена межсетевых экранов типа NGFW на отечественные аналоги.</w:t>
      </w:r>
    </w:p>
    <w:p w:rsidR="00D602D4" w:rsidRDefault="000B4C86">
      <w:pPr>
        <w:keepNext/>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sz w:val="24"/>
          <w:szCs w:val="24"/>
        </w:rPr>
        <w:t>2. Все средства защиты информации обеспечены технической поддержкой и обновлениями от производителя в течение 2024 года.</w:t>
      </w:r>
    </w:p>
    <w:p w:rsidR="00D602D4" w:rsidRDefault="000B4C86">
      <w:pPr>
        <w:keepNext/>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sz w:val="24"/>
          <w:szCs w:val="24"/>
        </w:rPr>
        <w:t>3. Проводится на постоянной основе работа по рассмотрению и реализации мер повышения защищенности информационной инфраструктуры в соответствии с рекомендациями ФСТЭК России.</w:t>
      </w:r>
    </w:p>
    <w:p w:rsidR="00D602D4" w:rsidRDefault="000B4C86">
      <w:pPr>
        <w:keepNext/>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sz w:val="24"/>
          <w:szCs w:val="24"/>
        </w:rPr>
        <w:t>4. В 2024 году проведён внешний аудит информационной безопасности с моделированием поведения внешнего нарушителя («пентест»), уровень защищённости периметра оценён как «выше среднего».</w:t>
      </w:r>
    </w:p>
    <w:p w:rsidR="00D602D4" w:rsidRDefault="000B4C86">
      <w:pPr>
        <w:keepNext/>
        <w:pBdr>
          <w:top w:val="none" w:sz="4" w:space="0" w:color="000000"/>
          <w:left w:val="none" w:sz="4" w:space="0" w:color="000000"/>
          <w:bottom w:val="none" w:sz="4" w:space="0" w:color="000000"/>
          <w:right w:val="none" w:sz="4" w:space="0" w:color="000000"/>
        </w:pBd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sz w:val="24"/>
          <w:szCs w:val="24"/>
        </w:rPr>
        <w:t>5. В целях обеспечения непрерывности процесса обнаружения инцидентов информационной безопасности критическая информационная инфраструктура подключена к корпоративному центру мониторинга Группы компаний «Россети» и региональным центрам мониторинга ФСБ России.</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pStyle w:val="50"/>
        <w:spacing w:before="0" w:after="0"/>
        <w:ind w:firstLine="709"/>
        <w:rPr>
          <w:i w:val="0"/>
          <w:sz w:val="26"/>
          <w:szCs w:val="26"/>
        </w:rPr>
      </w:pPr>
      <w:r>
        <w:rPr>
          <w:i w:val="0"/>
        </w:rPr>
        <w:t xml:space="preserve">Описание рисков в области устойчивого развития. </w:t>
      </w:r>
    </w:p>
    <w:p w:rsidR="00D602D4" w:rsidRDefault="000B4C86">
      <w:pPr>
        <w:tabs>
          <w:tab w:val="left" w:pos="318"/>
        </w:tabs>
        <w:spacing w:after="0" w:line="240" w:lineRule="auto"/>
        <w:ind w:firstLine="709"/>
        <w:jc w:val="both"/>
        <w:rPr>
          <w:rFonts w:ascii="Times New Roman" w:hAnsi="Times New Roman" w:cs="Times New Roman"/>
          <w:sz w:val="24"/>
          <w:szCs w:val="24"/>
        </w:rPr>
      </w:pPr>
      <w:r>
        <w:rPr>
          <w:rFonts w:ascii="Times New Roman" w:hAnsi="Times New Roman" w:cs="Times New Roman"/>
          <w:bCs/>
          <w:sz w:val="24"/>
          <w:szCs w:val="24"/>
        </w:rPr>
        <w:t>Менеджмент Общества проводя анализ возможных негативных событий (угроз), в том числе рассматривает риски и возможности в области устойчивого развития:</w:t>
      </w:r>
    </w:p>
    <w:p w:rsidR="00D602D4" w:rsidRDefault="000B4C86">
      <w:pPr>
        <w:tabs>
          <w:tab w:val="left" w:pos="318"/>
        </w:tabs>
        <w:spacing w:after="0" w:line="240" w:lineRule="auto"/>
        <w:ind w:firstLine="709"/>
        <w:jc w:val="right"/>
        <w:rPr>
          <w:rFonts w:ascii="Times New Roman" w:hAnsi="Times New Roman" w:cs="Times New Roman"/>
          <w:sz w:val="24"/>
          <w:szCs w:val="24"/>
        </w:rPr>
      </w:pPr>
      <w:r>
        <w:rPr>
          <w:rFonts w:ascii="Times New Roman" w:hAnsi="Times New Roman" w:cs="Times New Roman"/>
          <w:bCs/>
          <w:sz w:val="24"/>
          <w:szCs w:val="24"/>
        </w:rPr>
        <w:t>Таблица 10</w:t>
      </w:r>
    </w:p>
    <w:tbl>
      <w:tblPr>
        <w:tblStyle w:val="83"/>
        <w:tblW w:w="9751" w:type="dxa"/>
        <w:tblInd w:w="-5" w:type="dxa"/>
        <w:tblLayout w:type="fixed"/>
        <w:tblLook w:val="04A0" w:firstRow="1" w:lastRow="0" w:firstColumn="1" w:lastColumn="0" w:noHBand="0" w:noVBand="1"/>
      </w:tblPr>
      <w:tblGrid>
        <w:gridCol w:w="1814"/>
        <w:gridCol w:w="1843"/>
        <w:gridCol w:w="3118"/>
        <w:gridCol w:w="2976"/>
      </w:tblGrid>
      <w:tr w:rsidR="00D602D4">
        <w:trPr>
          <w:tblHeader/>
        </w:trPr>
        <w:tc>
          <w:tcPr>
            <w:tcW w:w="1814" w:type="dxa"/>
            <w:tcBorders>
              <w:top w:val="single" w:sz="4" w:space="0" w:color="000000"/>
              <w:left w:val="single" w:sz="4" w:space="0" w:color="000000"/>
              <w:bottom w:val="single" w:sz="4" w:space="0" w:color="000000"/>
              <w:right w:val="single" w:sz="4" w:space="0" w:color="000000"/>
            </w:tcBorders>
            <w:shd w:val="clear" w:color="FFFFFF" w:fill="F2F2F2" w:themeFill="background1" w:themeFillShade="F2"/>
            <w:vAlign w:val="center"/>
          </w:tcPr>
          <w:p w:rsidR="00D602D4" w:rsidRDefault="000B4C86">
            <w:pPr>
              <w:jc w:val="center"/>
              <w:rPr>
                <w:rFonts w:ascii="Times New Roman" w:eastAsia="Calibri" w:hAnsi="Times New Roman" w:cs="Times New Roman"/>
                <w:b/>
                <w:sz w:val="20"/>
                <w:szCs w:val="20"/>
              </w:rPr>
            </w:pPr>
            <w:r>
              <w:rPr>
                <w:rFonts w:ascii="Times New Roman" w:eastAsia="Calibri" w:hAnsi="Times New Roman" w:cs="Times New Roman"/>
                <w:b/>
                <w:sz w:val="20"/>
                <w:szCs w:val="20"/>
              </w:rPr>
              <w:t xml:space="preserve">Цели </w:t>
            </w:r>
          </w:p>
          <w:p w:rsidR="00D602D4" w:rsidRDefault="000B4C86">
            <w:pPr>
              <w:jc w:val="center"/>
              <w:rPr>
                <w:rFonts w:ascii="Times New Roman" w:eastAsia="Calibri" w:hAnsi="Times New Roman" w:cs="Times New Roman"/>
                <w:b/>
                <w:sz w:val="20"/>
                <w:szCs w:val="20"/>
              </w:rPr>
            </w:pPr>
            <w:r>
              <w:rPr>
                <w:rFonts w:ascii="Times New Roman" w:eastAsia="Calibri" w:hAnsi="Times New Roman" w:cs="Times New Roman"/>
                <w:b/>
                <w:sz w:val="20"/>
                <w:szCs w:val="20"/>
              </w:rPr>
              <w:t xml:space="preserve">устойчивого </w:t>
            </w:r>
          </w:p>
          <w:p w:rsidR="00D602D4" w:rsidRDefault="000B4C86">
            <w:pPr>
              <w:jc w:val="center"/>
              <w:rPr>
                <w:rFonts w:ascii="Times New Roman" w:eastAsia="Calibri" w:hAnsi="Times New Roman" w:cs="Times New Roman"/>
                <w:b/>
                <w:sz w:val="20"/>
                <w:szCs w:val="20"/>
              </w:rPr>
            </w:pPr>
            <w:r>
              <w:rPr>
                <w:rFonts w:ascii="Times New Roman" w:eastAsia="Calibri" w:hAnsi="Times New Roman" w:cs="Times New Roman"/>
                <w:b/>
                <w:sz w:val="20"/>
                <w:szCs w:val="20"/>
              </w:rPr>
              <w:t>развития</w:t>
            </w:r>
          </w:p>
        </w:tc>
        <w:tc>
          <w:tcPr>
            <w:tcW w:w="1843" w:type="dxa"/>
            <w:tcBorders>
              <w:top w:val="single" w:sz="4" w:space="0" w:color="000000"/>
              <w:left w:val="single" w:sz="4" w:space="0" w:color="000000"/>
              <w:bottom w:val="single" w:sz="4" w:space="0" w:color="000000"/>
              <w:right w:val="single" w:sz="4" w:space="0" w:color="000000"/>
            </w:tcBorders>
            <w:shd w:val="clear" w:color="FFFFFF" w:fill="F2F2F2" w:themeFill="background1" w:themeFillShade="F2"/>
            <w:vAlign w:val="center"/>
          </w:tcPr>
          <w:p w:rsidR="00D602D4" w:rsidRDefault="000B4C86">
            <w:pPr>
              <w:jc w:val="center"/>
              <w:rPr>
                <w:rFonts w:ascii="Times New Roman" w:eastAsia="Calibri" w:hAnsi="Times New Roman" w:cs="Times New Roman"/>
                <w:b/>
                <w:sz w:val="20"/>
                <w:szCs w:val="20"/>
              </w:rPr>
            </w:pPr>
            <w:r>
              <w:rPr>
                <w:rFonts w:ascii="Times New Roman" w:eastAsia="Calibri" w:hAnsi="Times New Roman" w:cs="Times New Roman"/>
                <w:b/>
                <w:sz w:val="20"/>
                <w:szCs w:val="20"/>
              </w:rPr>
              <w:t>Описание</w:t>
            </w:r>
          </w:p>
        </w:tc>
        <w:tc>
          <w:tcPr>
            <w:tcW w:w="3118" w:type="dxa"/>
            <w:tcBorders>
              <w:top w:val="single" w:sz="4" w:space="0" w:color="000000"/>
              <w:left w:val="single" w:sz="4" w:space="0" w:color="000000"/>
              <w:bottom w:val="single" w:sz="4" w:space="0" w:color="000000"/>
              <w:right w:val="single" w:sz="4" w:space="0" w:color="000000"/>
            </w:tcBorders>
            <w:shd w:val="clear" w:color="FFFFFF" w:fill="F2F2F2" w:themeFill="background1" w:themeFillShade="F2"/>
            <w:vAlign w:val="center"/>
          </w:tcPr>
          <w:p w:rsidR="00D602D4" w:rsidRDefault="000B4C86">
            <w:pPr>
              <w:jc w:val="center"/>
              <w:rPr>
                <w:rFonts w:ascii="Times New Roman" w:eastAsia="Calibri" w:hAnsi="Times New Roman" w:cs="Times New Roman"/>
                <w:b/>
                <w:sz w:val="20"/>
                <w:szCs w:val="20"/>
              </w:rPr>
            </w:pPr>
            <w:r>
              <w:rPr>
                <w:rFonts w:ascii="Times New Roman" w:eastAsia="Calibri" w:hAnsi="Times New Roman" w:cs="Times New Roman"/>
                <w:b/>
                <w:sz w:val="20"/>
                <w:szCs w:val="20"/>
              </w:rPr>
              <w:t>Возможности</w:t>
            </w:r>
          </w:p>
        </w:tc>
        <w:tc>
          <w:tcPr>
            <w:tcW w:w="2976" w:type="dxa"/>
            <w:tcBorders>
              <w:top w:val="single" w:sz="4" w:space="0" w:color="000000"/>
              <w:left w:val="single" w:sz="4" w:space="0" w:color="000000"/>
              <w:bottom w:val="single" w:sz="4" w:space="0" w:color="000000"/>
              <w:right w:val="single" w:sz="4" w:space="0" w:color="000000"/>
            </w:tcBorders>
            <w:shd w:val="clear" w:color="FFFFFF" w:fill="F2F2F2" w:themeFill="background1" w:themeFillShade="F2"/>
            <w:vAlign w:val="center"/>
          </w:tcPr>
          <w:p w:rsidR="00D602D4" w:rsidRDefault="000B4C86">
            <w:pPr>
              <w:jc w:val="center"/>
              <w:rPr>
                <w:rFonts w:ascii="Times New Roman" w:eastAsia="Calibri" w:hAnsi="Times New Roman" w:cs="Times New Roman"/>
                <w:b/>
                <w:sz w:val="20"/>
                <w:szCs w:val="20"/>
              </w:rPr>
            </w:pPr>
            <w:r>
              <w:rPr>
                <w:rFonts w:ascii="Times New Roman" w:eastAsia="Calibri" w:hAnsi="Times New Roman" w:cs="Times New Roman"/>
                <w:b/>
                <w:sz w:val="20"/>
                <w:szCs w:val="20"/>
              </w:rPr>
              <w:t>Риски</w:t>
            </w:r>
          </w:p>
        </w:tc>
      </w:tr>
      <w:tr w:rsidR="00D602D4">
        <w:tc>
          <w:tcPr>
            <w:tcW w:w="9751" w:type="dxa"/>
            <w:gridSpan w:val="4"/>
            <w:tcBorders>
              <w:top w:val="single" w:sz="4" w:space="0" w:color="000000"/>
              <w:left w:val="single" w:sz="4" w:space="0" w:color="000000"/>
              <w:bottom w:val="single" w:sz="4" w:space="0" w:color="000000"/>
              <w:right w:val="single" w:sz="4" w:space="0" w:color="000000"/>
            </w:tcBorders>
            <w:shd w:val="clear" w:color="FFFFFF" w:fill="F2F2F2" w:themeFill="background1" w:themeFillShade="F2"/>
            <w:vAlign w:val="center"/>
          </w:tcPr>
          <w:p w:rsidR="00D602D4" w:rsidRDefault="000B4C86">
            <w:pPr>
              <w:rPr>
                <w:rFonts w:ascii="Times New Roman" w:eastAsia="PFDinTextCondPro-Medium" w:hAnsi="Times New Roman" w:cs="Times New Roman"/>
                <w:b/>
                <w:color w:val="005C9D"/>
                <w:sz w:val="20"/>
                <w:szCs w:val="20"/>
              </w:rPr>
            </w:pPr>
            <w:r>
              <w:rPr>
                <w:rFonts w:ascii="Times New Roman" w:eastAsia="Calibri" w:hAnsi="Times New Roman" w:cs="Times New Roman"/>
                <w:b/>
                <w:sz w:val="20"/>
                <w:szCs w:val="20"/>
              </w:rPr>
              <w:t>РАЗВИТИЕ РАБОТНИКОВ И ОБЩЕСТВА, СОЗДАНИЕ ДОСТОЙНЫХ И БЕЗОПАСНЫХ УСЛОВИЙ ТРУДА</w:t>
            </w:r>
          </w:p>
        </w:tc>
      </w:tr>
      <w:tr w:rsidR="00D602D4">
        <w:tc>
          <w:tcPr>
            <w:tcW w:w="181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Хорошее здоровье и благополучие</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Обеспечение здорового образа жизни и содействие всеобщему благополучию, независимо от возраста.</w:t>
            </w:r>
          </w:p>
        </w:tc>
        <w:tc>
          <w:tcPr>
            <w:tcW w:w="311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Defaul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Стабильный, квалифицированный и высокопроизводительный трудовой коллектив.</w:t>
            </w:r>
          </w:p>
          <w:p w:rsidR="00D602D4" w:rsidRDefault="000B4C86">
            <w:pPr>
              <w:pStyle w:val="ac"/>
              <w:tabs>
                <w:tab w:val="left" w:pos="216"/>
              </w:tabs>
              <w:spacing w:after="0" w:line="240" w:lineRule="auto"/>
              <w:ind w:left="0"/>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Высокий уровень обеспеченности персоналом за счет:</w:t>
            </w:r>
          </w:p>
          <w:p w:rsidR="00D602D4" w:rsidRDefault="000B4C86">
            <w:pPr>
              <w:pStyle w:val="ac"/>
              <w:tabs>
                <w:tab w:val="left" w:pos="216"/>
              </w:tabs>
              <w:spacing w:after="0" w:line="240" w:lineRule="auto"/>
              <w:ind w:left="0"/>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 низкой текучести кадров;</w:t>
            </w:r>
          </w:p>
          <w:p w:rsidR="00D602D4" w:rsidRDefault="000B4C86">
            <w:pPr>
              <w:pStyle w:val="ac"/>
              <w:tabs>
                <w:tab w:val="left" w:pos="216"/>
              </w:tabs>
              <w:spacing w:after="0" w:line="240" w:lineRule="auto"/>
              <w:ind w:left="0"/>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 реализации системных мероприятий, направленных на развитие кадрового потенциала;</w:t>
            </w:r>
          </w:p>
          <w:p w:rsidR="00D602D4" w:rsidRDefault="000B4C86">
            <w:pPr>
              <w:pStyle w:val="ac"/>
              <w:tabs>
                <w:tab w:val="left" w:pos="216"/>
              </w:tabs>
              <w:spacing w:after="0" w:line="240" w:lineRule="auto"/>
              <w:ind w:left="0"/>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 улучшения условий и охраны труда;</w:t>
            </w:r>
          </w:p>
          <w:p w:rsidR="00D602D4" w:rsidRDefault="000B4C86">
            <w:pPr>
              <w:pStyle w:val="ac"/>
              <w:tabs>
                <w:tab w:val="left" w:pos="216"/>
              </w:tabs>
              <w:spacing w:after="0" w:line="240" w:lineRule="auto"/>
              <w:ind w:left="0"/>
              <w:rPr>
                <w:rFonts w:ascii="Times New Roman" w:eastAsia="Calibri" w:hAnsi="Times New Roman" w:cs="Times New Roman"/>
                <w:color w:val="000000" w:themeColor="text1"/>
                <w:sz w:val="20"/>
                <w:szCs w:val="20"/>
              </w:rPr>
            </w:pPr>
            <w:r>
              <w:rPr>
                <w:rFonts w:ascii="Times New Roman" w:eastAsia="Calibri" w:hAnsi="Times New Roman" w:cs="Times New Roman"/>
                <w:color w:val="000000" w:themeColor="text1"/>
                <w:sz w:val="20"/>
                <w:szCs w:val="20"/>
              </w:rPr>
              <w:t>– снижения профессиональных рисков.</w:t>
            </w:r>
          </w:p>
        </w:tc>
        <w:tc>
          <w:tcPr>
            <w:tcW w:w="2976"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Default"/>
              <w:numPr>
                <w:ilvl w:val="0"/>
                <w:numId w:val="53"/>
              </w:numPr>
              <w:tabs>
                <w:tab w:val="left" w:pos="254"/>
              </w:tabs>
              <w:ind w:left="32" w:hanging="2"/>
              <w:rPr>
                <w:rFonts w:ascii="Times New Roman" w:hAnsi="Times New Roman" w:cs="Times New Roman"/>
                <w:color w:val="auto"/>
                <w:sz w:val="20"/>
                <w:szCs w:val="20"/>
              </w:rPr>
            </w:pPr>
            <w:r>
              <w:rPr>
                <w:rFonts w:ascii="Times New Roman" w:hAnsi="Times New Roman" w:cs="Times New Roman"/>
                <w:color w:val="000000" w:themeColor="text1"/>
                <w:sz w:val="20"/>
                <w:szCs w:val="20"/>
              </w:rPr>
              <w:t>Возникновение несчастного случая на производстве с персоналом ПАО «Россети Сибирь»;</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auto"/>
                <w:sz w:val="20"/>
                <w:szCs w:val="20"/>
              </w:rPr>
              <w:t>Риски, связанные с нетрудоспособностью персонала в связи с заболеваниями эпидемиологического или пандемического характера.</w:t>
            </w:r>
          </w:p>
        </w:tc>
      </w:tr>
      <w:tr w:rsidR="00D602D4">
        <w:tc>
          <w:tcPr>
            <w:tcW w:w="9751" w:type="dxa"/>
            <w:gridSpan w:val="4"/>
            <w:tcBorders>
              <w:top w:val="single" w:sz="4" w:space="0" w:color="000000"/>
              <w:left w:val="single" w:sz="4" w:space="0" w:color="000000"/>
              <w:bottom w:val="single" w:sz="4" w:space="0" w:color="000000"/>
              <w:right w:val="single" w:sz="4" w:space="0" w:color="000000"/>
            </w:tcBorders>
            <w:shd w:val="clear" w:color="FFFFFF" w:fill="F2F2F2" w:themeFill="background1" w:themeFillShade="F2"/>
            <w:vAlign w:val="center"/>
          </w:tcPr>
          <w:p w:rsidR="00D602D4" w:rsidRDefault="000B4C86">
            <w:pPr>
              <w:rPr>
                <w:rFonts w:ascii="Times New Roman" w:eastAsia="Calibri" w:hAnsi="Times New Roman" w:cs="Times New Roman"/>
                <w:b/>
                <w:sz w:val="20"/>
                <w:szCs w:val="20"/>
              </w:rPr>
            </w:pPr>
            <w:r>
              <w:rPr>
                <w:rFonts w:ascii="Times New Roman" w:eastAsia="Calibri" w:hAnsi="Times New Roman" w:cs="Times New Roman"/>
                <w:b/>
                <w:sz w:val="20"/>
                <w:szCs w:val="20"/>
              </w:rPr>
              <w:t>СОЗДАНИЕ КАЧЕСТВЕННЫХ И ДОСТУПНЫХ СЕРВИСОВ ДЛЯ ПОТРЕБИТЕЛЕЙ</w:t>
            </w:r>
          </w:p>
        </w:tc>
      </w:tr>
      <w:tr w:rsidR="00D602D4">
        <w:tc>
          <w:tcPr>
            <w:tcW w:w="181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b/>
                <w:sz w:val="20"/>
                <w:szCs w:val="20"/>
              </w:rPr>
            </w:pPr>
            <w:r>
              <w:rPr>
                <w:rFonts w:ascii="Times New Roman" w:eastAsia="Calibri" w:hAnsi="Times New Roman" w:cs="Times New Roman"/>
                <w:color w:val="000000" w:themeColor="text1"/>
                <w:sz w:val="20"/>
                <w:szCs w:val="20"/>
              </w:rPr>
              <w:t>Недорогостоящая и «чистая» энергрия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Calibri" w:hAnsi="Times New Roman" w:cs="Times New Roman"/>
                <w:color w:val="636363"/>
                <w:sz w:val="20"/>
                <w:szCs w:val="20"/>
              </w:rPr>
            </w:pPr>
            <w:r>
              <w:rPr>
                <w:rFonts w:ascii="Times New Roman" w:eastAsia="Calibri" w:hAnsi="Times New Roman" w:cs="Times New Roman"/>
                <w:sz w:val="20"/>
                <w:szCs w:val="20"/>
              </w:rPr>
              <w:t>Обеспечение всеобщего доступа к недорогим, надежным, устойчивым и современным источникам энергии.</w:t>
            </w:r>
          </w:p>
        </w:tc>
        <w:tc>
          <w:tcPr>
            <w:tcW w:w="311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Default"/>
              <w:rPr>
                <w:rFonts w:ascii="Times New Roman" w:hAnsi="Times New Roman" w:cs="Times New Roman"/>
                <w:color w:val="636363"/>
                <w:sz w:val="20"/>
                <w:szCs w:val="20"/>
              </w:rPr>
            </w:pPr>
            <w:r>
              <w:rPr>
                <w:rFonts w:ascii="Times New Roman" w:hAnsi="Times New Roman" w:cs="Times New Roman"/>
                <w:color w:val="auto"/>
                <w:sz w:val="20"/>
                <w:szCs w:val="20"/>
              </w:rPr>
              <w:t>Общество, обеспечивая надежное, качественное и доступное электроснабжение, упрощая процедуры взаимодействия с потребителями электроэнергии путем развития электронных сервисов, повышает энергоэффективность, качество обслуживания потребителей, увеличивает долю оказываемых услуг на территории присутствия.</w:t>
            </w:r>
          </w:p>
        </w:tc>
        <w:tc>
          <w:tcPr>
            <w:tcW w:w="2976"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Default"/>
              <w:numPr>
                <w:ilvl w:val="0"/>
                <w:numId w:val="53"/>
              </w:numPr>
              <w:tabs>
                <w:tab w:val="left" w:pos="254"/>
              </w:tabs>
              <w:ind w:left="32" w:hanging="2"/>
              <w:rPr>
                <w:rFonts w:ascii="Times New Roman" w:hAnsi="Times New Roman" w:cs="Times New Roman"/>
                <w:color w:val="FF0000"/>
                <w:sz w:val="20"/>
                <w:szCs w:val="20"/>
              </w:rPr>
            </w:pPr>
            <w:r>
              <w:rPr>
                <w:rFonts w:ascii="Times New Roman" w:hAnsi="Times New Roman" w:cs="Times New Roman"/>
                <w:color w:val="000000" w:themeColor="text1"/>
                <w:sz w:val="20"/>
                <w:szCs w:val="20"/>
              </w:rPr>
              <w:t xml:space="preserve">Риск снижения надежности электроснабжения; </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Недостижение показателя качества оказываемых услуг.</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Нарушение функционирования объектов критической информационной инфраструктуры электросетевого комплекса.</w:t>
            </w:r>
          </w:p>
        </w:tc>
      </w:tr>
      <w:tr w:rsidR="00D602D4">
        <w:tc>
          <w:tcPr>
            <w:tcW w:w="9751" w:type="dxa"/>
            <w:gridSpan w:val="4"/>
            <w:tcBorders>
              <w:top w:val="single" w:sz="4" w:space="0" w:color="000000"/>
              <w:left w:val="single" w:sz="4" w:space="0" w:color="000000"/>
              <w:bottom w:val="single" w:sz="4" w:space="0" w:color="000000"/>
              <w:right w:val="single" w:sz="4" w:space="0" w:color="000000"/>
            </w:tcBorders>
            <w:shd w:val="clear" w:color="FFFFFF" w:fill="F2F2F2" w:themeFill="background1" w:themeFillShade="F2"/>
          </w:tcPr>
          <w:p w:rsidR="00D602D4" w:rsidRDefault="000B4C86">
            <w:pPr>
              <w:rPr>
                <w:rFonts w:ascii="Times New Roman" w:eastAsia="PFDinTextCondPro-Medium" w:hAnsi="Times New Roman" w:cs="Times New Roman"/>
                <w:b/>
                <w:color w:val="005C9D"/>
                <w:sz w:val="20"/>
                <w:szCs w:val="20"/>
              </w:rPr>
            </w:pPr>
            <w:r>
              <w:rPr>
                <w:rFonts w:ascii="Times New Roman" w:eastAsia="Calibri" w:hAnsi="Times New Roman" w:cs="Times New Roman"/>
                <w:b/>
                <w:sz w:val="20"/>
                <w:szCs w:val="20"/>
              </w:rPr>
              <w:t>СОВЕРШЕНСТВОВАНИЕ ОПЕРАЦИОННОЙ ДЕЯТЕЛЬНОСТИ И СОЗДАНИЕ ЦЕННОСТИ</w:t>
            </w:r>
          </w:p>
        </w:tc>
      </w:tr>
      <w:tr w:rsidR="00D602D4">
        <w:tc>
          <w:tcPr>
            <w:tcW w:w="181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highlight w:val="yellow"/>
              </w:rPr>
            </w:pPr>
            <w:r>
              <w:rPr>
                <w:rFonts w:ascii="Times New Roman" w:eastAsia="Calibri" w:hAnsi="Times New Roman" w:cs="Times New Roman"/>
                <w:color w:val="000000" w:themeColor="text1"/>
                <w:sz w:val="20"/>
                <w:szCs w:val="20"/>
              </w:rPr>
              <w:t>Развитие инфраструктуры, инновации</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Calibri" w:hAnsi="Times New Roman" w:cs="Times New Roman"/>
                <w:color w:val="636363"/>
                <w:sz w:val="20"/>
                <w:szCs w:val="20"/>
              </w:rPr>
            </w:pPr>
            <w:r>
              <w:rPr>
                <w:rFonts w:ascii="Times New Roman" w:eastAsia="Calibri" w:hAnsi="Times New Roman" w:cs="Times New Roman"/>
                <w:sz w:val="20"/>
                <w:szCs w:val="20"/>
              </w:rPr>
              <w:t xml:space="preserve">Создание стойкой инфраструктуры, содействие всеохватной и устойчивой индустриализации и </w:t>
            </w:r>
            <w:r>
              <w:rPr>
                <w:rFonts w:ascii="Times New Roman" w:eastAsia="Calibri" w:hAnsi="Times New Roman" w:cs="Times New Roman"/>
                <w:sz w:val="20"/>
                <w:szCs w:val="20"/>
              </w:rPr>
              <w:lastRenderedPageBreak/>
              <w:t>инновациям.</w:t>
            </w:r>
          </w:p>
        </w:tc>
        <w:tc>
          <w:tcPr>
            <w:tcW w:w="3118" w:type="dxa"/>
            <w:tcBorders>
              <w:top w:val="single" w:sz="4" w:space="0" w:color="000000"/>
              <w:left w:val="single" w:sz="4" w:space="0" w:color="000000"/>
              <w:bottom w:val="single" w:sz="4" w:space="0" w:color="000000"/>
              <w:right w:val="single" w:sz="4" w:space="0" w:color="000000"/>
            </w:tcBorders>
            <w:vAlign w:val="center"/>
          </w:tcPr>
          <w:p w:rsidR="00D602D4" w:rsidRDefault="000B4C86">
            <w:pPr>
              <w:rPr>
                <w:rFonts w:ascii="Times New Roman" w:eastAsia="Calibri" w:hAnsi="Times New Roman" w:cs="Times New Roman"/>
                <w:sz w:val="20"/>
                <w:szCs w:val="20"/>
              </w:rPr>
            </w:pPr>
            <w:r>
              <w:rPr>
                <w:rFonts w:ascii="Times New Roman" w:eastAsia="Calibri" w:hAnsi="Times New Roman" w:cs="Times New Roman"/>
                <w:sz w:val="20"/>
                <w:szCs w:val="20"/>
              </w:rPr>
              <w:lastRenderedPageBreak/>
              <w:t>Создание надежной цифровой инфраструктуры, не оказывающей негативного влияния на экологию региона.</w:t>
            </w:r>
          </w:p>
          <w:p w:rsidR="00D602D4" w:rsidRDefault="000B4C86">
            <w:pPr>
              <w:tabs>
                <w:tab w:val="left" w:pos="251"/>
              </w:tabs>
              <w:rPr>
                <w:rFonts w:ascii="Times New Roman" w:eastAsia="Calibri" w:hAnsi="Times New Roman" w:cs="Times New Roman"/>
                <w:i/>
                <w:color w:val="636363"/>
                <w:sz w:val="20"/>
                <w:szCs w:val="20"/>
              </w:rPr>
            </w:pPr>
            <w:r>
              <w:rPr>
                <w:rFonts w:ascii="Times New Roman" w:eastAsia="Calibri" w:hAnsi="Times New Roman" w:cs="Times New Roman"/>
                <w:i/>
                <w:sz w:val="20"/>
                <w:szCs w:val="20"/>
              </w:rPr>
              <w:t xml:space="preserve">Возможности, получаемые за счет внедрения рационализаторских </w:t>
            </w:r>
            <w:r>
              <w:rPr>
                <w:rFonts w:ascii="Times New Roman" w:eastAsia="Calibri" w:hAnsi="Times New Roman" w:cs="Times New Roman"/>
                <w:i/>
                <w:sz w:val="20"/>
                <w:szCs w:val="20"/>
              </w:rPr>
              <w:lastRenderedPageBreak/>
              <w:t>технических, организационных и управленческих предложений работников, направленных на улучшение основных производственных показателей и создание условий для внедрения самых передовых технологий.</w:t>
            </w:r>
            <w:r>
              <w:rPr>
                <w:rFonts w:ascii="Times New Roman" w:hAnsi="Times New Roman" w:cs="Times New Roman"/>
                <w:i/>
                <w:sz w:val="20"/>
                <w:szCs w:val="20"/>
              </w:rPr>
              <w:t xml:space="preserve"> </w:t>
            </w:r>
          </w:p>
        </w:tc>
        <w:tc>
          <w:tcPr>
            <w:tcW w:w="2976"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lastRenderedPageBreak/>
              <w:t>Повреждение, утрата, уничтожение объектов электросетевого комплекса.</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Нарушение целостности, доступности, </w:t>
            </w:r>
            <w:r>
              <w:rPr>
                <w:rFonts w:ascii="Times New Roman" w:hAnsi="Times New Roman" w:cs="Times New Roman"/>
                <w:color w:val="000000" w:themeColor="text1"/>
                <w:sz w:val="20"/>
                <w:szCs w:val="20"/>
              </w:rPr>
              <w:lastRenderedPageBreak/>
              <w:t>конфиденциальности информации.</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Нарушение функционирования объектов критической информационной инфраструктуры электросетевого комплекса.</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Невыполнение показателей эффективности инновационной деятельности;</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Недостаточность средств инвестиционной программы для реализации инновационных решений, отсутствие подрядчиков, доступного оборудования, соответствующих необходимым требованиям для реализации инновационных проектов</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Недостаточная квалификация производственного персонала</w:t>
            </w:r>
          </w:p>
        </w:tc>
      </w:tr>
      <w:tr w:rsidR="00D602D4">
        <w:tc>
          <w:tcPr>
            <w:tcW w:w="181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highlight w:val="yellow"/>
              </w:rPr>
            </w:pPr>
            <w:r>
              <w:rPr>
                <w:rFonts w:ascii="Times New Roman" w:hAnsi="Times New Roman" w:cs="Times New Roman"/>
                <w:sz w:val="20"/>
                <w:szCs w:val="20"/>
              </w:rPr>
              <w:lastRenderedPageBreak/>
              <w:t>Ответственные потребление и производство</w:t>
            </w:r>
          </w:p>
          <w:p w:rsidR="00D602D4" w:rsidRDefault="00D602D4">
            <w:pPr>
              <w:jc w:val="center"/>
              <w:rPr>
                <w:rFonts w:ascii="Times New Roman" w:hAnsi="Times New Roman" w:cs="Times New Roman"/>
                <w:sz w:val="20"/>
                <w:szCs w:val="20"/>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Calibri" w:hAnsi="Times New Roman" w:cs="Times New Roman"/>
                <w:color w:val="636363"/>
                <w:sz w:val="20"/>
                <w:szCs w:val="20"/>
              </w:rPr>
            </w:pPr>
            <w:r>
              <w:rPr>
                <w:rFonts w:ascii="Times New Roman" w:eastAsia="Calibri" w:hAnsi="Times New Roman" w:cs="Times New Roman"/>
                <w:sz w:val="20"/>
                <w:szCs w:val="20"/>
              </w:rPr>
              <w:t>Обеспечение перехода к рациональным моделям потребления и производства.</w:t>
            </w:r>
          </w:p>
        </w:tc>
        <w:tc>
          <w:tcPr>
            <w:tcW w:w="3118" w:type="dxa"/>
            <w:tcBorders>
              <w:top w:val="single" w:sz="4" w:space="0" w:color="000000"/>
              <w:left w:val="single" w:sz="4" w:space="0" w:color="000000"/>
              <w:bottom w:val="single" w:sz="4" w:space="0" w:color="000000"/>
              <w:right w:val="single" w:sz="4" w:space="0" w:color="000000"/>
            </w:tcBorders>
            <w:vAlign w:val="center"/>
          </w:tcPr>
          <w:p w:rsidR="00D602D4" w:rsidRDefault="000B4C86">
            <w:pPr>
              <w:rPr>
                <w:rFonts w:ascii="Times New Roman" w:eastAsia="Calibri" w:hAnsi="Times New Roman" w:cs="Times New Roman"/>
                <w:sz w:val="20"/>
                <w:szCs w:val="20"/>
              </w:rPr>
            </w:pPr>
            <w:r>
              <w:rPr>
                <w:rFonts w:ascii="Times New Roman" w:eastAsia="Calibri" w:hAnsi="Times New Roman" w:cs="Times New Roman"/>
                <w:sz w:val="20"/>
                <w:szCs w:val="20"/>
              </w:rPr>
              <w:t xml:space="preserve">Электросетевой комплекс не относится к углеродоёмким секторам производства. В процессе деятельности Общество не осуществляет существенных прямых выбросов парниковых газов в атмосферу, но, несмотря на это, стремится минимизировать собственное влияние на окружающую среду и внести свой вклад в достижение углеродной нейтральности прежде всего путём: </w:t>
            </w:r>
          </w:p>
          <w:p w:rsidR="00D602D4" w:rsidRDefault="000B4C86">
            <w:pPr>
              <w:rPr>
                <w:rFonts w:ascii="Times New Roman" w:eastAsia="Calibri" w:hAnsi="Times New Roman" w:cs="Times New Roman"/>
                <w:sz w:val="20"/>
                <w:szCs w:val="20"/>
              </w:rPr>
            </w:pPr>
            <w:r>
              <w:rPr>
                <w:rFonts w:ascii="Times New Roman" w:eastAsia="Calibri" w:hAnsi="Times New Roman" w:cs="Times New Roman"/>
                <w:sz w:val="20"/>
                <w:szCs w:val="20"/>
              </w:rPr>
              <w:t xml:space="preserve">– сокращения потерь при передаче и распределении электроэнергии; </w:t>
            </w:r>
          </w:p>
          <w:p w:rsidR="00D602D4" w:rsidRDefault="000B4C86">
            <w:pPr>
              <w:rPr>
                <w:rFonts w:ascii="Times New Roman" w:eastAsia="Calibri" w:hAnsi="Times New Roman" w:cs="Times New Roman"/>
                <w:sz w:val="20"/>
                <w:szCs w:val="20"/>
              </w:rPr>
            </w:pPr>
            <w:r>
              <w:rPr>
                <w:rFonts w:ascii="Times New Roman" w:eastAsia="Calibri" w:hAnsi="Times New Roman" w:cs="Times New Roman"/>
                <w:sz w:val="20"/>
                <w:szCs w:val="20"/>
              </w:rPr>
              <w:t xml:space="preserve">– снижения расхода топливно-энергетических ресурсов для собственных нужд; </w:t>
            </w:r>
          </w:p>
          <w:p w:rsidR="00D602D4" w:rsidRDefault="000B4C86">
            <w:pPr>
              <w:rPr>
                <w:rFonts w:ascii="Times New Roman" w:eastAsia="Calibri" w:hAnsi="Times New Roman" w:cs="Times New Roman"/>
                <w:sz w:val="20"/>
                <w:szCs w:val="20"/>
              </w:rPr>
            </w:pPr>
            <w:r>
              <w:rPr>
                <w:rFonts w:ascii="Times New Roman" w:eastAsia="Calibri" w:hAnsi="Times New Roman" w:cs="Times New Roman"/>
                <w:sz w:val="20"/>
                <w:szCs w:val="20"/>
              </w:rPr>
              <w:t xml:space="preserve">– рекультивации земель и лесовосстановления; </w:t>
            </w:r>
          </w:p>
          <w:p w:rsidR="00D602D4" w:rsidRDefault="000B4C86">
            <w:pPr>
              <w:rPr>
                <w:rFonts w:ascii="Times New Roman" w:eastAsia="Calibri" w:hAnsi="Times New Roman" w:cs="Times New Roman"/>
                <w:sz w:val="20"/>
                <w:szCs w:val="20"/>
              </w:rPr>
            </w:pPr>
            <w:r>
              <w:rPr>
                <w:rFonts w:ascii="Times New Roman" w:eastAsia="Calibri" w:hAnsi="Times New Roman" w:cs="Times New Roman"/>
                <w:sz w:val="20"/>
                <w:szCs w:val="20"/>
              </w:rPr>
              <w:t>– повышения надежности электроснабжения;</w:t>
            </w:r>
          </w:p>
          <w:p w:rsidR="00D602D4" w:rsidRDefault="000B4C86">
            <w:pPr>
              <w:rPr>
                <w:rFonts w:ascii="Times New Roman" w:eastAsia="Calibri" w:hAnsi="Times New Roman" w:cs="Times New Roman"/>
                <w:sz w:val="20"/>
                <w:szCs w:val="20"/>
              </w:rPr>
            </w:pPr>
            <w:r>
              <w:rPr>
                <w:rFonts w:ascii="Times New Roman" w:eastAsia="Calibri" w:hAnsi="Times New Roman" w:cs="Times New Roman"/>
                <w:sz w:val="20"/>
                <w:szCs w:val="20"/>
              </w:rPr>
              <w:t xml:space="preserve">– популяризации энергосбережения и энергосберегающего образа жизни. </w:t>
            </w:r>
          </w:p>
          <w:p w:rsidR="00D602D4" w:rsidRDefault="000B4C86">
            <w:pPr>
              <w:rPr>
                <w:rFonts w:ascii="Times New Roman" w:eastAsia="Calibri" w:hAnsi="Times New Roman" w:cs="Times New Roman"/>
                <w:color w:val="636363"/>
                <w:sz w:val="20"/>
                <w:szCs w:val="20"/>
              </w:rPr>
            </w:pPr>
            <w:r>
              <w:rPr>
                <w:rFonts w:ascii="Times New Roman" w:eastAsia="Calibri" w:hAnsi="Times New Roman" w:cs="Times New Roman"/>
                <w:sz w:val="20"/>
                <w:szCs w:val="20"/>
              </w:rPr>
              <w:t>– реализации мероприятий по энергосбережению и повышению энергетической эффективности.</w:t>
            </w:r>
          </w:p>
        </w:tc>
        <w:tc>
          <w:tcPr>
            <w:tcW w:w="29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Отсутствие приборов учета электрической энергии, их моральный и физический износ;</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Невыполнение в установленный срок планов по созданию/модернизации систем учета.</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Выявление случаев безучетного и бездоговорного потребления электроэнергии потребителями;</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Риск снижения надежности электроснабжения;</w:t>
            </w:r>
          </w:p>
          <w:p w:rsidR="00D602D4" w:rsidRDefault="00D602D4">
            <w:pPr>
              <w:rPr>
                <w:rFonts w:ascii="Times New Roman" w:eastAsia="Calibri" w:hAnsi="Times New Roman" w:cs="Times New Roman"/>
                <w:color w:val="636363"/>
                <w:sz w:val="20"/>
                <w:szCs w:val="20"/>
              </w:rPr>
            </w:pPr>
          </w:p>
        </w:tc>
      </w:tr>
      <w:tr w:rsidR="00D602D4">
        <w:tc>
          <w:tcPr>
            <w:tcW w:w="181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Устойчивые города и населенные пункты</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Calibri" w:hAnsi="Times New Roman" w:cs="Times New Roman"/>
                <w:color w:val="636363"/>
                <w:sz w:val="20"/>
                <w:szCs w:val="20"/>
              </w:rPr>
            </w:pPr>
            <w:r>
              <w:rPr>
                <w:rFonts w:ascii="Times New Roman" w:eastAsia="Calibri" w:hAnsi="Times New Roman" w:cs="Times New Roman"/>
                <w:sz w:val="20"/>
                <w:szCs w:val="20"/>
              </w:rPr>
              <w:t>Обеспечение безопасности, жизнестойкости и экологической устойчивости городов и населенных пунктов.</w:t>
            </w:r>
          </w:p>
        </w:tc>
        <w:tc>
          <w:tcPr>
            <w:tcW w:w="3118" w:type="dxa"/>
            <w:tcBorders>
              <w:top w:val="single" w:sz="4" w:space="0" w:color="000000"/>
              <w:left w:val="single" w:sz="4" w:space="0" w:color="000000"/>
              <w:bottom w:val="single" w:sz="4" w:space="0" w:color="000000"/>
              <w:right w:val="single" w:sz="4" w:space="0" w:color="000000"/>
            </w:tcBorders>
            <w:vAlign w:val="center"/>
          </w:tcPr>
          <w:p w:rsidR="00D602D4" w:rsidRDefault="000B4C86">
            <w:pPr>
              <w:rPr>
                <w:rFonts w:ascii="Times New Roman" w:eastAsia="Calibri" w:hAnsi="Times New Roman" w:cs="Times New Roman"/>
                <w:color w:val="636363"/>
                <w:sz w:val="20"/>
                <w:szCs w:val="20"/>
              </w:rPr>
            </w:pPr>
            <w:r>
              <w:rPr>
                <w:rFonts w:ascii="Times New Roman" w:eastAsia="Calibri" w:hAnsi="Times New Roman" w:cs="Times New Roman"/>
                <w:sz w:val="20"/>
                <w:szCs w:val="20"/>
              </w:rPr>
              <w:t>Возможность массового внедрения интеллектуальных систем учета электроэнергии в регионах присутствия Общества, что позволит снизить потери электроэнергии и  повысить энергоэффективность электросетевой инфраструктуры.</w:t>
            </w:r>
          </w:p>
        </w:tc>
        <w:tc>
          <w:tcPr>
            <w:tcW w:w="29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Невыполнение в установленный срок планов по созданию/модернизации систем учета.</w:t>
            </w:r>
          </w:p>
          <w:p w:rsidR="00D602D4" w:rsidRDefault="000B4C86">
            <w:pPr>
              <w:pStyle w:val="Default"/>
              <w:numPr>
                <w:ilvl w:val="0"/>
                <w:numId w:val="53"/>
              </w:numPr>
              <w:tabs>
                <w:tab w:val="left" w:pos="254"/>
              </w:tabs>
              <w:ind w:left="32" w:hanging="2"/>
              <w:rPr>
                <w:rFonts w:ascii="Times New Roman" w:eastAsia="Calibri" w:hAnsi="Times New Roman" w:cs="Times New Roman"/>
                <w:color w:val="auto"/>
                <w:sz w:val="20"/>
                <w:szCs w:val="20"/>
              </w:rPr>
            </w:pPr>
            <w:r>
              <w:rPr>
                <w:rFonts w:ascii="Times New Roman" w:hAnsi="Times New Roman" w:cs="Times New Roman"/>
                <w:color w:val="000000" w:themeColor="text1"/>
                <w:sz w:val="20"/>
                <w:szCs w:val="20"/>
              </w:rPr>
              <w:t>Ограничение / невозможность привлечь требуемый объем финансирования.</w:t>
            </w:r>
          </w:p>
          <w:p w:rsidR="00D602D4" w:rsidRDefault="000B4C86">
            <w:pPr>
              <w:pStyle w:val="Default"/>
              <w:numPr>
                <w:ilvl w:val="0"/>
                <w:numId w:val="53"/>
              </w:numPr>
              <w:tabs>
                <w:tab w:val="left" w:pos="254"/>
              </w:tabs>
              <w:ind w:left="32" w:hanging="2"/>
              <w:rPr>
                <w:rFonts w:ascii="Times New Roman" w:eastAsia="Calibri" w:hAnsi="Times New Roman" w:cs="Times New Roman"/>
                <w:color w:val="auto"/>
                <w:sz w:val="20"/>
                <w:szCs w:val="20"/>
              </w:rPr>
            </w:pPr>
            <w:r>
              <w:rPr>
                <w:rFonts w:ascii="Times New Roman" w:hAnsi="Times New Roman" w:cs="Times New Roman"/>
                <w:color w:val="000000" w:themeColor="text1"/>
                <w:sz w:val="20"/>
                <w:szCs w:val="20"/>
              </w:rPr>
              <w:t>Нарушения законодательства, локальных нормативных актов при выполнении заявок на отключение/ограничение потребителей</w:t>
            </w:r>
          </w:p>
        </w:tc>
      </w:tr>
      <w:tr w:rsidR="00D602D4">
        <w:tc>
          <w:tcPr>
            <w:tcW w:w="181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lastRenderedPageBreak/>
              <w:t>Борьба с изменением климата</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Принятие срочных мер по борьбе с изменением климата и его последствиями.</w:t>
            </w:r>
          </w:p>
        </w:tc>
        <w:tc>
          <w:tcPr>
            <w:tcW w:w="311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Default"/>
              <w:rPr>
                <w:rFonts w:ascii="Times New Roman" w:hAnsi="Times New Roman" w:cs="Times New Roman"/>
                <w:color w:val="auto"/>
                <w:sz w:val="20"/>
                <w:szCs w:val="20"/>
              </w:rPr>
            </w:pPr>
            <w:r>
              <w:rPr>
                <w:rFonts w:ascii="Times New Roman" w:hAnsi="Times New Roman" w:cs="Times New Roman"/>
                <w:color w:val="auto"/>
                <w:sz w:val="20"/>
                <w:szCs w:val="20"/>
              </w:rPr>
              <w:t xml:space="preserve">Возможности, связанные с географическими особенностями страны или регионов деятельности. </w:t>
            </w:r>
          </w:p>
          <w:p w:rsidR="00D602D4" w:rsidRDefault="000B4C86">
            <w:pPr>
              <w:rPr>
                <w:rFonts w:ascii="Times New Roman" w:eastAsia="Calibri" w:hAnsi="Times New Roman" w:cs="Times New Roman"/>
                <w:i/>
                <w:color w:val="636363"/>
                <w:sz w:val="20"/>
                <w:szCs w:val="20"/>
              </w:rPr>
            </w:pPr>
            <w:r>
              <w:rPr>
                <w:rFonts w:ascii="Times New Roman" w:eastAsia="Calibri" w:hAnsi="Times New Roman" w:cs="Times New Roman"/>
                <w:i/>
                <w:sz w:val="20"/>
                <w:szCs w:val="20"/>
              </w:rPr>
              <w:t xml:space="preserve">Возможности обусловлены резко-континентальным климатом регионов деятельности с ярко выраженной затяжной морозной зимой, а также коротким световым днем в осенне-зимний период. Регионы, на территории которых осуществляет деятельность Общество, в силу своих природно-климатических особенностей характеризуются высоким объемом потребления электроэнергии для обогрева и освещения в осенне-зимний период. </w:t>
            </w:r>
          </w:p>
        </w:tc>
        <w:tc>
          <w:tcPr>
            <w:tcW w:w="2976"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Default"/>
              <w:numPr>
                <w:ilvl w:val="0"/>
                <w:numId w:val="53"/>
              </w:numPr>
              <w:tabs>
                <w:tab w:val="left" w:pos="254"/>
              </w:tabs>
              <w:ind w:left="32" w:hanging="2"/>
              <w:rPr>
                <w:rFonts w:ascii="Times New Roman" w:eastAsia="Calibri" w:hAnsi="Times New Roman" w:cs="Times New Roman"/>
                <w:color w:val="636363"/>
                <w:sz w:val="20"/>
                <w:szCs w:val="20"/>
              </w:rPr>
            </w:pPr>
            <w:r>
              <w:rPr>
                <w:rFonts w:ascii="Times New Roman" w:hAnsi="Times New Roman" w:cs="Times New Roman"/>
                <w:color w:val="000000" w:themeColor="text1"/>
                <w:sz w:val="20"/>
                <w:szCs w:val="20"/>
              </w:rPr>
              <w:t>Природные явления (увеличение скорости ветра и повторяемости сильных гололедно-изморозевых отложений, налипания мокрого снега, повышение повторяемости и интенсивности экстремальной жары или холода, деградация (оттаивание) вечной мерзлоты) ведут к авариям на ЛЭП, обрывам проводов, повреждениям опор и металлоконструкций, повреждениям трансформаторных подстанций, снижению несущей способности оснований зданий и сооружений, в том числе опор ЛЭП.</w:t>
            </w:r>
          </w:p>
        </w:tc>
      </w:tr>
      <w:tr w:rsidR="00D602D4">
        <w:tc>
          <w:tcPr>
            <w:tcW w:w="181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Calibri" w:hAnsi="Times New Roman" w:cs="Times New Roman"/>
                <w:sz w:val="20"/>
                <w:szCs w:val="20"/>
              </w:rPr>
            </w:pPr>
            <w:r>
              <w:rPr>
                <w:rFonts w:ascii="Times New Roman" w:eastAsia="Calibri" w:hAnsi="Times New Roman" w:cs="Times New Roman"/>
                <w:sz w:val="20"/>
                <w:szCs w:val="20"/>
              </w:rPr>
              <w:t>Партнерство в интересах устойчивого развития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Calibri" w:hAnsi="Times New Roman" w:cs="Times New Roman"/>
                <w:sz w:val="20"/>
                <w:szCs w:val="20"/>
              </w:rPr>
            </w:pPr>
            <w:r>
              <w:rPr>
                <w:rFonts w:ascii="Times New Roman" w:eastAsia="Calibri" w:hAnsi="Times New Roman" w:cs="Times New Roman"/>
                <w:sz w:val="20"/>
                <w:szCs w:val="20"/>
              </w:rPr>
              <w:t>Укрепление средств осуществления и активизация работы в рамках Глобального партнерства в интересах устойчивого развития.</w:t>
            </w:r>
          </w:p>
        </w:tc>
        <w:tc>
          <w:tcPr>
            <w:tcW w:w="311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Default"/>
              <w:rPr>
                <w:rFonts w:ascii="Times New Roman" w:hAnsi="Times New Roman" w:cs="Times New Roman"/>
                <w:color w:val="auto"/>
                <w:sz w:val="20"/>
                <w:szCs w:val="20"/>
              </w:rPr>
            </w:pPr>
            <w:r>
              <w:rPr>
                <w:rFonts w:ascii="Times New Roman" w:hAnsi="Times New Roman" w:cs="Times New Roman"/>
                <w:color w:val="auto"/>
                <w:sz w:val="20"/>
                <w:szCs w:val="20"/>
              </w:rPr>
              <w:t xml:space="preserve">Повышение эффективности работы и достижение целей в реализации масштабных и сложных проектов путем кооперации с органами государственной и муниципальной власти, контрагентами, общественными организациями. </w:t>
            </w:r>
          </w:p>
        </w:tc>
        <w:tc>
          <w:tcPr>
            <w:tcW w:w="2976"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Утверждение регулятором необходимой валовой выручки на экономически необоснованном уровне</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Банкротство или ликвидация контрагентов. </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Несоблюдение подрядчиками сроков проектирования, поставки, строительства, ввода объектов в эксплуатацию. </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Неготовность объектов заявителя к технологическому присоединению и неисполнение потребителем обязательств в части оплаты услуг по договору технологического присоединения;</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Вовлечение Общества/работников Общества в коррупционную деятельность.</w:t>
            </w:r>
          </w:p>
          <w:p w:rsidR="00D602D4" w:rsidRDefault="000B4C86">
            <w:pPr>
              <w:pStyle w:val="Default"/>
              <w:numPr>
                <w:ilvl w:val="0"/>
                <w:numId w:val="53"/>
              </w:numPr>
              <w:tabs>
                <w:tab w:val="left" w:pos="254"/>
              </w:tabs>
              <w:ind w:left="32" w:hanging="2"/>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 Нарушение Обществом/работниками Общества основных запретов и ограничений антимонопольного законодательства.</w:t>
            </w:r>
          </w:p>
        </w:tc>
      </w:tr>
    </w:tbl>
    <w:p w:rsidR="00D602D4" w:rsidRDefault="00D602D4">
      <w:pPr>
        <w:pStyle w:val="ac"/>
        <w:tabs>
          <w:tab w:val="left" w:pos="851"/>
        </w:tabs>
        <w:spacing w:after="0" w:line="240" w:lineRule="auto"/>
        <w:ind w:left="0" w:firstLine="709"/>
        <w:contextualSpacing w:val="0"/>
        <w:jc w:val="center"/>
        <w:rPr>
          <w:rFonts w:ascii="Times New Roman" w:hAnsi="Times New Roman" w:cs="Times New Roman"/>
          <w:sz w:val="24"/>
          <w:szCs w:val="24"/>
        </w:rPr>
      </w:pPr>
    </w:p>
    <w:p w:rsidR="00D602D4" w:rsidRDefault="000B4C86">
      <w:pPr>
        <w:pStyle w:val="50"/>
        <w:spacing w:before="0" w:after="0"/>
        <w:ind w:firstLine="709"/>
        <w:rPr>
          <w:b w:val="0"/>
          <w:i w:val="0"/>
          <w:caps/>
        </w:rPr>
      </w:pPr>
      <w:r>
        <w:rPr>
          <w:i w:val="0"/>
        </w:rPr>
        <w:t xml:space="preserve">Выявление, оценка и управление рисками в области устойчивого развития в рамках организации системы управления рисками и внутреннего контроля. </w:t>
      </w:r>
    </w:p>
    <w:p w:rsidR="00D602D4" w:rsidRDefault="000B4C86">
      <w:pPr>
        <w:pStyle w:val="affffff8"/>
        <w:ind w:firstLine="709"/>
      </w:pPr>
      <w:r>
        <w:t>Информация раскрыта в разделе «Внутренний контроль, управление рисками и внутренний аудит».</w:t>
      </w:r>
    </w:p>
    <w:p w:rsidR="00D602D4" w:rsidRDefault="000B4C86">
      <w:pPr>
        <w:pStyle w:val="50"/>
        <w:spacing w:before="0" w:after="0"/>
        <w:ind w:firstLine="709"/>
        <w:rPr>
          <w:b w:val="0"/>
          <w:i w:val="0"/>
          <w:caps/>
        </w:rPr>
      </w:pPr>
      <w:r>
        <w:rPr>
          <w:i w:val="0"/>
        </w:rPr>
        <w:t>Описание и оценка существенности физических и переходных климатических рисков, а также раскрытие причины того, почему они является существенными для Общества.</w:t>
      </w:r>
    </w:p>
    <w:p w:rsidR="00D602D4" w:rsidRDefault="000B4C86">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Географические и климатические особенности регионов в зоне присутствия Общества и его филиалов несут в себе опасность наступления аварийных ситуаций на энергоустановках вследствие негативных природных явлений (ураганный ветер, сильный снегопад, гололёд, экстремально низкие температуры воздуха и др.). Для минимизации данных рисков Общество проектирует энергетические объекты с учётом особенностей регионального климата и географии, а также осуществляет реализацию программы страховой защиты объектов электрораспределительного комплекса от стихийных бедствий. Также ведётся политика </w:t>
      </w:r>
      <w:r>
        <w:rPr>
          <w:rFonts w:ascii="Times New Roman" w:eastAsia="Times New Roman" w:hAnsi="Times New Roman" w:cs="Times New Roman"/>
          <w:sz w:val="24"/>
          <w:szCs w:val="24"/>
        </w:rPr>
        <w:lastRenderedPageBreak/>
        <w:t xml:space="preserve">управления запасами сырья, материалов, топлива, необходимых для осуществления основной деятельности Общества на случай возникновения дефицита сырья или возникновения риска нарушения транспортного сообщения. </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Экологические и климатические проблемы, вопросы глобального потепления являются острым вызовом в современном мире. Изменение климатических условий способно оказать значительное влияние как на производственную деятельность, так и на финансовые результаты Общества. </w:t>
      </w:r>
    </w:p>
    <w:p w:rsidR="00D602D4" w:rsidRDefault="000B4C86">
      <w:pPr>
        <w:spacing w:after="0" w:line="240" w:lineRule="auto"/>
        <w:ind w:firstLine="709"/>
        <w:contextualSpacing/>
        <w:jc w:val="both"/>
        <w:rPr>
          <w:rFonts w:ascii="Times New Roman" w:eastAsia="Times New Roman" w:hAnsi="Times New Roman" w:cs="Times New Roman"/>
          <w:sz w:val="24"/>
          <w:szCs w:val="24"/>
        </w:rPr>
      </w:pPr>
      <w:r>
        <w:rPr>
          <w:rFonts w:ascii="Times New Roman" w:eastAsia="Calibri" w:hAnsi="Times New Roman" w:cs="Times New Roman"/>
          <w:sz w:val="24"/>
          <w:szCs w:val="24"/>
        </w:rPr>
        <w:t xml:space="preserve">ПАО «Россети Сибирь» уделяет огромное внимание вопросам сохранения биоразнообразия, рационального использования водных ресурсов, лесовосстановления и рекультивации земель, экологически безопасного обращения с отходами. </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Основным документом, регулирующим деятельность Общества по вопросам охраны окружающей с</w:t>
      </w:r>
      <w:r>
        <w:rPr>
          <w:rFonts w:ascii="Times New Roman" w:eastAsia="Times New Roman" w:hAnsi="Times New Roman" w:cs="Times New Roman"/>
          <w:sz w:val="24"/>
          <w:szCs w:val="24"/>
          <w:highlight w:val="white"/>
        </w:rPr>
        <w:t>реды, является Экологическая политика, утвержденная решением Совета директоров от 21.05.2024 (протокол от 24.05.2024 № 525/24</w:t>
      </w:r>
      <w:r>
        <w:rPr>
          <w:rFonts w:ascii="Times New Roman" w:eastAsia="Times New Roman" w:hAnsi="Times New Roman" w:cs="Times New Roman"/>
          <w:sz w:val="24"/>
          <w:szCs w:val="24"/>
        </w:rPr>
        <w:t>). Основной целью реализации Политики является сохранение благоприятной окружающей среды для нынешних и будущих поколений.</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Для реализации Экологической политики Общества разработаны и утверждены в каждом филиале «Программы реализации экологической политики», которые определяют цели, задачи и основные направления деятельности в области охраны окружающей среды и обеспечения экологической безопасности на долгосрочный период.</w:t>
      </w:r>
      <w:r>
        <w:rPr>
          <w:rFonts w:ascii="Times New Roman" w:eastAsia="Times New Roman" w:hAnsi="Times New Roman" w:cs="Times New Roman"/>
          <w:sz w:val="26"/>
          <w:szCs w:val="24"/>
          <w:lang w:eastAsia="ru-RU"/>
        </w:rPr>
        <w:t xml:space="preserve"> </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Общество определило для себя следующие обязательства по защите окружающей среды: </w:t>
      </w:r>
    </w:p>
    <w:p w:rsidR="00D602D4" w:rsidRDefault="000B4C86">
      <w:pPr>
        <w:numPr>
          <w:ilvl w:val="0"/>
          <w:numId w:val="55"/>
        </w:numPr>
        <w:tabs>
          <w:tab w:val="left" w:pos="567"/>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соблюдение требований природоохранного законодательства Российской</w:t>
      </w:r>
      <w:r>
        <w:rPr>
          <w:rFonts w:ascii="Times New Roman" w:eastAsia="Times New Roman" w:hAnsi="Times New Roman" w:cs="Times New Roman"/>
          <w:sz w:val="24"/>
          <w:szCs w:val="24"/>
        </w:rPr>
        <w:tab/>
        <w:t>Федерации;</w:t>
      </w:r>
    </w:p>
    <w:p w:rsidR="00D602D4" w:rsidRDefault="000B4C86">
      <w:pPr>
        <w:numPr>
          <w:ilvl w:val="0"/>
          <w:numId w:val="54"/>
        </w:numPr>
        <w:tabs>
          <w:tab w:val="left" w:pos="567"/>
        </w:tabs>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снижение негативного воздействия на окружающую среду;</w:t>
      </w:r>
    </w:p>
    <w:p w:rsidR="00D602D4" w:rsidRDefault="000B4C86">
      <w:pPr>
        <w:numPr>
          <w:ilvl w:val="0"/>
          <w:numId w:val="54"/>
        </w:numPr>
        <w:tabs>
          <w:tab w:val="left" w:pos="567"/>
        </w:tabs>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применение добровольных механизмов экологической ответственности - в августе 2024 года в Обществе был проведен инспекционный аудит интегрированной системы менеджмента, в том числе аудит системы экологического менеджмента на соответствие требованиям международного стандарта ISO 14001:2015.</w:t>
      </w:r>
    </w:p>
    <w:p w:rsidR="00D602D4" w:rsidRDefault="000B4C86">
      <w:pPr>
        <w:tabs>
          <w:tab w:val="left" w:pos="851"/>
        </w:tabs>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Общество содействует сохранению и рекультивации местообитаний животных и птиц, реализуя: </w:t>
      </w:r>
    </w:p>
    <w:p w:rsidR="00D602D4" w:rsidRDefault="000B4C86">
      <w:pPr>
        <w:numPr>
          <w:ilvl w:val="0"/>
          <w:numId w:val="55"/>
        </w:numPr>
        <w:tabs>
          <w:tab w:val="left" w:pos="567"/>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мероприятия по минимизации воздействия объектов электросетевой инфраструктуры на жизнедеятельность животных и птиц, сохранению биоразнообразия и предотвращению сокращения численности птиц, в том числе занесенных в Красную книгу России;</w:t>
      </w:r>
    </w:p>
    <w:p w:rsidR="00D602D4" w:rsidRDefault="000B4C86">
      <w:pPr>
        <w:numPr>
          <w:ilvl w:val="0"/>
          <w:numId w:val="55"/>
        </w:numPr>
        <w:tabs>
          <w:tab w:val="left" w:pos="567"/>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рекреацию природных ресурсов и компенсационное лесовосстановление.</w:t>
      </w:r>
    </w:p>
    <w:p w:rsidR="00D602D4" w:rsidRDefault="000B4C86">
      <w:pPr>
        <w:spacing w:before="120" w:after="120" w:line="240" w:lineRule="auto"/>
        <w:ind w:firstLine="567"/>
        <w:jc w:val="center"/>
        <w:rPr>
          <w:rFonts w:ascii="Times New Roman" w:eastAsia="Times New Roman" w:hAnsi="Times New Roman" w:cs="Times New Roman"/>
          <w:b/>
          <w:bCs/>
          <w:sz w:val="24"/>
          <w:szCs w:val="24"/>
        </w:rPr>
      </w:pPr>
      <w:r>
        <w:rPr>
          <w:rFonts w:ascii="Times New Roman" w:eastAsia="Times New Roman" w:hAnsi="Times New Roman" w:cs="Times New Roman"/>
          <w:b/>
          <w:sz w:val="24"/>
          <w:szCs w:val="24"/>
        </w:rPr>
        <w:t>Климатические риски</w:t>
      </w:r>
    </w:p>
    <w:p w:rsidR="00D602D4" w:rsidRDefault="000B4C86">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 целью снижения физических рисков в обществе реализуются мероприятия по адаптации электросетевого хозяйства:</w:t>
      </w:r>
    </w:p>
    <w:p w:rsidR="00D602D4" w:rsidRDefault="000B4C86">
      <w:pPr>
        <w:spacing w:after="0" w:line="240" w:lineRule="auto"/>
        <w:ind w:firstLine="567"/>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Таблица 11</w:t>
      </w:r>
    </w:p>
    <w:tbl>
      <w:tblPr>
        <w:tblStyle w:val="130"/>
        <w:tblW w:w="9883" w:type="dxa"/>
        <w:tblLayout w:type="fixed"/>
        <w:tblLook w:val="04A0" w:firstRow="1" w:lastRow="0" w:firstColumn="1" w:lastColumn="0" w:noHBand="0" w:noVBand="1"/>
      </w:tblPr>
      <w:tblGrid>
        <w:gridCol w:w="3539"/>
        <w:gridCol w:w="6344"/>
      </w:tblGrid>
      <w:tr w:rsidR="00D602D4">
        <w:tc>
          <w:tcPr>
            <w:tcW w:w="3539" w:type="dxa"/>
          </w:tcPr>
          <w:p w:rsidR="00D602D4" w:rsidRDefault="000B4C86">
            <w:pPr>
              <w:jc w:val="center"/>
              <w:rPr>
                <w:rFonts w:ascii="Times New Roman" w:eastAsia="Times New Roman" w:hAnsi="Times New Roman" w:cs="Times New Roman"/>
                <w:b/>
              </w:rPr>
            </w:pPr>
            <w:r>
              <w:rPr>
                <w:rFonts w:ascii="Times New Roman" w:eastAsia="Times New Roman" w:hAnsi="Times New Roman" w:cs="Times New Roman"/>
                <w:b/>
                <w:sz w:val="20"/>
                <w:szCs w:val="20"/>
              </w:rPr>
              <w:t>Риски, связанные с географическими и климатическими особенностями региона</w:t>
            </w:r>
          </w:p>
        </w:tc>
        <w:tc>
          <w:tcPr>
            <w:tcW w:w="6344" w:type="dxa"/>
          </w:tcPr>
          <w:p w:rsidR="00D602D4" w:rsidRDefault="000B4C86">
            <w:pPr>
              <w:jc w:val="center"/>
              <w:rPr>
                <w:rFonts w:ascii="Times New Roman" w:eastAsia="Times New Roman" w:hAnsi="Times New Roman" w:cs="Times New Roman"/>
                <w:b/>
              </w:rPr>
            </w:pPr>
            <w:r>
              <w:rPr>
                <w:rFonts w:ascii="Times New Roman" w:eastAsia="Times New Roman" w:hAnsi="Times New Roman" w:cs="Times New Roman"/>
                <w:b/>
                <w:sz w:val="20"/>
                <w:szCs w:val="20"/>
              </w:rPr>
              <w:t>Мероприятия</w:t>
            </w:r>
          </w:p>
        </w:tc>
      </w:tr>
      <w:tr w:rsidR="00D602D4">
        <w:tc>
          <w:tcPr>
            <w:tcW w:w="3539" w:type="dxa"/>
          </w:tcPr>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xml:space="preserve">Экстремально высокая/низкая температура воздуха </w:t>
            </w:r>
          </w:p>
        </w:tc>
        <w:tc>
          <w:tcPr>
            <w:tcW w:w="6344" w:type="dxa"/>
          </w:tcPr>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xml:space="preserve">– Пересмотр нормативов в части эксплуатации электросетевого оборудования с учетом изменения климатических условий для повышения надежности ЛЭП и трансформаторных подстанций; </w:t>
            </w:r>
          </w:p>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проведение мероприятий по поддержанию проектных температурных режимов производственных зданий.</w:t>
            </w:r>
          </w:p>
        </w:tc>
      </w:tr>
      <w:tr w:rsidR="00D602D4">
        <w:tc>
          <w:tcPr>
            <w:tcW w:w="3539" w:type="dxa"/>
          </w:tcPr>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Изменение температурно-влажностного режима и режима осадков</w:t>
            </w:r>
          </w:p>
        </w:tc>
        <w:tc>
          <w:tcPr>
            <w:tcW w:w="6344" w:type="dxa"/>
          </w:tcPr>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xml:space="preserve">– мониторинг состояния фундамента и кровли зданий; </w:t>
            </w:r>
          </w:p>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устройство противоэрозионных систем, поддерживающих мерзлое состояние оснований сооружений, зданий и воздушных линий электропередачи.</w:t>
            </w:r>
          </w:p>
        </w:tc>
      </w:tr>
      <w:tr w:rsidR="00D602D4">
        <w:tc>
          <w:tcPr>
            <w:tcW w:w="3539" w:type="dxa"/>
          </w:tcPr>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xml:space="preserve">Ураганы, смерчи, град, очень сильный ветер, гололедно-изморозевые </w:t>
            </w:r>
            <w:r>
              <w:rPr>
                <w:rFonts w:ascii="Times New Roman" w:eastAsia="Times New Roman" w:hAnsi="Times New Roman" w:cs="Times New Roman"/>
                <w:sz w:val="20"/>
                <w:szCs w:val="20"/>
              </w:rPr>
              <w:lastRenderedPageBreak/>
              <w:t xml:space="preserve">явления </w:t>
            </w:r>
          </w:p>
        </w:tc>
        <w:tc>
          <w:tcPr>
            <w:tcW w:w="6344" w:type="dxa"/>
          </w:tcPr>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lastRenderedPageBreak/>
              <w:t xml:space="preserve">– Демонтаж или замена ветхих или непрочных зданий и сооружений, опор ЛЭП; </w:t>
            </w:r>
          </w:p>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lastRenderedPageBreak/>
              <w:t>– вырубка старых, подгнивших деревьев;</w:t>
            </w:r>
          </w:p>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xml:space="preserve">– укрепление производственных зданий; </w:t>
            </w:r>
          </w:p>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xml:space="preserve">– определение безопасных режимов работы в условиях сильного ветра; </w:t>
            </w:r>
          </w:p>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xml:space="preserve">– упрочнение линейных сооружений, мониторинг их обледенения; </w:t>
            </w:r>
          </w:p>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подготовка персонала ремонтных бригад.</w:t>
            </w:r>
          </w:p>
        </w:tc>
      </w:tr>
      <w:tr w:rsidR="00D602D4">
        <w:tc>
          <w:tcPr>
            <w:tcW w:w="3539" w:type="dxa"/>
          </w:tcPr>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lastRenderedPageBreak/>
              <w:t>Водоснежные потоки</w:t>
            </w:r>
          </w:p>
        </w:tc>
        <w:tc>
          <w:tcPr>
            <w:tcW w:w="6344" w:type="dxa"/>
          </w:tcPr>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xml:space="preserve">– Регулирование стока поверхностных вод с помощью вертикальной планировки территории и устройства системы поверхностного водоотвода; </w:t>
            </w:r>
          </w:p>
          <w:p w:rsidR="00D602D4" w:rsidRDefault="000B4C86">
            <w:pPr>
              <w:jc w:val="both"/>
              <w:rPr>
                <w:rFonts w:ascii="Times New Roman" w:eastAsia="Times New Roman" w:hAnsi="Times New Roman" w:cs="Times New Roman"/>
              </w:rPr>
            </w:pPr>
            <w:r>
              <w:rPr>
                <w:rFonts w:ascii="Times New Roman" w:eastAsia="Times New Roman" w:hAnsi="Times New Roman" w:cs="Times New Roman"/>
                <w:sz w:val="20"/>
                <w:szCs w:val="20"/>
              </w:rPr>
              <w:t>– установление охранных зон.</w:t>
            </w:r>
          </w:p>
        </w:tc>
      </w:tr>
    </w:tbl>
    <w:p w:rsidR="00D602D4" w:rsidRDefault="00D602D4">
      <w:pPr>
        <w:pStyle w:val="50"/>
        <w:spacing w:before="0" w:after="0"/>
        <w:ind w:firstLine="709"/>
        <w:rPr>
          <w:i w:val="0"/>
          <w:caps/>
        </w:rPr>
      </w:pPr>
    </w:p>
    <w:p w:rsidR="00D602D4" w:rsidRDefault="000B4C86">
      <w:pPr>
        <w:pStyle w:val="50"/>
        <w:spacing w:before="0" w:after="0"/>
        <w:ind w:firstLine="709"/>
        <w:rPr>
          <w:i w:val="0"/>
        </w:rPr>
      </w:pPr>
      <w:r>
        <w:rPr>
          <w:i w:val="0"/>
        </w:rPr>
        <w:t>Информация о рисках возникновения убытков (если применимо) (например, в случае нарушения прав человека, нарушения условий труда, причинения вреда окружающей среде) в рамках взаимодействия с поставщиками и подрядчиками, а также о том, как Общество управляет указанными рисками и устраняет их потенциальное негативное воздействие.</w:t>
      </w:r>
    </w:p>
    <w:p w:rsidR="00D602D4" w:rsidRDefault="000B4C86">
      <w:pPr>
        <w:pStyle w:val="affffff8"/>
        <w:ind w:firstLine="709"/>
      </w:pPr>
      <w:r>
        <w:t>Не применимо.</w:t>
      </w:r>
    </w:p>
    <w:p w:rsidR="00D602D4" w:rsidRDefault="00D602D4">
      <w:pPr>
        <w:pStyle w:val="affffff8"/>
        <w:ind w:firstLine="0"/>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D602D4">
      <w:pPr>
        <w:pStyle w:val="affffff8"/>
        <w:ind w:firstLine="0"/>
        <w:rPr>
          <w:b/>
          <w:bCs/>
          <w:sz w:val="26"/>
          <w:szCs w:val="26"/>
        </w:rPr>
      </w:pPr>
    </w:p>
    <w:p w:rsidR="00D602D4" w:rsidRDefault="000B4C86">
      <w:pPr>
        <w:pStyle w:val="affffff8"/>
        <w:ind w:firstLine="0"/>
        <w:rPr>
          <w:b/>
          <w:bCs/>
          <w:sz w:val="26"/>
          <w:szCs w:val="26"/>
        </w:rPr>
      </w:pPr>
      <w:r>
        <w:rPr>
          <w:b/>
          <w:sz w:val="26"/>
          <w:szCs w:val="26"/>
        </w:rPr>
        <w:lastRenderedPageBreak/>
        <w:t>3. Результаты деятельности за 2024 год</w:t>
      </w:r>
    </w:p>
    <w:p w:rsidR="00D602D4" w:rsidRDefault="000B4C86">
      <w:pPr>
        <w:pStyle w:val="13"/>
        <w:rPr>
          <w:rFonts w:ascii="Times New Roman" w:hAnsi="Times New Roman" w:cs="Times New Roman"/>
          <w:b/>
          <w:color w:val="auto"/>
          <w:sz w:val="26"/>
          <w:szCs w:val="26"/>
        </w:rPr>
      </w:pPr>
      <w:bookmarkStart w:id="26" w:name="_Toc27"/>
      <w:r>
        <w:rPr>
          <w:rFonts w:ascii="Times New Roman" w:eastAsia="Times New Roman" w:hAnsi="Times New Roman" w:cs="Times New Roman"/>
          <w:b/>
          <w:color w:val="auto"/>
          <w:sz w:val="26"/>
          <w:szCs w:val="26"/>
        </w:rPr>
        <w:t>3.1. Операционные результаты</w:t>
      </w:r>
      <w:bookmarkEnd w:id="26"/>
    </w:p>
    <w:p w:rsidR="00D602D4" w:rsidRDefault="000B4C86">
      <w:pPr>
        <w:pStyle w:val="13"/>
        <w:rPr>
          <w:rFonts w:ascii="Times New Roman" w:hAnsi="Times New Roman" w:cs="Times New Roman"/>
          <w:b/>
          <w:color w:val="auto"/>
          <w:sz w:val="26"/>
          <w:szCs w:val="26"/>
        </w:rPr>
      </w:pPr>
      <w:bookmarkStart w:id="27" w:name="_Toc28"/>
      <w:r>
        <w:rPr>
          <w:rFonts w:ascii="Times New Roman" w:eastAsia="Times New Roman" w:hAnsi="Times New Roman" w:cs="Times New Roman"/>
          <w:b/>
          <w:color w:val="auto"/>
          <w:sz w:val="26"/>
          <w:szCs w:val="26"/>
        </w:rPr>
        <w:t>3.1.1. Материально-техническая база</w:t>
      </w:r>
      <w:bookmarkEnd w:id="27"/>
    </w:p>
    <w:p w:rsidR="00D602D4" w:rsidRDefault="00D602D4">
      <w:pPr>
        <w:pStyle w:val="ac"/>
        <w:widowControl w:val="0"/>
        <w:tabs>
          <w:tab w:val="left" w:pos="733"/>
          <w:tab w:val="left" w:pos="1693"/>
        </w:tabs>
        <w:spacing w:after="0" w:line="240" w:lineRule="auto"/>
        <w:ind w:left="0"/>
        <w:jc w:val="center"/>
        <w:rPr>
          <w:rFonts w:ascii="Times New Roman" w:eastAsia="Times New Roman" w:hAnsi="Times New Roman"/>
          <w:b/>
          <w:bCs/>
          <w:sz w:val="24"/>
          <w:szCs w:val="24"/>
        </w:rPr>
      </w:pPr>
    </w:p>
    <w:p w:rsidR="00D602D4" w:rsidRDefault="000B4C86">
      <w:pPr>
        <w:pStyle w:val="ac"/>
        <w:widowControl w:val="0"/>
        <w:tabs>
          <w:tab w:val="left" w:pos="733"/>
          <w:tab w:val="left" w:pos="1693"/>
        </w:tabs>
        <w:spacing w:after="0" w:line="240" w:lineRule="auto"/>
        <w:ind w:left="0"/>
        <w:jc w:val="center"/>
        <w:rPr>
          <w:rFonts w:ascii="Times New Roman" w:eastAsia="Times New Roman" w:hAnsi="Times New Roman"/>
          <w:b/>
          <w:bCs/>
          <w:sz w:val="24"/>
          <w:szCs w:val="24"/>
        </w:rPr>
      </w:pPr>
      <w:r>
        <w:rPr>
          <w:rFonts w:ascii="Times New Roman" w:eastAsia="Times New Roman" w:hAnsi="Times New Roman"/>
          <w:b/>
          <w:sz w:val="24"/>
          <w:szCs w:val="24"/>
        </w:rPr>
        <w:t>Производственные показатели</w:t>
      </w:r>
    </w:p>
    <w:p w:rsidR="00D602D4" w:rsidRDefault="000B4C86">
      <w:pPr>
        <w:pStyle w:val="ac"/>
        <w:widowControl w:val="0"/>
        <w:tabs>
          <w:tab w:val="left" w:pos="733"/>
          <w:tab w:val="left" w:pos="1693"/>
        </w:tabs>
        <w:spacing w:after="0" w:line="240" w:lineRule="auto"/>
        <w:ind w:left="0"/>
        <w:jc w:val="right"/>
        <w:rPr>
          <w:rFonts w:ascii="Times New Roman" w:eastAsia="Times New Roman" w:hAnsi="Times New Roman"/>
          <w:sz w:val="24"/>
          <w:szCs w:val="24"/>
        </w:rPr>
      </w:pPr>
      <w:r>
        <w:rPr>
          <w:rFonts w:ascii="Times New Roman" w:eastAsia="Times New Roman" w:hAnsi="Times New Roman"/>
          <w:sz w:val="24"/>
          <w:szCs w:val="24"/>
        </w:rPr>
        <w:t>Таблица 12</w:t>
      </w:r>
    </w:p>
    <w:tbl>
      <w:tblPr>
        <w:tblStyle w:val="ae"/>
        <w:tblW w:w="0" w:type="auto"/>
        <w:tblInd w:w="83" w:type="dxa"/>
        <w:tblLayout w:type="fixed"/>
        <w:tblLook w:val="04A0" w:firstRow="1" w:lastRow="0" w:firstColumn="1" w:lastColumn="0" w:noHBand="0" w:noVBand="1"/>
      </w:tblPr>
      <w:tblGrid>
        <w:gridCol w:w="3977"/>
        <w:gridCol w:w="676"/>
        <w:gridCol w:w="1278"/>
        <w:gridCol w:w="1455"/>
        <w:gridCol w:w="1207"/>
        <w:gridCol w:w="1384"/>
      </w:tblGrid>
      <w:tr w:rsidR="00D602D4">
        <w:tc>
          <w:tcPr>
            <w:tcW w:w="3977" w:type="dxa"/>
            <w:vMerge w:val="restart"/>
            <w:vAlign w:val="center"/>
          </w:tcPr>
          <w:p w:rsidR="00D602D4" w:rsidRDefault="000B4C86">
            <w:pPr>
              <w:widowControl w:val="0"/>
              <w:tabs>
                <w:tab w:val="center" w:pos="1881"/>
              </w:tabs>
              <w:jc w:val="both"/>
              <w:rPr>
                <w:rFonts w:ascii="Times New Roman" w:hAnsi="Times New Roman" w:cs="Times New Roman"/>
                <w:sz w:val="20"/>
                <w:szCs w:val="20"/>
              </w:rPr>
            </w:pPr>
            <w:r>
              <w:rPr>
                <w:rFonts w:ascii="Times New Roman" w:eastAsia="Times New Roman" w:hAnsi="Times New Roman" w:cs="Times New Roman"/>
                <w:sz w:val="20"/>
                <w:szCs w:val="20"/>
              </w:rPr>
              <w:t>Показатели</w:t>
            </w:r>
            <w:r>
              <w:rPr>
                <w:rFonts w:ascii="Times New Roman" w:eastAsia="Times New Roman" w:hAnsi="Times New Roman" w:cs="Times New Roman"/>
                <w:sz w:val="20"/>
                <w:szCs w:val="20"/>
              </w:rPr>
              <w:tab/>
            </w:r>
          </w:p>
        </w:tc>
        <w:tc>
          <w:tcPr>
            <w:tcW w:w="676" w:type="dxa"/>
            <w:vMerge w:val="restart"/>
            <w:vAlign w:val="center"/>
          </w:tcPr>
          <w:p w:rsidR="00D602D4" w:rsidRDefault="000B4C86">
            <w:pPr>
              <w:widowControl w:val="0"/>
              <w:jc w:val="both"/>
              <w:rPr>
                <w:rFonts w:ascii="Times New Roman" w:hAnsi="Times New Roman" w:cs="Times New Roman"/>
                <w:sz w:val="20"/>
                <w:szCs w:val="20"/>
              </w:rPr>
            </w:pPr>
            <w:r>
              <w:rPr>
                <w:rFonts w:ascii="Times New Roman" w:eastAsia="Times New Roman" w:hAnsi="Times New Roman" w:cs="Times New Roman"/>
                <w:sz w:val="20"/>
                <w:szCs w:val="20"/>
              </w:rPr>
              <w:t>Ед. изм.</w:t>
            </w:r>
          </w:p>
        </w:tc>
        <w:tc>
          <w:tcPr>
            <w:tcW w:w="5324" w:type="dxa"/>
            <w:gridSpan w:val="4"/>
            <w:vAlign w:val="center"/>
          </w:tcPr>
          <w:p w:rsidR="00D602D4" w:rsidRDefault="000B4C86">
            <w:pPr>
              <w:widowControl w:val="0"/>
              <w:jc w:val="center"/>
              <w:rPr>
                <w:rFonts w:ascii="Times New Roman" w:hAnsi="Times New Roman" w:cs="Times New Roman"/>
                <w:sz w:val="20"/>
                <w:szCs w:val="20"/>
              </w:rPr>
            </w:pPr>
            <w:r>
              <w:rPr>
                <w:rFonts w:ascii="Times New Roman" w:eastAsia="Times New Roman" w:hAnsi="Times New Roman" w:cs="Times New Roman"/>
                <w:sz w:val="20"/>
                <w:szCs w:val="20"/>
              </w:rPr>
              <w:t>Период</w:t>
            </w:r>
          </w:p>
        </w:tc>
      </w:tr>
      <w:tr w:rsidR="00D602D4">
        <w:tc>
          <w:tcPr>
            <w:tcW w:w="3977" w:type="dxa"/>
            <w:vMerge/>
          </w:tcPr>
          <w:p w:rsidR="00D602D4" w:rsidRDefault="00D602D4"/>
        </w:tc>
        <w:tc>
          <w:tcPr>
            <w:tcW w:w="676" w:type="dxa"/>
            <w:vMerge/>
          </w:tcPr>
          <w:p w:rsidR="00D602D4" w:rsidRDefault="00D602D4"/>
        </w:tc>
        <w:tc>
          <w:tcPr>
            <w:tcW w:w="1278" w:type="dxa"/>
            <w:vAlign w:val="center"/>
          </w:tcPr>
          <w:p w:rsidR="00D602D4" w:rsidRDefault="000B4C86">
            <w:pPr>
              <w:widowControl w:val="0"/>
              <w:jc w:val="center"/>
              <w:rPr>
                <w:rFonts w:ascii="Times New Roman" w:hAnsi="Times New Roman" w:cs="Times New Roman"/>
                <w:sz w:val="20"/>
                <w:szCs w:val="20"/>
              </w:rPr>
            </w:pPr>
            <w:r>
              <w:rPr>
                <w:rFonts w:ascii="Times New Roman" w:eastAsia="Times New Roman" w:hAnsi="Times New Roman" w:cs="Times New Roman"/>
                <w:sz w:val="20"/>
                <w:szCs w:val="20"/>
              </w:rPr>
              <w:t>2022 год</w:t>
            </w:r>
          </w:p>
        </w:tc>
        <w:tc>
          <w:tcPr>
            <w:tcW w:w="1455" w:type="dxa"/>
            <w:vAlign w:val="center"/>
          </w:tcPr>
          <w:p w:rsidR="00D602D4" w:rsidRDefault="000B4C86">
            <w:pPr>
              <w:widowControl w:val="0"/>
              <w:jc w:val="center"/>
              <w:rPr>
                <w:rFonts w:ascii="Times New Roman" w:hAnsi="Times New Roman" w:cs="Times New Roman"/>
                <w:sz w:val="20"/>
                <w:szCs w:val="20"/>
              </w:rPr>
            </w:pPr>
            <w:r>
              <w:rPr>
                <w:rFonts w:ascii="Times New Roman" w:eastAsia="Times New Roman" w:hAnsi="Times New Roman" w:cs="Times New Roman"/>
                <w:sz w:val="20"/>
                <w:szCs w:val="20"/>
              </w:rPr>
              <w:t>2023 год</w:t>
            </w:r>
          </w:p>
        </w:tc>
        <w:tc>
          <w:tcPr>
            <w:tcW w:w="1207" w:type="dxa"/>
            <w:vAlign w:val="center"/>
          </w:tcPr>
          <w:p w:rsidR="00D602D4" w:rsidRDefault="000B4C86">
            <w:pPr>
              <w:widowControl w:val="0"/>
              <w:jc w:val="center"/>
              <w:rPr>
                <w:rFonts w:ascii="Times New Roman" w:hAnsi="Times New Roman" w:cs="Times New Roman"/>
                <w:sz w:val="20"/>
                <w:szCs w:val="20"/>
              </w:rPr>
            </w:pPr>
            <w:r>
              <w:rPr>
                <w:rFonts w:ascii="Times New Roman" w:eastAsia="Times New Roman" w:hAnsi="Times New Roman" w:cs="Times New Roman"/>
                <w:sz w:val="20"/>
                <w:szCs w:val="20"/>
              </w:rPr>
              <w:t>2024 год</w:t>
            </w:r>
          </w:p>
        </w:tc>
        <w:tc>
          <w:tcPr>
            <w:tcW w:w="1384" w:type="dxa"/>
            <w:vAlign w:val="center"/>
          </w:tcPr>
          <w:p w:rsidR="00D602D4" w:rsidRDefault="000B4C86">
            <w:pPr>
              <w:widowControl w:val="0"/>
              <w:jc w:val="center"/>
              <w:rPr>
                <w:rFonts w:ascii="Times New Roman" w:hAnsi="Times New Roman" w:cs="Times New Roman"/>
                <w:sz w:val="20"/>
                <w:szCs w:val="20"/>
              </w:rPr>
            </w:pPr>
            <w:r>
              <w:rPr>
                <w:rFonts w:ascii="Times New Roman" w:eastAsia="Times New Roman" w:hAnsi="Times New Roman" w:cs="Times New Roman"/>
                <w:sz w:val="20"/>
                <w:szCs w:val="20"/>
              </w:rPr>
              <w:t>Изменение 2024/2023, %</w:t>
            </w:r>
          </w:p>
        </w:tc>
      </w:tr>
      <w:tr w:rsidR="00D602D4">
        <w:tc>
          <w:tcPr>
            <w:tcW w:w="3977" w:type="dxa"/>
            <w:vAlign w:val="center"/>
          </w:tcPr>
          <w:p w:rsidR="00D602D4" w:rsidRDefault="000B4C86">
            <w:pPr>
              <w:widowControl w:val="0"/>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1</w:t>
            </w:r>
          </w:p>
        </w:tc>
        <w:tc>
          <w:tcPr>
            <w:tcW w:w="676" w:type="dxa"/>
            <w:vAlign w:val="center"/>
          </w:tcPr>
          <w:p w:rsidR="00D602D4" w:rsidRDefault="000B4C86">
            <w:pPr>
              <w:widowControl w:val="0"/>
              <w:tabs>
                <w:tab w:val="left" w:pos="34"/>
              </w:tabs>
              <w:ind w:right="-143"/>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2</w:t>
            </w:r>
          </w:p>
        </w:tc>
        <w:tc>
          <w:tcPr>
            <w:tcW w:w="1278" w:type="dxa"/>
            <w:vAlign w:val="center"/>
          </w:tcPr>
          <w:p w:rsidR="00D602D4" w:rsidRDefault="000B4C86">
            <w:pPr>
              <w:widowControl w:val="0"/>
              <w:ind w:right="-143"/>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3</w:t>
            </w:r>
          </w:p>
        </w:tc>
        <w:tc>
          <w:tcPr>
            <w:tcW w:w="1455" w:type="dxa"/>
            <w:vAlign w:val="center"/>
          </w:tcPr>
          <w:p w:rsidR="00D602D4" w:rsidRDefault="000B4C86">
            <w:pPr>
              <w:widowControl w:val="0"/>
              <w:ind w:right="-143"/>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4</w:t>
            </w:r>
          </w:p>
        </w:tc>
        <w:tc>
          <w:tcPr>
            <w:tcW w:w="1207" w:type="dxa"/>
            <w:vAlign w:val="center"/>
          </w:tcPr>
          <w:p w:rsidR="00D602D4" w:rsidRDefault="000B4C86">
            <w:pPr>
              <w:widowControl w:val="0"/>
              <w:ind w:right="-143"/>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5</w:t>
            </w:r>
          </w:p>
        </w:tc>
        <w:tc>
          <w:tcPr>
            <w:tcW w:w="1384" w:type="dxa"/>
            <w:vAlign w:val="center"/>
          </w:tcPr>
          <w:p w:rsidR="00D602D4" w:rsidRDefault="000B4C86">
            <w:pPr>
              <w:widowControl w:val="0"/>
              <w:ind w:right="-119"/>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6</w:t>
            </w:r>
          </w:p>
        </w:tc>
      </w:tr>
      <w:tr w:rsidR="00D602D4">
        <w:tc>
          <w:tcPr>
            <w:tcW w:w="3977" w:type="dxa"/>
            <w:vAlign w:val="center"/>
          </w:tcPr>
          <w:p w:rsidR="00D602D4" w:rsidRDefault="000B4C86">
            <w:pPr>
              <w:widowControl w:val="0"/>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Количество подстанций (ПС, ТП, РП)</w:t>
            </w:r>
          </w:p>
        </w:tc>
        <w:tc>
          <w:tcPr>
            <w:tcW w:w="676" w:type="dxa"/>
            <w:vAlign w:val="center"/>
          </w:tcPr>
          <w:p w:rsidR="00D602D4" w:rsidRDefault="000B4C86">
            <w:pPr>
              <w:widowControl w:val="0"/>
              <w:tabs>
                <w:tab w:val="left" w:pos="34"/>
              </w:tabs>
              <w:ind w:right="-143"/>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шт.</w:t>
            </w:r>
          </w:p>
        </w:tc>
        <w:tc>
          <w:tcPr>
            <w:tcW w:w="1278" w:type="dxa"/>
            <w:vAlign w:val="center"/>
          </w:tcPr>
          <w:p w:rsidR="00D602D4" w:rsidRDefault="000B4C86">
            <w:pPr>
              <w:jc w:val="center"/>
              <w:rPr>
                <w:rFonts w:ascii="Times New Roman" w:hAnsi="Times New Roman" w:cs="Times New Roman"/>
                <w:color w:val="000000"/>
                <w:sz w:val="20"/>
                <w:szCs w:val="20"/>
              </w:rPr>
            </w:pPr>
            <w:r>
              <w:rPr>
                <w:rFonts w:ascii="Times New Roman" w:eastAsia="Times New Roman" w:hAnsi="Times New Roman" w:cs="Times New Roman"/>
                <w:bCs/>
                <w:color w:val="000000"/>
                <w:sz w:val="20"/>
                <w:szCs w:val="20"/>
              </w:rPr>
              <w:t>59304</w:t>
            </w:r>
          </w:p>
        </w:tc>
        <w:tc>
          <w:tcPr>
            <w:tcW w:w="1455" w:type="dxa"/>
            <w:vAlign w:val="center"/>
          </w:tcPr>
          <w:p w:rsidR="00D602D4" w:rsidRDefault="000B4C86">
            <w:pPr>
              <w:widowControl w:val="0"/>
              <w:spacing w:after="5" w:line="252" w:lineRule="auto"/>
              <w:ind w:left="426" w:right="-143" w:hanging="426"/>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60119</w:t>
            </w:r>
          </w:p>
        </w:tc>
        <w:tc>
          <w:tcPr>
            <w:tcW w:w="1207" w:type="dxa"/>
            <w:vAlign w:val="center"/>
          </w:tcPr>
          <w:p w:rsidR="00D602D4" w:rsidRDefault="000B4C86">
            <w:pPr>
              <w:widowControl w:val="0"/>
              <w:spacing w:after="5" w:line="252" w:lineRule="auto"/>
              <w:ind w:left="426" w:right="-143" w:hanging="426"/>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61176</w:t>
            </w:r>
          </w:p>
        </w:tc>
        <w:tc>
          <w:tcPr>
            <w:tcW w:w="1384" w:type="dxa"/>
            <w:vAlign w:val="center"/>
          </w:tcPr>
          <w:p w:rsidR="00D602D4" w:rsidRDefault="000B4C86">
            <w:pPr>
              <w:widowControl w:val="0"/>
              <w:spacing w:after="5" w:line="252" w:lineRule="auto"/>
              <w:ind w:left="426" w:right="-119" w:hanging="426"/>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+1</w:t>
            </w:r>
          </w:p>
        </w:tc>
      </w:tr>
      <w:tr w:rsidR="00D602D4">
        <w:tc>
          <w:tcPr>
            <w:tcW w:w="3977" w:type="dxa"/>
            <w:vAlign w:val="center"/>
          </w:tcPr>
          <w:p w:rsidR="00D602D4" w:rsidRDefault="000B4C86">
            <w:pPr>
              <w:widowControl w:val="0"/>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Мощность подстанций (ПС, ТП, РП)</w:t>
            </w:r>
          </w:p>
        </w:tc>
        <w:tc>
          <w:tcPr>
            <w:tcW w:w="676" w:type="dxa"/>
            <w:vAlign w:val="center"/>
          </w:tcPr>
          <w:p w:rsidR="00D602D4" w:rsidRDefault="000B4C86">
            <w:pPr>
              <w:widowControl w:val="0"/>
              <w:tabs>
                <w:tab w:val="left" w:pos="34"/>
              </w:tabs>
              <w:ind w:right="-143"/>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тыс.</w:t>
            </w:r>
          </w:p>
          <w:p w:rsidR="00D602D4" w:rsidRDefault="000B4C86">
            <w:pPr>
              <w:widowControl w:val="0"/>
              <w:tabs>
                <w:tab w:val="left" w:pos="34"/>
              </w:tabs>
              <w:ind w:right="-143"/>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МВА</w:t>
            </w:r>
          </w:p>
        </w:tc>
        <w:tc>
          <w:tcPr>
            <w:tcW w:w="1278" w:type="dxa"/>
            <w:vAlign w:val="center"/>
          </w:tcPr>
          <w:p w:rsidR="00D602D4" w:rsidRDefault="000B4C86">
            <w:pPr>
              <w:jc w:val="center"/>
              <w:rPr>
                <w:rFonts w:ascii="Times New Roman" w:hAnsi="Times New Roman" w:cs="Times New Roman"/>
                <w:color w:val="000000"/>
                <w:sz w:val="20"/>
                <w:szCs w:val="20"/>
              </w:rPr>
            </w:pPr>
            <w:r>
              <w:rPr>
                <w:rFonts w:ascii="Times New Roman" w:eastAsia="Times New Roman" w:hAnsi="Times New Roman" w:cs="Times New Roman"/>
                <w:bCs/>
                <w:color w:val="000000"/>
                <w:sz w:val="20"/>
                <w:szCs w:val="20"/>
              </w:rPr>
              <w:t>44,6</w:t>
            </w:r>
          </w:p>
        </w:tc>
        <w:tc>
          <w:tcPr>
            <w:tcW w:w="1455" w:type="dxa"/>
            <w:vAlign w:val="center"/>
          </w:tcPr>
          <w:p w:rsidR="00D602D4" w:rsidRDefault="000B4C86">
            <w:pPr>
              <w:widowControl w:val="0"/>
              <w:spacing w:after="5" w:line="252" w:lineRule="auto"/>
              <w:ind w:left="426" w:right="-143" w:hanging="426"/>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45,01</w:t>
            </w:r>
          </w:p>
        </w:tc>
        <w:tc>
          <w:tcPr>
            <w:tcW w:w="1207" w:type="dxa"/>
            <w:vAlign w:val="center"/>
          </w:tcPr>
          <w:p w:rsidR="00D602D4" w:rsidRDefault="000B4C86">
            <w:pPr>
              <w:widowControl w:val="0"/>
              <w:spacing w:after="5" w:line="252" w:lineRule="auto"/>
              <w:ind w:left="426" w:right="-143" w:hanging="426"/>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45,74</w:t>
            </w:r>
          </w:p>
        </w:tc>
        <w:tc>
          <w:tcPr>
            <w:tcW w:w="1384" w:type="dxa"/>
            <w:vAlign w:val="center"/>
          </w:tcPr>
          <w:p w:rsidR="00D602D4" w:rsidRDefault="000B4C86">
            <w:pPr>
              <w:widowControl w:val="0"/>
              <w:spacing w:after="5" w:line="252" w:lineRule="auto"/>
              <w:ind w:left="426" w:right="-119" w:hanging="426"/>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+1</w:t>
            </w:r>
          </w:p>
        </w:tc>
      </w:tr>
      <w:tr w:rsidR="00D602D4">
        <w:tc>
          <w:tcPr>
            <w:tcW w:w="3977" w:type="dxa"/>
            <w:vAlign w:val="center"/>
          </w:tcPr>
          <w:p w:rsidR="00D602D4" w:rsidRDefault="000B4C86">
            <w:pPr>
              <w:widowControl w:val="0"/>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Протяженность ЛЭП по цепям</w:t>
            </w:r>
          </w:p>
        </w:tc>
        <w:tc>
          <w:tcPr>
            <w:tcW w:w="676" w:type="dxa"/>
            <w:vAlign w:val="center"/>
          </w:tcPr>
          <w:p w:rsidR="00D602D4" w:rsidRDefault="000B4C86">
            <w:pPr>
              <w:widowControl w:val="0"/>
              <w:tabs>
                <w:tab w:val="left" w:pos="34"/>
              </w:tabs>
              <w:ind w:right="-143"/>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rPr>
              <w:t>км</w:t>
            </w:r>
          </w:p>
        </w:tc>
        <w:tc>
          <w:tcPr>
            <w:tcW w:w="1278" w:type="dxa"/>
            <w:vAlign w:val="center"/>
          </w:tcPr>
          <w:p w:rsidR="00D602D4" w:rsidRDefault="000B4C86">
            <w:pPr>
              <w:jc w:val="center"/>
              <w:rPr>
                <w:rFonts w:ascii="Times New Roman" w:hAnsi="Times New Roman" w:cs="Times New Roman"/>
                <w:color w:val="000000"/>
                <w:sz w:val="20"/>
                <w:szCs w:val="20"/>
              </w:rPr>
            </w:pPr>
            <w:r>
              <w:rPr>
                <w:rFonts w:ascii="Times New Roman" w:eastAsia="Times New Roman" w:hAnsi="Times New Roman" w:cs="Times New Roman"/>
                <w:bCs/>
                <w:color w:val="000000"/>
                <w:sz w:val="20"/>
                <w:szCs w:val="20"/>
              </w:rPr>
              <w:t>260 437</w:t>
            </w:r>
          </w:p>
        </w:tc>
        <w:tc>
          <w:tcPr>
            <w:tcW w:w="1455" w:type="dxa"/>
            <w:vAlign w:val="center"/>
          </w:tcPr>
          <w:p w:rsidR="00D602D4" w:rsidRDefault="000B4C86">
            <w:pPr>
              <w:widowControl w:val="0"/>
              <w:spacing w:after="5" w:line="252" w:lineRule="auto"/>
              <w:ind w:left="426" w:right="-143" w:hanging="426"/>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261 451,6</w:t>
            </w:r>
          </w:p>
        </w:tc>
        <w:tc>
          <w:tcPr>
            <w:tcW w:w="1207" w:type="dxa"/>
            <w:vAlign w:val="center"/>
          </w:tcPr>
          <w:p w:rsidR="00D602D4" w:rsidRDefault="000B4C86">
            <w:pPr>
              <w:widowControl w:val="0"/>
              <w:spacing w:after="5" w:line="252" w:lineRule="auto"/>
              <w:ind w:left="426" w:right="-143" w:hanging="426"/>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262 611,2</w:t>
            </w:r>
          </w:p>
        </w:tc>
        <w:tc>
          <w:tcPr>
            <w:tcW w:w="1384" w:type="dxa"/>
            <w:vAlign w:val="center"/>
          </w:tcPr>
          <w:p w:rsidR="00D602D4" w:rsidRDefault="000B4C86">
            <w:pPr>
              <w:widowControl w:val="0"/>
              <w:spacing w:after="5" w:line="252" w:lineRule="auto"/>
              <w:ind w:left="426" w:right="-119" w:hanging="426"/>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+1</w:t>
            </w:r>
          </w:p>
        </w:tc>
      </w:tr>
    </w:tbl>
    <w:p w:rsidR="00D602D4" w:rsidRDefault="00D602D4">
      <w:pPr>
        <w:widowControl w:val="0"/>
        <w:spacing w:after="0" w:line="240" w:lineRule="auto"/>
        <w:ind w:firstLine="709"/>
        <w:jc w:val="both"/>
        <w:rPr>
          <w:rFonts w:ascii="Times New Roman" w:hAnsi="Times New Roman" w:cs="Times New Roman"/>
          <w:sz w:val="24"/>
          <w:szCs w:val="24"/>
        </w:rPr>
      </w:pP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Энергосистема ПАО «Россети Сибирь» представляет собой комплекс воздушных и кабельных линий электропередачи и трансформаторных подстанций разного класса напряжения, связанных общностью режима работы, имеющих общий резерв мощности и централизованное оперативно – диспетчерское управление.</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Общая протяженность линий электропередачи 0,4-110 (220) кВ Общества по трассе составляет 248,75 тыс. км, общее количество подстанции 35-110 кВ и ТП 6-10-35/0,4 кВ более 61 тыс. шт.</w:t>
      </w:r>
    </w:p>
    <w:p w:rsidR="00D602D4" w:rsidRDefault="000B4C86">
      <w:pPr>
        <w:widowControl w:val="0"/>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13</w:t>
      </w:r>
    </w:p>
    <w:p w:rsidR="00D602D4" w:rsidRDefault="000B4C86">
      <w:pPr>
        <w:pStyle w:val="af2"/>
        <w:widowControl w:val="0"/>
        <w:ind w:firstLine="0"/>
        <w:jc w:val="center"/>
        <w:rPr>
          <w:b/>
        </w:rPr>
      </w:pPr>
      <w:r>
        <w:rPr>
          <w:b/>
        </w:rPr>
        <w:t>Общая характеристика передающих мощностей в 2022-2024 годах</w:t>
      </w:r>
    </w:p>
    <w:tbl>
      <w:tblPr>
        <w:tblW w:w="5000" w:type="pct"/>
        <w:tblLook w:val="04A0" w:firstRow="1" w:lastRow="0" w:firstColumn="1" w:lastColumn="0" w:noHBand="0" w:noVBand="1"/>
      </w:tblPr>
      <w:tblGrid>
        <w:gridCol w:w="5683"/>
        <w:gridCol w:w="1384"/>
        <w:gridCol w:w="1393"/>
        <w:gridCol w:w="1535"/>
      </w:tblGrid>
      <w:tr w:rsidR="00D602D4">
        <w:trPr>
          <w:trHeight w:val="170"/>
        </w:trPr>
        <w:tc>
          <w:tcPr>
            <w:tcW w:w="6143" w:type="dxa"/>
            <w:tcBorders>
              <w:top w:val="single" w:sz="4" w:space="0" w:color="000000"/>
              <w:left w:val="single" w:sz="4" w:space="0" w:color="000000"/>
              <w:bottom w:val="single" w:sz="4" w:space="0" w:color="000000"/>
              <w:right w:val="single" w:sz="4" w:space="0" w:color="000000"/>
            </w:tcBorders>
            <w:shd w:val="clear" w:color="FFFFFF" w:fill="9CC2E5" w:themeFill="accent1" w:themeFillTint="99"/>
            <w:noWrap/>
            <w:vAlign w:val="center"/>
          </w:tcPr>
          <w:p w:rsidR="00D602D4" w:rsidRDefault="000B4C86">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Вид актива</w:t>
            </w:r>
          </w:p>
        </w:tc>
        <w:tc>
          <w:tcPr>
            <w:tcW w:w="1482" w:type="dxa"/>
            <w:tcBorders>
              <w:top w:val="single" w:sz="4" w:space="0" w:color="000000"/>
              <w:left w:val="none" w:sz="4" w:space="0" w:color="000000"/>
              <w:bottom w:val="single" w:sz="4" w:space="0" w:color="000000"/>
              <w:right w:val="single" w:sz="4" w:space="0" w:color="000000"/>
            </w:tcBorders>
            <w:shd w:val="clear" w:color="FFFFFF" w:fill="9CC2E5" w:themeFill="accent1" w:themeFillTint="99"/>
            <w:noWrap/>
            <w:vAlign w:val="center"/>
          </w:tcPr>
          <w:p w:rsidR="00D602D4" w:rsidRDefault="000B4C86">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2022</w:t>
            </w:r>
          </w:p>
        </w:tc>
        <w:tc>
          <w:tcPr>
            <w:tcW w:w="1492" w:type="dxa"/>
            <w:tcBorders>
              <w:top w:val="single" w:sz="4" w:space="0" w:color="000000"/>
              <w:left w:val="none" w:sz="4" w:space="0" w:color="000000"/>
              <w:bottom w:val="single" w:sz="4" w:space="0" w:color="000000"/>
              <w:right w:val="single" w:sz="4" w:space="0" w:color="000000"/>
            </w:tcBorders>
            <w:shd w:val="clear" w:color="FFFFFF" w:fill="9CC2E5" w:themeFill="accent1" w:themeFillTint="99"/>
            <w:vAlign w:val="center"/>
          </w:tcPr>
          <w:p w:rsidR="00D602D4" w:rsidRDefault="000B4C86">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2023</w:t>
            </w:r>
          </w:p>
        </w:tc>
        <w:tc>
          <w:tcPr>
            <w:tcW w:w="1646" w:type="dxa"/>
            <w:tcBorders>
              <w:top w:val="single" w:sz="4" w:space="0" w:color="000000"/>
              <w:left w:val="none" w:sz="4" w:space="0" w:color="000000"/>
              <w:bottom w:val="single" w:sz="4" w:space="0" w:color="000000"/>
              <w:right w:val="single" w:sz="4" w:space="0" w:color="000000"/>
            </w:tcBorders>
            <w:shd w:val="clear" w:color="FFFFFF" w:fill="9CC2E5" w:themeFill="accent1" w:themeFillTint="99"/>
            <w:vAlign w:val="center"/>
          </w:tcPr>
          <w:p w:rsidR="00D602D4" w:rsidRDefault="000B4C86">
            <w:pPr>
              <w:spacing w:after="0" w:line="240" w:lineRule="auto"/>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2024</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1. Протяженность по цепям ВЛ 0,4-220 кВ, км</w:t>
            </w:r>
          </w:p>
        </w:tc>
        <w:tc>
          <w:tcPr>
            <w:tcW w:w="148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252 797,9</w:t>
            </w:r>
          </w:p>
        </w:tc>
        <w:tc>
          <w:tcPr>
            <w:tcW w:w="149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253 639,0</w:t>
            </w:r>
          </w:p>
        </w:tc>
        <w:tc>
          <w:tcPr>
            <w:tcW w:w="1646"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254 678,9</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 изменение за отчетный период, км</w:t>
            </w:r>
          </w:p>
        </w:tc>
        <w:tc>
          <w:tcPr>
            <w:tcW w:w="148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636,7</w:t>
            </w:r>
          </w:p>
        </w:tc>
        <w:tc>
          <w:tcPr>
            <w:tcW w:w="149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841,1</w:t>
            </w:r>
          </w:p>
        </w:tc>
        <w:tc>
          <w:tcPr>
            <w:tcW w:w="164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1 040,0</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2. Протяженность по цепям КЛ 0,4-110 кВ, км</w:t>
            </w:r>
          </w:p>
        </w:tc>
        <w:tc>
          <w:tcPr>
            <w:tcW w:w="148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7 638,9</w:t>
            </w:r>
          </w:p>
        </w:tc>
        <w:tc>
          <w:tcPr>
            <w:tcW w:w="149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7 812,6</w:t>
            </w:r>
          </w:p>
        </w:tc>
        <w:tc>
          <w:tcPr>
            <w:tcW w:w="1646"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7 932,2</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 изменение за отчетный период, км</w:t>
            </w:r>
          </w:p>
        </w:tc>
        <w:tc>
          <w:tcPr>
            <w:tcW w:w="148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101,8</w:t>
            </w:r>
          </w:p>
        </w:tc>
        <w:tc>
          <w:tcPr>
            <w:tcW w:w="149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173,3</w:t>
            </w:r>
          </w:p>
        </w:tc>
        <w:tc>
          <w:tcPr>
            <w:tcW w:w="164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119,6</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3. Количество ПС 35-220 кВ, шт.</w:t>
            </w:r>
          </w:p>
        </w:tc>
        <w:tc>
          <w:tcPr>
            <w:tcW w:w="148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1 799</w:t>
            </w:r>
          </w:p>
        </w:tc>
        <w:tc>
          <w:tcPr>
            <w:tcW w:w="149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1 798</w:t>
            </w:r>
          </w:p>
        </w:tc>
        <w:tc>
          <w:tcPr>
            <w:tcW w:w="1646"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1 799</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 изменение за отчетный период, шт.</w:t>
            </w:r>
          </w:p>
        </w:tc>
        <w:tc>
          <w:tcPr>
            <w:tcW w:w="148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49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64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4. Мощность ПС 35-220 кВ, МВА</w:t>
            </w:r>
          </w:p>
        </w:tc>
        <w:tc>
          <w:tcPr>
            <w:tcW w:w="148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31 352,5</w:t>
            </w:r>
          </w:p>
        </w:tc>
        <w:tc>
          <w:tcPr>
            <w:tcW w:w="149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31 323,6</w:t>
            </w:r>
          </w:p>
        </w:tc>
        <w:tc>
          <w:tcPr>
            <w:tcW w:w="1646"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31 436,48</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 изменение за отчетный период, МВА</w:t>
            </w:r>
          </w:p>
        </w:tc>
        <w:tc>
          <w:tcPr>
            <w:tcW w:w="148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-141,3</w:t>
            </w:r>
          </w:p>
        </w:tc>
        <w:tc>
          <w:tcPr>
            <w:tcW w:w="149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-28,9</w:t>
            </w:r>
          </w:p>
        </w:tc>
        <w:tc>
          <w:tcPr>
            <w:tcW w:w="164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112,89</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5. Количество ТП 6-35/0,4 кВ, шт.</w:t>
            </w:r>
          </w:p>
        </w:tc>
        <w:tc>
          <w:tcPr>
            <w:tcW w:w="148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57 510</w:t>
            </w:r>
          </w:p>
        </w:tc>
        <w:tc>
          <w:tcPr>
            <w:tcW w:w="149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58 321</w:t>
            </w:r>
          </w:p>
        </w:tc>
        <w:tc>
          <w:tcPr>
            <w:tcW w:w="1646"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59 377,00</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 изменение за отчетный период, шт.</w:t>
            </w:r>
          </w:p>
        </w:tc>
        <w:tc>
          <w:tcPr>
            <w:tcW w:w="148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790</w:t>
            </w:r>
          </w:p>
        </w:tc>
        <w:tc>
          <w:tcPr>
            <w:tcW w:w="149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811</w:t>
            </w:r>
          </w:p>
        </w:tc>
        <w:tc>
          <w:tcPr>
            <w:tcW w:w="164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1 056</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6. Мощность ТП 6-35/0,4 кВ, МВА</w:t>
            </w:r>
          </w:p>
        </w:tc>
        <w:tc>
          <w:tcPr>
            <w:tcW w:w="148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13 265,1</w:t>
            </w:r>
          </w:p>
        </w:tc>
        <w:tc>
          <w:tcPr>
            <w:tcW w:w="149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13 690,2</w:t>
            </w:r>
          </w:p>
        </w:tc>
        <w:tc>
          <w:tcPr>
            <w:tcW w:w="1646"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14 307,4</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 изменение за отчетный период, МВА</w:t>
            </w:r>
          </w:p>
        </w:tc>
        <w:tc>
          <w:tcPr>
            <w:tcW w:w="148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254,3</w:t>
            </w:r>
          </w:p>
        </w:tc>
        <w:tc>
          <w:tcPr>
            <w:tcW w:w="149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425,1</w:t>
            </w:r>
          </w:p>
        </w:tc>
        <w:tc>
          <w:tcPr>
            <w:tcW w:w="164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617,17</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7. Объем обслуживания, тыс. у.е.</w:t>
            </w:r>
          </w:p>
        </w:tc>
        <w:tc>
          <w:tcPr>
            <w:tcW w:w="148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1 730,8</w:t>
            </w:r>
          </w:p>
        </w:tc>
        <w:tc>
          <w:tcPr>
            <w:tcW w:w="1492"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1 750, 8</w:t>
            </w:r>
          </w:p>
        </w:tc>
        <w:tc>
          <w:tcPr>
            <w:tcW w:w="1646" w:type="dxa"/>
            <w:tcBorders>
              <w:top w:val="none" w:sz="4" w:space="0" w:color="000000"/>
              <w:left w:val="none" w:sz="4" w:space="0" w:color="000000"/>
              <w:bottom w:val="single" w:sz="4" w:space="0" w:color="000000"/>
              <w:right w:val="single" w:sz="4" w:space="0" w:color="000000"/>
            </w:tcBorders>
            <w:shd w:val="clear" w:color="000000" w:fill="DEEAF6"/>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1751,8</w:t>
            </w:r>
          </w:p>
        </w:tc>
      </w:tr>
      <w:tr w:rsidR="00D602D4">
        <w:trPr>
          <w:trHeight w:val="170"/>
        </w:trPr>
        <w:tc>
          <w:tcPr>
            <w:tcW w:w="614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 изменение за отчетный период, тыс. у.е.</w:t>
            </w:r>
          </w:p>
        </w:tc>
        <w:tc>
          <w:tcPr>
            <w:tcW w:w="148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w:t>
            </w:r>
          </w:p>
        </w:tc>
        <w:tc>
          <w:tcPr>
            <w:tcW w:w="149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w:t>
            </w:r>
          </w:p>
        </w:tc>
        <w:tc>
          <w:tcPr>
            <w:tcW w:w="164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w:t>
            </w:r>
          </w:p>
        </w:tc>
      </w:tr>
    </w:tbl>
    <w:p w:rsidR="00D602D4" w:rsidRDefault="00D602D4">
      <w:pPr>
        <w:widowControl w:val="0"/>
        <w:spacing w:after="0" w:line="240" w:lineRule="auto"/>
        <w:jc w:val="center"/>
        <w:rPr>
          <w:rFonts w:ascii="Times New Roman" w:hAnsi="Times New Roman" w:cs="Times New Roman"/>
          <w:b/>
          <w:sz w:val="24"/>
          <w:szCs w:val="24"/>
        </w:rPr>
      </w:pPr>
    </w:p>
    <w:p w:rsidR="00D602D4" w:rsidRDefault="000B4C86">
      <w:pPr>
        <w:widowControl w:val="0"/>
        <w:spacing w:after="0" w:line="240" w:lineRule="auto"/>
        <w:jc w:val="center"/>
        <w:rPr>
          <w:rFonts w:ascii="Times New Roman" w:hAnsi="Times New Roman" w:cs="Times New Roman"/>
          <w:b/>
          <w:sz w:val="24"/>
          <w:szCs w:val="24"/>
        </w:rPr>
      </w:pPr>
      <w:r>
        <w:rPr>
          <w:noProof/>
          <w:lang w:eastAsia="ru-RU"/>
        </w:rPr>
        <w:drawing>
          <wp:inline distT="0" distB="0" distL="0" distR="0">
            <wp:extent cx="5936615" cy="2152387"/>
            <wp:effectExtent l="4762" t="4762" r="4762" b="4762"/>
            <wp:docPr id="15"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602D4" w:rsidRDefault="000B4C86">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Рис. 5 - Возрастная структура ВЛ 0,4-220 кВ</w:t>
      </w:r>
    </w:p>
    <w:p w:rsidR="00D602D4" w:rsidRDefault="00D602D4">
      <w:pPr>
        <w:widowControl w:val="0"/>
        <w:spacing w:after="0" w:line="240" w:lineRule="auto"/>
        <w:jc w:val="center"/>
        <w:rPr>
          <w:rFonts w:ascii="Times New Roman" w:hAnsi="Times New Roman" w:cs="Times New Roman"/>
          <w:sz w:val="24"/>
          <w:szCs w:val="24"/>
        </w:rPr>
      </w:pPr>
    </w:p>
    <w:p w:rsidR="00D602D4" w:rsidRDefault="00D602D4">
      <w:pPr>
        <w:widowControl w:val="0"/>
        <w:spacing w:after="0" w:line="240" w:lineRule="auto"/>
        <w:jc w:val="center"/>
        <w:rPr>
          <w:rFonts w:ascii="Times New Roman" w:hAnsi="Times New Roman" w:cs="Times New Roman"/>
          <w:sz w:val="24"/>
          <w:szCs w:val="24"/>
        </w:rPr>
      </w:pPr>
    </w:p>
    <w:p w:rsidR="00D602D4" w:rsidRDefault="000B4C86">
      <w:pPr>
        <w:widowControl w:val="0"/>
        <w:spacing w:after="0" w:line="240" w:lineRule="auto"/>
        <w:jc w:val="center"/>
        <w:rPr>
          <w:rFonts w:ascii="Times New Roman" w:hAnsi="Times New Roman" w:cs="Times New Roman"/>
          <w:sz w:val="24"/>
          <w:szCs w:val="24"/>
        </w:rPr>
      </w:pPr>
      <w:r>
        <w:rPr>
          <w:noProof/>
          <w:highlight w:val="green"/>
          <w:lang w:eastAsia="ru-RU"/>
        </w:rPr>
        <w:drawing>
          <wp:inline distT="0" distB="0" distL="0" distR="0">
            <wp:extent cx="5334000" cy="2154804"/>
            <wp:effectExtent l="0" t="0" r="0" b="17145"/>
            <wp:docPr id="1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D602D4" w:rsidRDefault="000B4C86">
      <w:pPr>
        <w:widowControl w:val="0"/>
        <w:spacing w:after="0" w:line="240" w:lineRule="auto"/>
        <w:ind w:firstLine="731"/>
        <w:jc w:val="center"/>
        <w:rPr>
          <w:rFonts w:ascii="Times New Roman" w:hAnsi="Times New Roman" w:cs="Times New Roman"/>
          <w:sz w:val="24"/>
          <w:szCs w:val="24"/>
        </w:rPr>
      </w:pPr>
      <w:r>
        <w:rPr>
          <w:rFonts w:ascii="Times New Roman" w:hAnsi="Times New Roman" w:cs="Times New Roman"/>
          <w:sz w:val="24"/>
          <w:szCs w:val="24"/>
        </w:rPr>
        <w:t>Рис. 6 - Возрастная структура ПС 35-220 кВ</w:t>
      </w:r>
    </w:p>
    <w:p w:rsidR="00D602D4" w:rsidRDefault="00D602D4">
      <w:pPr>
        <w:widowControl w:val="0"/>
        <w:spacing w:after="0" w:line="240" w:lineRule="auto"/>
        <w:ind w:firstLine="731"/>
        <w:jc w:val="center"/>
        <w:rPr>
          <w:rFonts w:ascii="Times New Roman" w:hAnsi="Times New Roman" w:cs="Times New Roman"/>
          <w:sz w:val="24"/>
          <w:szCs w:val="24"/>
        </w:rPr>
      </w:pPr>
    </w:p>
    <w:p w:rsidR="00D602D4" w:rsidRDefault="000B4C86">
      <w:pPr>
        <w:widowControl w:val="0"/>
        <w:spacing w:after="0" w:line="240" w:lineRule="auto"/>
        <w:ind w:firstLine="731"/>
        <w:jc w:val="center"/>
        <w:rPr>
          <w:rFonts w:ascii="Times New Roman" w:hAnsi="Times New Roman" w:cs="Times New Roman"/>
          <w:b/>
          <w:sz w:val="24"/>
          <w:szCs w:val="24"/>
        </w:rPr>
      </w:pPr>
      <w:r>
        <w:rPr>
          <w:rFonts w:ascii="Times New Roman" w:hAnsi="Times New Roman" w:cs="Times New Roman"/>
          <w:b/>
          <w:sz w:val="24"/>
          <w:szCs w:val="24"/>
        </w:rPr>
        <w:t>Техническое состояние сетей, износ оборудования, %</w:t>
      </w:r>
    </w:p>
    <w:p w:rsidR="00D602D4" w:rsidRDefault="000B4C86">
      <w:pPr>
        <w:widowControl w:val="0"/>
        <w:spacing w:after="0" w:line="240" w:lineRule="auto"/>
        <w:ind w:firstLine="731"/>
        <w:rPr>
          <w:rFonts w:ascii="Times New Roman" w:hAnsi="Times New Roman" w:cs="Times New Roman"/>
          <w:b/>
          <w:sz w:val="24"/>
          <w:szCs w:val="24"/>
        </w:rPr>
      </w:pPr>
      <w:r>
        <w:rPr>
          <w:noProof/>
          <w:lang w:eastAsia="ru-RU"/>
        </w:rPr>
        <w:drawing>
          <wp:inline distT="0" distB="0" distL="0" distR="0">
            <wp:extent cx="5102860" cy="2671639"/>
            <wp:effectExtent l="0" t="0" r="2540" b="14604"/>
            <wp:docPr id="17"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602D4" w:rsidRDefault="000B4C86">
      <w:pPr>
        <w:widowControl w:val="0"/>
        <w:spacing w:after="0" w:line="240" w:lineRule="auto"/>
        <w:ind w:firstLine="731"/>
        <w:jc w:val="center"/>
        <w:rPr>
          <w:rFonts w:ascii="Times New Roman" w:hAnsi="Times New Roman" w:cs="Times New Roman"/>
          <w:sz w:val="24"/>
          <w:szCs w:val="24"/>
        </w:rPr>
      </w:pPr>
      <w:r>
        <w:rPr>
          <w:rFonts w:ascii="Times New Roman" w:hAnsi="Times New Roman" w:cs="Times New Roman"/>
          <w:sz w:val="24"/>
          <w:szCs w:val="24"/>
        </w:rPr>
        <w:t>Рис. 7 - Износ оборудования ПАО «Россети Сибирь»</w:t>
      </w:r>
    </w:p>
    <w:p w:rsidR="00D602D4" w:rsidRDefault="000B4C86">
      <w:pPr>
        <w:widowControl w:val="0"/>
        <w:spacing w:after="0" w:line="240" w:lineRule="auto"/>
        <w:ind w:firstLine="731"/>
        <w:rPr>
          <w:rFonts w:ascii="Times New Roman" w:hAnsi="Times New Roman" w:cs="Times New Roman"/>
          <w:sz w:val="20"/>
          <w:szCs w:val="20"/>
        </w:rPr>
      </w:pPr>
      <w:r>
        <w:rPr>
          <w:rFonts w:ascii="Times New Roman" w:hAnsi="Times New Roman" w:cs="Times New Roman"/>
          <w:sz w:val="20"/>
          <w:szCs w:val="20"/>
        </w:rPr>
        <w:t>Примечание: указан бухгалтерский износ.</w:t>
      </w:r>
    </w:p>
    <w:p w:rsidR="00D602D4" w:rsidRDefault="00D602D4">
      <w:pPr>
        <w:widowControl w:val="0"/>
        <w:spacing w:after="0" w:line="240" w:lineRule="auto"/>
        <w:ind w:firstLine="731"/>
        <w:rPr>
          <w:rFonts w:ascii="Times New Roman" w:hAnsi="Times New Roman" w:cs="Times New Roman"/>
          <w:sz w:val="20"/>
          <w:szCs w:val="20"/>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Усилия Общества направлены на преодоление тенденции старения основных фондов за счет их модернизации, применения инновационной техники и технологий при реконструкции, технического перевооружения и строительства электрических сетей.</w:t>
      </w:r>
    </w:p>
    <w:p w:rsidR="00D602D4" w:rsidRDefault="00D602D4">
      <w:pPr>
        <w:spacing w:after="0" w:line="240" w:lineRule="auto"/>
        <w:jc w:val="both"/>
        <w:rPr>
          <w:rFonts w:ascii="Times New Roman" w:hAnsi="Times New Roman" w:cs="Times New Roman"/>
          <w:sz w:val="24"/>
          <w:szCs w:val="24"/>
        </w:rPr>
      </w:pPr>
    </w:p>
    <w:p w:rsidR="00D602D4" w:rsidRDefault="000B4C86">
      <w:pPr>
        <w:pStyle w:val="13"/>
        <w:rPr>
          <w:rFonts w:ascii="Times New Roman" w:hAnsi="Times New Roman" w:cs="Times New Roman"/>
          <w:color w:val="000000" w:themeColor="text1"/>
          <w:sz w:val="24"/>
          <w:szCs w:val="24"/>
        </w:rPr>
      </w:pPr>
      <w:bookmarkStart w:id="28" w:name="_Toc29"/>
      <w:r>
        <w:rPr>
          <w:rFonts w:ascii="Times New Roman" w:eastAsia="Times New Roman" w:hAnsi="Times New Roman" w:cs="Times New Roman"/>
          <w:b/>
          <w:color w:val="000000" w:themeColor="text1"/>
          <w:sz w:val="26"/>
          <w:szCs w:val="26"/>
        </w:rPr>
        <w:t>3.1.2. Результаты производственной деятельности</w:t>
      </w:r>
      <w:bookmarkEnd w:id="28"/>
    </w:p>
    <w:p w:rsidR="00D602D4" w:rsidRDefault="000B4C86">
      <w:pPr>
        <w:widowControl w:val="0"/>
        <w:spacing w:after="0" w:line="240" w:lineRule="auto"/>
        <w:jc w:val="right"/>
        <w:rPr>
          <w:rFonts w:ascii="Times New Roman" w:hAnsi="Times New Roman" w:cs="Times New Roman"/>
          <w:sz w:val="24"/>
          <w:szCs w:val="24"/>
        </w:rPr>
      </w:pPr>
      <w:r>
        <w:rPr>
          <w:rFonts w:ascii="Times New Roman" w:hAnsi="Times New Roman" w:cs="Times New Roman"/>
          <w:sz w:val="24"/>
          <w:szCs w:val="24"/>
        </w:rPr>
        <w:t>Таблица 14</w:t>
      </w:r>
    </w:p>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Результаты производственной деятельности за 2024 год</w:t>
      </w:r>
    </w:p>
    <w:tbl>
      <w:tblPr>
        <w:tblW w:w="9715" w:type="dxa"/>
        <w:tblInd w:w="-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86"/>
        <w:gridCol w:w="1985"/>
        <w:gridCol w:w="2835"/>
        <w:gridCol w:w="1275"/>
        <w:gridCol w:w="1134"/>
      </w:tblGrid>
      <w:tr w:rsidR="00D602D4">
        <w:trPr>
          <w:trHeight w:val="232"/>
        </w:trPr>
        <w:tc>
          <w:tcPr>
            <w:tcW w:w="2486" w:type="dxa"/>
            <w:vMerge w:val="restart"/>
            <w:shd w:val="clear" w:color="FFFFFF" w:fill="FFFFFF"/>
            <w:vAlign w:val="center"/>
          </w:tcPr>
          <w:p w:rsidR="00D602D4" w:rsidRDefault="000B4C86">
            <w:pPr>
              <w:widowControl w:val="0"/>
              <w:spacing w:after="0" w:line="240" w:lineRule="auto"/>
              <w:jc w:val="both"/>
              <w:rPr>
                <w:rFonts w:ascii="Times New Roman" w:hAnsi="Times New Roman" w:cs="Times New Roman"/>
                <w:b/>
                <w:sz w:val="24"/>
                <w:szCs w:val="24"/>
              </w:rPr>
            </w:pPr>
            <w:r>
              <w:rPr>
                <w:rFonts w:ascii="Times New Roman" w:hAnsi="Times New Roman" w:cs="Times New Roman"/>
                <w:b/>
                <w:sz w:val="20"/>
                <w:szCs w:val="20"/>
              </w:rPr>
              <w:t>Наименование филиала</w:t>
            </w:r>
          </w:p>
        </w:tc>
        <w:tc>
          <w:tcPr>
            <w:tcW w:w="1985" w:type="dxa"/>
            <w:vMerge w:val="restart"/>
            <w:shd w:val="clear" w:color="FFFFFF" w:fill="FFFFFF"/>
            <w:vAlign w:val="center"/>
          </w:tcPr>
          <w:p w:rsidR="00D602D4" w:rsidRDefault="000B4C86">
            <w:pPr>
              <w:widowControl w:val="0"/>
              <w:spacing w:after="0" w:line="240" w:lineRule="auto"/>
              <w:jc w:val="both"/>
              <w:rPr>
                <w:rFonts w:ascii="Times New Roman" w:hAnsi="Times New Roman" w:cs="Times New Roman"/>
                <w:b/>
                <w:sz w:val="24"/>
                <w:szCs w:val="24"/>
              </w:rPr>
            </w:pPr>
            <w:r>
              <w:rPr>
                <w:rFonts w:ascii="Times New Roman" w:hAnsi="Times New Roman" w:cs="Times New Roman"/>
                <w:b/>
                <w:sz w:val="20"/>
                <w:szCs w:val="20"/>
              </w:rPr>
              <w:t>Отпуск в сеть, млн кВт*ч</w:t>
            </w:r>
          </w:p>
        </w:tc>
        <w:tc>
          <w:tcPr>
            <w:tcW w:w="2835" w:type="dxa"/>
            <w:vMerge w:val="restart"/>
            <w:shd w:val="clear" w:color="FFFFFF" w:fill="FFFFFF"/>
            <w:vAlign w:val="center"/>
          </w:tcPr>
          <w:p w:rsidR="00D602D4" w:rsidRDefault="000B4C86">
            <w:pPr>
              <w:widowControl w:val="0"/>
              <w:spacing w:after="0" w:line="240" w:lineRule="auto"/>
              <w:jc w:val="both"/>
              <w:rPr>
                <w:rFonts w:ascii="Times New Roman" w:hAnsi="Times New Roman" w:cs="Times New Roman"/>
                <w:b/>
                <w:sz w:val="24"/>
                <w:szCs w:val="24"/>
              </w:rPr>
            </w:pPr>
            <w:r>
              <w:rPr>
                <w:rFonts w:ascii="Times New Roman" w:hAnsi="Times New Roman" w:cs="Times New Roman"/>
                <w:b/>
                <w:sz w:val="20"/>
                <w:szCs w:val="20"/>
              </w:rPr>
              <w:t>Отпуск из сети потребителям и смежным ТСО в границах балансовой и эксплуатационной ответственности, млн кВт*ч</w:t>
            </w:r>
          </w:p>
        </w:tc>
        <w:tc>
          <w:tcPr>
            <w:tcW w:w="2409" w:type="dxa"/>
            <w:gridSpan w:val="2"/>
            <w:shd w:val="clear" w:color="FFFFFF" w:fill="FFFFFF"/>
            <w:vAlign w:val="center"/>
          </w:tcPr>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0"/>
                <w:szCs w:val="20"/>
              </w:rPr>
              <w:t>Потери</w:t>
            </w:r>
          </w:p>
        </w:tc>
      </w:tr>
      <w:tr w:rsidR="00D602D4">
        <w:trPr>
          <w:trHeight w:val="232"/>
        </w:trPr>
        <w:tc>
          <w:tcPr>
            <w:tcW w:w="2486" w:type="dxa"/>
            <w:vMerge/>
            <w:shd w:val="clear" w:color="FFFFFF" w:fill="FFFFFF"/>
            <w:vAlign w:val="center"/>
          </w:tcPr>
          <w:p w:rsidR="00D602D4" w:rsidRDefault="00D602D4">
            <w:pPr>
              <w:widowControl w:val="0"/>
              <w:spacing w:after="0" w:line="240" w:lineRule="auto"/>
              <w:jc w:val="both"/>
              <w:rPr>
                <w:rFonts w:ascii="Times New Roman" w:hAnsi="Times New Roman" w:cs="Times New Roman"/>
                <w:b/>
                <w:sz w:val="24"/>
                <w:szCs w:val="24"/>
              </w:rPr>
            </w:pPr>
          </w:p>
        </w:tc>
        <w:tc>
          <w:tcPr>
            <w:tcW w:w="1985" w:type="dxa"/>
            <w:vMerge/>
            <w:shd w:val="clear" w:color="FFFFFF" w:fill="FFFFFF"/>
            <w:vAlign w:val="center"/>
          </w:tcPr>
          <w:p w:rsidR="00D602D4" w:rsidRDefault="00D602D4">
            <w:pPr>
              <w:widowControl w:val="0"/>
              <w:spacing w:after="0" w:line="240" w:lineRule="auto"/>
              <w:jc w:val="both"/>
              <w:rPr>
                <w:rFonts w:ascii="Times New Roman" w:hAnsi="Times New Roman" w:cs="Times New Roman"/>
                <w:b/>
                <w:sz w:val="24"/>
                <w:szCs w:val="24"/>
              </w:rPr>
            </w:pPr>
          </w:p>
        </w:tc>
        <w:tc>
          <w:tcPr>
            <w:tcW w:w="2835" w:type="dxa"/>
            <w:vMerge/>
            <w:shd w:val="clear" w:color="FFFFFF" w:fill="FFFFFF"/>
            <w:vAlign w:val="center"/>
          </w:tcPr>
          <w:p w:rsidR="00D602D4" w:rsidRDefault="00D602D4">
            <w:pPr>
              <w:widowControl w:val="0"/>
              <w:spacing w:after="0" w:line="240" w:lineRule="auto"/>
              <w:jc w:val="both"/>
              <w:rPr>
                <w:rFonts w:ascii="Times New Roman" w:hAnsi="Times New Roman" w:cs="Times New Roman"/>
                <w:b/>
                <w:sz w:val="24"/>
                <w:szCs w:val="24"/>
              </w:rPr>
            </w:pPr>
          </w:p>
        </w:tc>
        <w:tc>
          <w:tcPr>
            <w:tcW w:w="1275" w:type="dxa"/>
            <w:shd w:val="clear" w:color="FFFFFF" w:fill="FFFFFF"/>
            <w:vAlign w:val="center"/>
          </w:tcPr>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0"/>
                <w:szCs w:val="20"/>
              </w:rPr>
              <w:t>млн кВт*ч</w:t>
            </w:r>
          </w:p>
        </w:tc>
        <w:tc>
          <w:tcPr>
            <w:tcW w:w="1134" w:type="dxa"/>
            <w:shd w:val="clear" w:color="FFFFFF" w:fill="FFFFFF"/>
            <w:vAlign w:val="center"/>
          </w:tcPr>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0"/>
                <w:szCs w:val="20"/>
              </w:rPr>
              <w:t>%</w:t>
            </w:r>
          </w:p>
        </w:tc>
      </w:tr>
      <w:tr w:rsidR="00D602D4">
        <w:trPr>
          <w:trHeight w:hRule="exact" w:val="232"/>
        </w:trPr>
        <w:tc>
          <w:tcPr>
            <w:tcW w:w="2486" w:type="dxa"/>
            <w:shd w:val="clear" w:color="FFFFFF" w:fill="FFFFFF"/>
          </w:tcPr>
          <w:p w:rsidR="00D602D4" w:rsidRDefault="000B4C86">
            <w:pPr>
              <w:widowControl w:val="0"/>
              <w:spacing w:after="0" w:line="240" w:lineRule="auto"/>
              <w:jc w:val="both"/>
              <w:rPr>
                <w:rFonts w:ascii="Times New Roman" w:hAnsi="Times New Roman" w:cs="Times New Roman"/>
                <w:sz w:val="24"/>
                <w:szCs w:val="24"/>
              </w:rPr>
            </w:pPr>
            <w:r>
              <w:rPr>
                <w:rFonts w:ascii="Times New Roman" w:hAnsi="Times New Roman" w:cs="Times New Roman"/>
                <w:sz w:val="20"/>
                <w:szCs w:val="20"/>
              </w:rPr>
              <w:t>Алтайэнерго</w:t>
            </w:r>
          </w:p>
        </w:tc>
        <w:tc>
          <w:tcPr>
            <w:tcW w:w="198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rPr>
            </w:pPr>
            <w:r>
              <w:rPr>
                <w:rFonts w:ascii="Times New Roman" w:hAnsi="Times New Roman" w:cs="Times New Roman"/>
                <w:color w:val="000000"/>
                <w:sz w:val="20"/>
                <w:szCs w:val="20"/>
              </w:rPr>
              <w:t xml:space="preserve">8 176,16 </w:t>
            </w:r>
          </w:p>
        </w:tc>
        <w:tc>
          <w:tcPr>
            <w:tcW w:w="283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7 654,18 </w:t>
            </w:r>
          </w:p>
        </w:tc>
        <w:tc>
          <w:tcPr>
            <w:tcW w:w="127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521,98 </w:t>
            </w:r>
          </w:p>
        </w:tc>
        <w:tc>
          <w:tcPr>
            <w:tcW w:w="1134"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6,38</w:t>
            </w:r>
          </w:p>
        </w:tc>
      </w:tr>
      <w:tr w:rsidR="00D602D4">
        <w:trPr>
          <w:trHeight w:hRule="exact" w:val="232"/>
        </w:trPr>
        <w:tc>
          <w:tcPr>
            <w:tcW w:w="2486" w:type="dxa"/>
            <w:shd w:val="clear" w:color="FFFFFF" w:fill="FFFFFF"/>
          </w:tcPr>
          <w:p w:rsidR="00D602D4" w:rsidRDefault="000B4C86">
            <w:pPr>
              <w:widowControl w:val="0"/>
              <w:spacing w:after="0" w:line="240" w:lineRule="auto"/>
              <w:jc w:val="both"/>
              <w:rPr>
                <w:rFonts w:ascii="Times New Roman" w:hAnsi="Times New Roman" w:cs="Times New Roman"/>
                <w:sz w:val="24"/>
                <w:szCs w:val="24"/>
              </w:rPr>
            </w:pPr>
            <w:r>
              <w:rPr>
                <w:rFonts w:ascii="Times New Roman" w:hAnsi="Times New Roman" w:cs="Times New Roman"/>
                <w:sz w:val="20"/>
                <w:szCs w:val="20"/>
              </w:rPr>
              <w:t>Бурятэнерго</w:t>
            </w:r>
          </w:p>
        </w:tc>
        <w:tc>
          <w:tcPr>
            <w:tcW w:w="198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5 289,95 </w:t>
            </w:r>
          </w:p>
        </w:tc>
        <w:tc>
          <w:tcPr>
            <w:tcW w:w="283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4 636,63 </w:t>
            </w:r>
          </w:p>
        </w:tc>
        <w:tc>
          <w:tcPr>
            <w:tcW w:w="127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653,33 </w:t>
            </w:r>
          </w:p>
        </w:tc>
        <w:tc>
          <w:tcPr>
            <w:tcW w:w="1134"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12,35</w:t>
            </w:r>
          </w:p>
        </w:tc>
      </w:tr>
      <w:tr w:rsidR="00D602D4">
        <w:trPr>
          <w:trHeight w:hRule="exact" w:val="232"/>
        </w:trPr>
        <w:tc>
          <w:tcPr>
            <w:tcW w:w="2486" w:type="dxa"/>
            <w:shd w:val="clear" w:color="FFFFFF" w:fill="FFFFFF"/>
          </w:tcPr>
          <w:p w:rsidR="00D602D4" w:rsidRDefault="000B4C86">
            <w:pPr>
              <w:widowControl w:val="0"/>
              <w:spacing w:after="0" w:line="240" w:lineRule="auto"/>
              <w:jc w:val="both"/>
              <w:rPr>
                <w:rFonts w:ascii="Times New Roman" w:hAnsi="Times New Roman" w:cs="Times New Roman"/>
                <w:sz w:val="24"/>
                <w:szCs w:val="24"/>
              </w:rPr>
            </w:pPr>
            <w:r>
              <w:rPr>
                <w:rFonts w:ascii="Times New Roman" w:hAnsi="Times New Roman" w:cs="Times New Roman"/>
                <w:sz w:val="20"/>
                <w:szCs w:val="20"/>
              </w:rPr>
              <w:t>ПО ГАЭС</w:t>
            </w:r>
          </w:p>
        </w:tc>
        <w:tc>
          <w:tcPr>
            <w:tcW w:w="198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744,06 </w:t>
            </w:r>
          </w:p>
        </w:tc>
        <w:tc>
          <w:tcPr>
            <w:tcW w:w="283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639,58 </w:t>
            </w:r>
          </w:p>
        </w:tc>
        <w:tc>
          <w:tcPr>
            <w:tcW w:w="127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104,49 </w:t>
            </w:r>
          </w:p>
        </w:tc>
        <w:tc>
          <w:tcPr>
            <w:tcW w:w="1134"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14,04</w:t>
            </w:r>
          </w:p>
        </w:tc>
      </w:tr>
      <w:tr w:rsidR="00D602D4">
        <w:trPr>
          <w:trHeight w:hRule="exact" w:val="232"/>
        </w:trPr>
        <w:tc>
          <w:tcPr>
            <w:tcW w:w="2486" w:type="dxa"/>
            <w:shd w:val="clear" w:color="FFFFFF" w:fill="FFFFFF"/>
          </w:tcPr>
          <w:p w:rsidR="00D602D4" w:rsidRDefault="000B4C86">
            <w:pPr>
              <w:widowControl w:val="0"/>
              <w:spacing w:after="0" w:line="240" w:lineRule="auto"/>
              <w:jc w:val="both"/>
              <w:rPr>
                <w:rFonts w:ascii="Times New Roman" w:hAnsi="Times New Roman" w:cs="Times New Roman"/>
                <w:sz w:val="24"/>
                <w:szCs w:val="24"/>
              </w:rPr>
            </w:pPr>
            <w:r>
              <w:rPr>
                <w:rFonts w:ascii="Times New Roman" w:hAnsi="Times New Roman" w:cs="Times New Roman"/>
                <w:sz w:val="20"/>
                <w:szCs w:val="20"/>
              </w:rPr>
              <w:t>Красноярскэнерго</w:t>
            </w:r>
          </w:p>
        </w:tc>
        <w:tc>
          <w:tcPr>
            <w:tcW w:w="198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15 099,96 </w:t>
            </w:r>
          </w:p>
        </w:tc>
        <w:tc>
          <w:tcPr>
            <w:tcW w:w="283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13 564,24 </w:t>
            </w:r>
          </w:p>
        </w:tc>
        <w:tc>
          <w:tcPr>
            <w:tcW w:w="127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1 535,72 </w:t>
            </w:r>
          </w:p>
        </w:tc>
        <w:tc>
          <w:tcPr>
            <w:tcW w:w="1134"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10,17</w:t>
            </w:r>
          </w:p>
        </w:tc>
      </w:tr>
      <w:tr w:rsidR="00D602D4">
        <w:trPr>
          <w:trHeight w:hRule="exact" w:val="232"/>
        </w:trPr>
        <w:tc>
          <w:tcPr>
            <w:tcW w:w="2486" w:type="dxa"/>
            <w:shd w:val="clear" w:color="FFFFFF" w:fill="FFFFFF"/>
          </w:tcPr>
          <w:p w:rsidR="00D602D4" w:rsidRDefault="000B4C86">
            <w:pPr>
              <w:widowControl w:val="0"/>
              <w:spacing w:after="0" w:line="240" w:lineRule="auto"/>
              <w:jc w:val="both"/>
              <w:rPr>
                <w:rFonts w:ascii="Times New Roman" w:hAnsi="Times New Roman" w:cs="Times New Roman"/>
                <w:sz w:val="24"/>
                <w:szCs w:val="24"/>
              </w:rPr>
            </w:pPr>
            <w:r>
              <w:rPr>
                <w:rFonts w:ascii="Times New Roman" w:hAnsi="Times New Roman" w:cs="Times New Roman"/>
                <w:sz w:val="20"/>
                <w:szCs w:val="20"/>
              </w:rPr>
              <w:t>Кузбассэнерго-РЭС</w:t>
            </w:r>
          </w:p>
        </w:tc>
        <w:tc>
          <w:tcPr>
            <w:tcW w:w="198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15 105,30 </w:t>
            </w:r>
          </w:p>
        </w:tc>
        <w:tc>
          <w:tcPr>
            <w:tcW w:w="283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14 519,29 </w:t>
            </w:r>
          </w:p>
        </w:tc>
        <w:tc>
          <w:tcPr>
            <w:tcW w:w="127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586,02 </w:t>
            </w:r>
          </w:p>
        </w:tc>
        <w:tc>
          <w:tcPr>
            <w:tcW w:w="1134"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3,88</w:t>
            </w:r>
          </w:p>
        </w:tc>
      </w:tr>
      <w:tr w:rsidR="00D602D4">
        <w:trPr>
          <w:trHeight w:hRule="exact" w:val="232"/>
        </w:trPr>
        <w:tc>
          <w:tcPr>
            <w:tcW w:w="2486" w:type="dxa"/>
            <w:shd w:val="clear" w:color="FFFFFF" w:fill="FFFFFF"/>
          </w:tcPr>
          <w:p w:rsidR="00D602D4" w:rsidRDefault="000B4C86">
            <w:pPr>
              <w:widowControl w:val="0"/>
              <w:spacing w:after="0" w:line="240" w:lineRule="auto"/>
              <w:jc w:val="both"/>
              <w:rPr>
                <w:rFonts w:ascii="Times New Roman" w:hAnsi="Times New Roman" w:cs="Times New Roman"/>
                <w:sz w:val="24"/>
                <w:szCs w:val="24"/>
              </w:rPr>
            </w:pPr>
            <w:r>
              <w:rPr>
                <w:rFonts w:ascii="Times New Roman" w:hAnsi="Times New Roman" w:cs="Times New Roman"/>
                <w:sz w:val="20"/>
                <w:szCs w:val="20"/>
              </w:rPr>
              <w:t>Омскэнерго</w:t>
            </w:r>
          </w:p>
        </w:tc>
        <w:tc>
          <w:tcPr>
            <w:tcW w:w="198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9 238,54 </w:t>
            </w:r>
          </w:p>
        </w:tc>
        <w:tc>
          <w:tcPr>
            <w:tcW w:w="283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8 612,85 </w:t>
            </w:r>
          </w:p>
        </w:tc>
        <w:tc>
          <w:tcPr>
            <w:tcW w:w="127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625,70 </w:t>
            </w:r>
          </w:p>
        </w:tc>
        <w:tc>
          <w:tcPr>
            <w:tcW w:w="1134"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6,77</w:t>
            </w:r>
          </w:p>
        </w:tc>
      </w:tr>
      <w:tr w:rsidR="00D602D4">
        <w:trPr>
          <w:trHeight w:hRule="exact" w:val="232"/>
        </w:trPr>
        <w:tc>
          <w:tcPr>
            <w:tcW w:w="2486" w:type="dxa"/>
            <w:shd w:val="clear" w:color="FFFFFF" w:fill="FFFFFF"/>
          </w:tcPr>
          <w:p w:rsidR="00D602D4" w:rsidRDefault="000B4C86">
            <w:pPr>
              <w:widowControl w:val="0"/>
              <w:spacing w:after="0" w:line="240" w:lineRule="auto"/>
              <w:jc w:val="both"/>
              <w:rPr>
                <w:rFonts w:ascii="Times New Roman" w:hAnsi="Times New Roman" w:cs="Times New Roman"/>
                <w:sz w:val="24"/>
                <w:szCs w:val="24"/>
              </w:rPr>
            </w:pPr>
            <w:r>
              <w:rPr>
                <w:rFonts w:ascii="Times New Roman" w:hAnsi="Times New Roman" w:cs="Times New Roman"/>
                <w:sz w:val="20"/>
                <w:szCs w:val="20"/>
              </w:rPr>
              <w:lastRenderedPageBreak/>
              <w:t>Хакасэнерго</w:t>
            </w:r>
          </w:p>
        </w:tc>
        <w:tc>
          <w:tcPr>
            <w:tcW w:w="198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3 628,21 </w:t>
            </w:r>
          </w:p>
        </w:tc>
        <w:tc>
          <w:tcPr>
            <w:tcW w:w="283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3 343,65 </w:t>
            </w:r>
          </w:p>
        </w:tc>
        <w:tc>
          <w:tcPr>
            <w:tcW w:w="127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284,56 </w:t>
            </w:r>
          </w:p>
        </w:tc>
        <w:tc>
          <w:tcPr>
            <w:tcW w:w="1134"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7,84</w:t>
            </w:r>
          </w:p>
        </w:tc>
      </w:tr>
      <w:tr w:rsidR="00D602D4">
        <w:trPr>
          <w:trHeight w:hRule="exact" w:val="232"/>
        </w:trPr>
        <w:tc>
          <w:tcPr>
            <w:tcW w:w="2486" w:type="dxa"/>
            <w:shd w:val="clear" w:color="FFFFFF" w:fill="FFFFFF"/>
          </w:tcPr>
          <w:p w:rsidR="00D602D4" w:rsidRDefault="000B4C86">
            <w:pPr>
              <w:widowControl w:val="0"/>
              <w:spacing w:after="0" w:line="240" w:lineRule="auto"/>
              <w:jc w:val="both"/>
              <w:rPr>
                <w:rFonts w:ascii="Times New Roman" w:hAnsi="Times New Roman" w:cs="Times New Roman"/>
                <w:sz w:val="24"/>
                <w:szCs w:val="24"/>
              </w:rPr>
            </w:pPr>
            <w:r>
              <w:rPr>
                <w:rFonts w:ascii="Times New Roman" w:hAnsi="Times New Roman" w:cs="Times New Roman"/>
                <w:sz w:val="20"/>
                <w:szCs w:val="20"/>
              </w:rPr>
              <w:t>Читаэнерго</w:t>
            </w:r>
          </w:p>
        </w:tc>
        <w:tc>
          <w:tcPr>
            <w:tcW w:w="198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6 642,93 </w:t>
            </w:r>
          </w:p>
        </w:tc>
        <w:tc>
          <w:tcPr>
            <w:tcW w:w="283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6 071,28 </w:t>
            </w:r>
          </w:p>
        </w:tc>
        <w:tc>
          <w:tcPr>
            <w:tcW w:w="1275"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 xml:space="preserve">571,64 </w:t>
            </w:r>
          </w:p>
        </w:tc>
        <w:tc>
          <w:tcPr>
            <w:tcW w:w="1134" w:type="dxa"/>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8,61</w:t>
            </w:r>
          </w:p>
        </w:tc>
      </w:tr>
      <w:tr w:rsidR="00D602D4">
        <w:trPr>
          <w:trHeight w:hRule="exact" w:val="232"/>
        </w:trPr>
        <w:tc>
          <w:tcPr>
            <w:tcW w:w="2486" w:type="dxa"/>
            <w:shd w:val="clear" w:color="FFFFFF" w:fill="FFFFFF"/>
            <w:vAlign w:val="center"/>
          </w:tcPr>
          <w:p w:rsidR="00D602D4" w:rsidRDefault="000B4C86">
            <w:pPr>
              <w:widowControl w:val="0"/>
              <w:spacing w:after="0" w:line="240" w:lineRule="auto"/>
              <w:jc w:val="both"/>
              <w:rPr>
                <w:rFonts w:ascii="Times New Roman" w:hAnsi="Times New Roman" w:cs="Times New Roman"/>
                <w:b/>
                <w:sz w:val="24"/>
                <w:szCs w:val="24"/>
              </w:rPr>
            </w:pPr>
            <w:r>
              <w:rPr>
                <w:rFonts w:ascii="Times New Roman" w:hAnsi="Times New Roman" w:cs="Times New Roman"/>
                <w:b/>
                <w:sz w:val="20"/>
                <w:szCs w:val="20"/>
              </w:rPr>
              <w:t xml:space="preserve">ПАО «Россети Сибирь» </w:t>
            </w:r>
          </w:p>
        </w:tc>
        <w:tc>
          <w:tcPr>
            <w:tcW w:w="1985" w:type="dxa"/>
            <w:shd w:val="clear" w:color="FFFFFF" w:fill="FFFFFF"/>
            <w:vAlign w:val="center"/>
          </w:tcPr>
          <w:p w:rsidR="00D602D4" w:rsidRDefault="000B4C86">
            <w:pPr>
              <w:spacing w:after="0" w:line="240" w:lineRule="auto"/>
              <w:jc w:val="center"/>
              <w:rPr>
                <w:rFonts w:ascii="Times New Roman" w:hAnsi="Times New Roman" w:cs="Times New Roman"/>
                <w:b/>
                <w:bCs/>
                <w:color w:val="000000"/>
              </w:rPr>
            </w:pPr>
            <w:r>
              <w:rPr>
                <w:rFonts w:ascii="Times New Roman" w:hAnsi="Times New Roman" w:cs="Times New Roman"/>
                <w:b/>
                <w:bCs/>
                <w:color w:val="000000"/>
                <w:sz w:val="20"/>
                <w:szCs w:val="20"/>
              </w:rPr>
              <w:t xml:space="preserve">63 925,12 </w:t>
            </w:r>
          </w:p>
        </w:tc>
        <w:tc>
          <w:tcPr>
            <w:tcW w:w="2835" w:type="dxa"/>
            <w:shd w:val="clear" w:color="FFFFFF" w:fill="FFFFFF"/>
            <w:vAlign w:val="center"/>
          </w:tcPr>
          <w:p w:rsidR="00D602D4" w:rsidRDefault="000B4C86">
            <w:pPr>
              <w:spacing w:after="0" w:line="240" w:lineRule="auto"/>
              <w:jc w:val="center"/>
              <w:rPr>
                <w:rFonts w:ascii="Times New Roman" w:hAnsi="Times New Roman" w:cs="Times New Roman"/>
                <w:b/>
                <w:bCs/>
                <w:color w:val="000000"/>
              </w:rPr>
            </w:pPr>
            <w:r>
              <w:rPr>
                <w:rFonts w:ascii="Times New Roman" w:hAnsi="Times New Roman" w:cs="Times New Roman"/>
                <w:b/>
                <w:bCs/>
                <w:color w:val="000000"/>
                <w:sz w:val="20"/>
                <w:szCs w:val="20"/>
              </w:rPr>
              <w:t xml:space="preserve">59 041,69 </w:t>
            </w:r>
          </w:p>
        </w:tc>
        <w:tc>
          <w:tcPr>
            <w:tcW w:w="1275" w:type="dxa"/>
            <w:shd w:val="clear" w:color="FFFFFF" w:fill="FFFFFF"/>
            <w:vAlign w:val="center"/>
          </w:tcPr>
          <w:p w:rsidR="00D602D4" w:rsidRDefault="000B4C86">
            <w:pPr>
              <w:spacing w:after="0" w:line="240" w:lineRule="auto"/>
              <w:jc w:val="center"/>
              <w:rPr>
                <w:rFonts w:ascii="Times New Roman" w:hAnsi="Times New Roman" w:cs="Times New Roman"/>
                <w:b/>
                <w:bCs/>
                <w:color w:val="000000"/>
              </w:rPr>
            </w:pPr>
            <w:r>
              <w:rPr>
                <w:rFonts w:ascii="Times New Roman" w:hAnsi="Times New Roman" w:cs="Times New Roman"/>
                <w:b/>
                <w:bCs/>
                <w:color w:val="000000"/>
                <w:sz w:val="20"/>
                <w:szCs w:val="20"/>
              </w:rPr>
              <w:t xml:space="preserve">4 883,43 </w:t>
            </w:r>
          </w:p>
        </w:tc>
        <w:tc>
          <w:tcPr>
            <w:tcW w:w="1134" w:type="dxa"/>
            <w:shd w:val="clear" w:color="FFFFFF" w:fill="FFFFFF"/>
            <w:vAlign w:val="center"/>
          </w:tcPr>
          <w:p w:rsidR="00D602D4" w:rsidRDefault="000B4C86">
            <w:pPr>
              <w:spacing w:after="0" w:line="240" w:lineRule="auto"/>
              <w:jc w:val="center"/>
              <w:rPr>
                <w:rFonts w:ascii="Times New Roman" w:hAnsi="Times New Roman" w:cs="Times New Roman"/>
                <w:b/>
                <w:bCs/>
                <w:color w:val="000000"/>
              </w:rPr>
            </w:pPr>
            <w:r>
              <w:rPr>
                <w:rFonts w:ascii="Times New Roman" w:hAnsi="Times New Roman" w:cs="Times New Roman"/>
                <w:b/>
                <w:bCs/>
                <w:color w:val="000000"/>
                <w:sz w:val="20"/>
                <w:szCs w:val="20"/>
              </w:rPr>
              <w:t>7,64</w:t>
            </w:r>
          </w:p>
        </w:tc>
      </w:tr>
    </w:tbl>
    <w:p w:rsidR="00D602D4" w:rsidRDefault="00D602D4">
      <w:pPr>
        <w:widowControl w:val="0"/>
        <w:spacing w:after="0" w:line="240" w:lineRule="auto"/>
        <w:ind w:firstLine="731"/>
        <w:jc w:val="both"/>
        <w:rPr>
          <w:rFonts w:ascii="Times New Roman" w:hAnsi="Times New Roman" w:cs="Times New Roman"/>
          <w:sz w:val="24"/>
          <w:szCs w:val="24"/>
          <w:highlight w:val="yellow"/>
        </w:rPr>
      </w:pPr>
    </w:p>
    <w:p w:rsidR="00D602D4" w:rsidRDefault="000B4C86">
      <w:pPr>
        <w:widowControl w:val="0"/>
        <w:spacing w:after="0" w:line="240" w:lineRule="auto"/>
        <w:ind w:firstLine="731"/>
        <w:jc w:val="both"/>
        <w:rPr>
          <w:rFonts w:ascii="Times New Roman" w:hAnsi="Times New Roman" w:cs="Times New Roman"/>
          <w:bCs/>
          <w:sz w:val="24"/>
          <w:szCs w:val="24"/>
        </w:rPr>
      </w:pPr>
      <w:r>
        <w:rPr>
          <w:rFonts w:ascii="Times New Roman" w:hAnsi="Times New Roman" w:cs="Times New Roman"/>
          <w:bCs/>
          <w:sz w:val="24"/>
          <w:szCs w:val="24"/>
        </w:rPr>
        <w:t>По итогам работы ПАО «Россети Сибирь» в 2024 году объем отпуска электрической энергии из сети потребителям и смежным ТСО в границах балансовой и эксплуатационной ответственности составил 59 041,69</w:t>
      </w:r>
      <w:r>
        <w:rPr>
          <w:rFonts w:ascii="Times New Roman" w:hAnsi="Times New Roman" w:cs="Times New Roman"/>
          <w:sz w:val="24"/>
          <w:szCs w:val="24"/>
        </w:rPr>
        <w:t xml:space="preserve"> </w:t>
      </w:r>
      <w:r>
        <w:rPr>
          <w:rFonts w:ascii="Times New Roman" w:hAnsi="Times New Roman" w:cs="Times New Roman"/>
          <w:bCs/>
          <w:sz w:val="24"/>
          <w:szCs w:val="24"/>
        </w:rPr>
        <w:t>млн кВт*ч, что в сравнении с показателями 2023 года (56</w:t>
      </w:r>
      <w:r>
        <w:rPr>
          <w:rFonts w:ascii="Times New Roman" w:hAnsi="Times New Roman" w:cs="Times New Roman"/>
          <w:bCs/>
          <w:sz w:val="24"/>
          <w:szCs w:val="24"/>
          <w:lang w:val="en-US"/>
        </w:rPr>
        <w:t> </w:t>
      </w:r>
      <w:r>
        <w:rPr>
          <w:rFonts w:ascii="Times New Roman" w:hAnsi="Times New Roman" w:cs="Times New Roman"/>
          <w:bCs/>
          <w:sz w:val="24"/>
          <w:szCs w:val="24"/>
        </w:rPr>
        <w:t>708,37 млн кВт*ч) на 2 333,32 млн кВт*ч или 4,11% больше.</w:t>
      </w:r>
    </w:p>
    <w:p w:rsidR="00D602D4" w:rsidRDefault="000B4C86">
      <w:pPr>
        <w:tabs>
          <w:tab w:val="left" w:pos="1080"/>
          <w:tab w:val="left" w:pos="1320"/>
        </w:tabs>
        <w:spacing w:after="0" w:line="240" w:lineRule="auto"/>
        <w:ind w:firstLine="567"/>
        <w:jc w:val="both"/>
        <w:rPr>
          <w:rFonts w:ascii="Times New Roman" w:hAnsi="Times New Roman" w:cs="Times New Roman"/>
          <w:bCs/>
          <w:sz w:val="24"/>
          <w:szCs w:val="24"/>
        </w:rPr>
      </w:pPr>
      <w:r>
        <w:rPr>
          <w:rFonts w:ascii="Times New Roman" w:hAnsi="Times New Roman" w:cs="Times New Roman"/>
          <w:sz w:val="24"/>
          <w:szCs w:val="24"/>
        </w:rPr>
        <w:t>Основными причинами роста отпуска в сеть стали:</w:t>
      </w:r>
    </w:p>
    <w:p w:rsidR="00D602D4" w:rsidRDefault="000B4C86">
      <w:pPr>
        <w:numPr>
          <w:ilvl w:val="0"/>
          <w:numId w:val="56"/>
        </w:numPr>
        <w:tabs>
          <w:tab w:val="left" w:pos="1080"/>
          <w:tab w:val="left" w:pos="1320"/>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Рост туристического потока в Республику Алтай и Алтайский край, что привело к росту электропотребления по группам «Население и приравненные к ним группы» и «Непромышленные потребители»;</w:t>
      </w:r>
    </w:p>
    <w:p w:rsidR="00D602D4" w:rsidRDefault="000B4C86">
      <w:pPr>
        <w:numPr>
          <w:ilvl w:val="0"/>
          <w:numId w:val="56"/>
        </w:numPr>
        <w:tabs>
          <w:tab w:val="left" w:pos="1080"/>
          <w:tab w:val="left" w:pos="1320"/>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Переход населения на электроотопление из-за роста цен на твердые топлива в Республике Бурятия;</w:t>
      </w:r>
    </w:p>
    <w:p w:rsidR="00D602D4" w:rsidRDefault="000B4C86">
      <w:pPr>
        <w:numPr>
          <w:ilvl w:val="0"/>
          <w:numId w:val="56"/>
        </w:numPr>
        <w:tabs>
          <w:tab w:val="left" w:pos="1080"/>
          <w:tab w:val="left" w:pos="1320"/>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Рост потребления по потребителям, занимающихся майнингом криптовалюты, а именно ООО «Интелион Майн», ООО «Корпорация Лесмаш» в филиале «Хакасэнерго» и по прямому потребителю ООО «АтомЭнергоСбыт Бизнес» в филиале Красноярскэнерго</w:t>
      </w:r>
      <w:r>
        <w:rPr>
          <w:rFonts w:ascii="Times New Roman" w:hAnsi="Times New Roman" w:cs="Times New Roman"/>
          <w:sz w:val="24"/>
          <w:szCs w:val="24"/>
          <w:lang w:val="en-US"/>
        </w:rPr>
        <w:t>;</w:t>
      </w:r>
    </w:p>
    <w:p w:rsidR="00D602D4" w:rsidRDefault="000B4C86">
      <w:pPr>
        <w:numPr>
          <w:ilvl w:val="0"/>
          <w:numId w:val="29"/>
        </w:numPr>
        <w:tabs>
          <w:tab w:val="left" w:pos="1080"/>
          <w:tab w:val="left" w:pos="1320"/>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Снижение среднесуточной температуры на территории присутствия Общества, что привело к росту потребления электроэнергии.</w:t>
      </w:r>
    </w:p>
    <w:p w:rsidR="00D602D4" w:rsidRDefault="000B4C86">
      <w:pPr>
        <w:tabs>
          <w:tab w:val="left" w:pos="1080"/>
          <w:tab w:val="left" w:pos="1320"/>
        </w:tabs>
        <w:spacing w:after="0" w:line="240" w:lineRule="auto"/>
        <w:ind w:left="709"/>
        <w:jc w:val="right"/>
        <w:rPr>
          <w:rFonts w:ascii="Times New Roman" w:hAnsi="Times New Roman" w:cs="Times New Roman"/>
          <w:sz w:val="24"/>
          <w:szCs w:val="24"/>
        </w:rPr>
      </w:pPr>
      <w:r>
        <w:rPr>
          <w:rFonts w:ascii="Times New Roman" w:hAnsi="Times New Roman" w:cs="Times New Roman"/>
          <w:sz w:val="24"/>
          <w:szCs w:val="24"/>
        </w:rPr>
        <w:t>Таблица 15</w:t>
      </w:r>
    </w:p>
    <w:p w:rsidR="00D602D4" w:rsidRDefault="000B4C86">
      <w:pPr>
        <w:pStyle w:val="23"/>
        <w:keepNext w:val="0"/>
        <w:widowControl w:val="0"/>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Фактические потери электрической энергии в 2023-2024 годах</w:t>
      </w:r>
    </w:p>
    <w:tbl>
      <w:tblPr>
        <w:tblW w:w="5043" w:type="pct"/>
        <w:tblInd w:w="-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92"/>
        <w:gridCol w:w="1181"/>
        <w:gridCol w:w="1079"/>
        <w:gridCol w:w="1131"/>
        <w:gridCol w:w="1230"/>
        <w:gridCol w:w="1032"/>
        <w:gridCol w:w="1065"/>
        <w:gridCol w:w="1071"/>
      </w:tblGrid>
      <w:tr w:rsidR="00D602D4">
        <w:trPr>
          <w:trHeight w:val="284"/>
        </w:trPr>
        <w:tc>
          <w:tcPr>
            <w:tcW w:w="2092" w:type="dxa"/>
            <w:vMerge w:val="restart"/>
            <w:shd w:val="clear" w:color="FFFFFF" w:fill="FFFFFF"/>
            <w:vAlign w:val="center"/>
          </w:tcPr>
          <w:p w:rsidR="00D602D4" w:rsidRDefault="000B4C86">
            <w:pPr>
              <w:tabs>
                <w:tab w:val="left" w:pos="9356"/>
              </w:tabs>
              <w:spacing w:after="0" w:line="240" w:lineRule="auto"/>
              <w:rPr>
                <w:rFonts w:ascii="Times New Roman" w:hAnsi="Times New Roman" w:cs="Times New Roman"/>
                <w:b/>
                <w:sz w:val="24"/>
                <w:szCs w:val="24"/>
              </w:rPr>
            </w:pPr>
            <w:r>
              <w:rPr>
                <w:rFonts w:ascii="Times New Roman" w:eastAsia="Times New Roman" w:hAnsi="Times New Roman" w:cs="Times New Roman"/>
                <w:b/>
                <w:sz w:val="20"/>
                <w:szCs w:val="20"/>
              </w:rPr>
              <w:t>Наименование филиала ДЗО</w:t>
            </w:r>
          </w:p>
        </w:tc>
        <w:tc>
          <w:tcPr>
            <w:tcW w:w="3863" w:type="pct"/>
            <w:gridSpan w:val="7"/>
            <w:vAlign w:val="center"/>
          </w:tcPr>
          <w:p w:rsidR="00D602D4" w:rsidRDefault="000B4C86">
            <w:pPr>
              <w:tabs>
                <w:tab w:val="left" w:pos="9356"/>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0"/>
                <w:szCs w:val="20"/>
              </w:rPr>
              <w:t>Потери электрической энергии</w:t>
            </w:r>
          </w:p>
        </w:tc>
      </w:tr>
      <w:tr w:rsidR="00D602D4">
        <w:trPr>
          <w:trHeight w:val="284"/>
        </w:trPr>
        <w:tc>
          <w:tcPr>
            <w:tcW w:w="2092" w:type="dxa"/>
            <w:vMerge/>
            <w:vAlign w:val="center"/>
          </w:tcPr>
          <w:p w:rsidR="00D602D4" w:rsidRDefault="00D602D4">
            <w:pPr>
              <w:tabs>
                <w:tab w:val="left" w:pos="9356"/>
              </w:tabs>
              <w:spacing w:after="0" w:line="240" w:lineRule="auto"/>
              <w:rPr>
                <w:rFonts w:ascii="Times New Roman" w:eastAsia="Times New Roman" w:hAnsi="Times New Roman" w:cs="Times New Roman"/>
                <w:b/>
                <w:sz w:val="24"/>
                <w:szCs w:val="24"/>
              </w:rPr>
            </w:pPr>
          </w:p>
        </w:tc>
        <w:tc>
          <w:tcPr>
            <w:tcW w:w="1682" w:type="pct"/>
            <w:gridSpan w:val="3"/>
            <w:shd w:val="clear" w:color="FFFFFF" w:fill="FFFFFF"/>
            <w:vAlign w:val="center"/>
          </w:tcPr>
          <w:p w:rsidR="00D602D4" w:rsidRDefault="000B4C86">
            <w:pPr>
              <w:tabs>
                <w:tab w:val="left" w:pos="9356"/>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0"/>
                <w:szCs w:val="20"/>
              </w:rPr>
              <w:t>Факт 2023 год</w:t>
            </w:r>
          </w:p>
        </w:tc>
        <w:tc>
          <w:tcPr>
            <w:tcW w:w="1122" w:type="pct"/>
            <w:gridSpan w:val="2"/>
            <w:shd w:val="clear" w:color="FFFFFF" w:fill="FFFFFF"/>
            <w:vAlign w:val="center"/>
          </w:tcPr>
          <w:p w:rsidR="00D602D4" w:rsidRDefault="000B4C86">
            <w:pPr>
              <w:tabs>
                <w:tab w:val="left" w:pos="9356"/>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0"/>
                <w:szCs w:val="20"/>
              </w:rPr>
              <w:t>Факт 2024 год</w:t>
            </w:r>
          </w:p>
        </w:tc>
        <w:tc>
          <w:tcPr>
            <w:tcW w:w="1059" w:type="pct"/>
            <w:gridSpan w:val="2"/>
            <w:shd w:val="clear" w:color="FFFFFF" w:fill="FFFFFF"/>
            <w:vAlign w:val="center"/>
          </w:tcPr>
          <w:p w:rsidR="00D602D4" w:rsidRDefault="000B4C86">
            <w:pPr>
              <w:tabs>
                <w:tab w:val="left" w:pos="9356"/>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0"/>
                <w:szCs w:val="20"/>
              </w:rPr>
              <w:t>Изменение</w:t>
            </w:r>
          </w:p>
        </w:tc>
      </w:tr>
      <w:tr w:rsidR="00D602D4">
        <w:trPr>
          <w:trHeight w:val="284"/>
        </w:trPr>
        <w:tc>
          <w:tcPr>
            <w:tcW w:w="2092" w:type="dxa"/>
            <w:vMerge/>
            <w:shd w:val="clear" w:color="FFFFFF" w:fill="FFFFFF"/>
            <w:vAlign w:val="center"/>
          </w:tcPr>
          <w:p w:rsidR="00D602D4" w:rsidRDefault="00D602D4">
            <w:pPr>
              <w:tabs>
                <w:tab w:val="left" w:pos="9356"/>
              </w:tabs>
              <w:spacing w:after="0" w:line="240" w:lineRule="auto"/>
              <w:rPr>
                <w:rFonts w:ascii="Times New Roman" w:eastAsia="Times New Roman" w:hAnsi="Times New Roman" w:cs="Times New Roman"/>
                <w:b/>
                <w:sz w:val="24"/>
                <w:szCs w:val="24"/>
              </w:rPr>
            </w:pPr>
          </w:p>
        </w:tc>
        <w:tc>
          <w:tcPr>
            <w:tcW w:w="586" w:type="pct"/>
            <w:shd w:val="clear" w:color="FFFFFF" w:fill="FFFFFF"/>
            <w:vAlign w:val="center"/>
          </w:tcPr>
          <w:p w:rsidR="00D602D4" w:rsidRDefault="000B4C86">
            <w:pPr>
              <w:tabs>
                <w:tab w:val="left" w:pos="9356"/>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0"/>
                <w:szCs w:val="20"/>
              </w:rPr>
              <w:t xml:space="preserve">млн кВт*ч </w:t>
            </w:r>
          </w:p>
        </w:tc>
        <w:tc>
          <w:tcPr>
            <w:tcW w:w="535" w:type="pct"/>
            <w:vAlign w:val="center"/>
          </w:tcPr>
          <w:p w:rsidR="00D602D4" w:rsidRDefault="000B4C86">
            <w:pPr>
              <w:tabs>
                <w:tab w:val="left" w:pos="9356"/>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0"/>
                <w:szCs w:val="20"/>
              </w:rPr>
              <w:t>%</w:t>
            </w:r>
          </w:p>
        </w:tc>
        <w:tc>
          <w:tcPr>
            <w:tcW w:w="561" w:type="pct"/>
            <w:shd w:val="clear" w:color="FFFFFF" w:fill="FFFFFF"/>
            <w:vAlign w:val="center"/>
          </w:tcPr>
          <w:p w:rsidR="00D602D4" w:rsidRDefault="000B4C86">
            <w:pPr>
              <w:tabs>
                <w:tab w:val="left" w:pos="9356"/>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0"/>
                <w:szCs w:val="20"/>
              </w:rPr>
              <w:t>% в сопоставимых условиях</w:t>
            </w:r>
            <w:r>
              <w:rPr>
                <w:rFonts w:ascii="Times New Roman" w:eastAsia="Times New Roman" w:hAnsi="Times New Roman" w:cs="Times New Roman"/>
                <w:b/>
                <w:sz w:val="20"/>
                <w:szCs w:val="20"/>
                <w:lang w:val="en-US"/>
              </w:rPr>
              <w:t xml:space="preserve"> </w:t>
            </w:r>
            <w:r>
              <w:rPr>
                <w:rFonts w:ascii="Times New Roman" w:eastAsia="Times New Roman" w:hAnsi="Times New Roman" w:cs="Times New Roman"/>
                <w:b/>
                <w:sz w:val="20"/>
                <w:szCs w:val="20"/>
              </w:rPr>
              <w:t>к 2024</w:t>
            </w:r>
          </w:p>
        </w:tc>
        <w:tc>
          <w:tcPr>
            <w:tcW w:w="610" w:type="pct"/>
            <w:shd w:val="clear" w:color="FFFFFF" w:fill="FFFFFF"/>
            <w:vAlign w:val="center"/>
          </w:tcPr>
          <w:p w:rsidR="00D602D4" w:rsidRDefault="000B4C86">
            <w:pPr>
              <w:tabs>
                <w:tab w:val="left" w:pos="9356"/>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0"/>
                <w:szCs w:val="20"/>
              </w:rPr>
              <w:t xml:space="preserve">млн кВт*ч </w:t>
            </w:r>
          </w:p>
        </w:tc>
        <w:tc>
          <w:tcPr>
            <w:tcW w:w="512" w:type="pct"/>
            <w:shd w:val="clear" w:color="FFFFFF" w:fill="FFFFFF"/>
            <w:vAlign w:val="center"/>
          </w:tcPr>
          <w:p w:rsidR="00D602D4" w:rsidRDefault="000B4C86">
            <w:pPr>
              <w:tabs>
                <w:tab w:val="left" w:pos="9356"/>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0"/>
                <w:szCs w:val="20"/>
              </w:rPr>
              <w:t>%</w:t>
            </w:r>
          </w:p>
        </w:tc>
        <w:tc>
          <w:tcPr>
            <w:tcW w:w="528" w:type="pct"/>
            <w:shd w:val="clear" w:color="FFFFFF" w:fill="FFFFFF"/>
            <w:vAlign w:val="center"/>
          </w:tcPr>
          <w:p w:rsidR="00D602D4" w:rsidRDefault="000B4C86">
            <w:pPr>
              <w:tabs>
                <w:tab w:val="left" w:pos="9356"/>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0"/>
                <w:szCs w:val="20"/>
              </w:rPr>
              <w:t xml:space="preserve">млн кВт*ч </w:t>
            </w:r>
          </w:p>
        </w:tc>
        <w:tc>
          <w:tcPr>
            <w:tcW w:w="531" w:type="pct"/>
            <w:shd w:val="clear" w:color="FFFFFF" w:fill="FFFFFF"/>
            <w:vAlign w:val="center"/>
          </w:tcPr>
          <w:p w:rsidR="00D602D4" w:rsidRDefault="000B4C86">
            <w:pPr>
              <w:tabs>
                <w:tab w:val="left" w:pos="9356"/>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0"/>
                <w:szCs w:val="20"/>
              </w:rPr>
              <w:t>проц. пункты</w:t>
            </w:r>
          </w:p>
        </w:tc>
      </w:tr>
      <w:tr w:rsidR="00D602D4">
        <w:trPr>
          <w:trHeight w:val="284"/>
        </w:trPr>
        <w:tc>
          <w:tcPr>
            <w:tcW w:w="2092" w:type="dxa"/>
            <w:shd w:val="clear" w:color="FFFFFF" w:fill="FFFFFF"/>
            <w:vAlign w:val="center"/>
          </w:tcPr>
          <w:p w:rsidR="00D602D4" w:rsidRDefault="000B4C86">
            <w:pPr>
              <w:widowControl w:val="0"/>
              <w:spacing w:after="0" w:line="240" w:lineRule="auto"/>
              <w:jc w:val="both"/>
              <w:rPr>
                <w:rFonts w:ascii="Times New Roman" w:hAnsi="Times New Roman" w:cs="Times New Roman"/>
                <w:sz w:val="24"/>
                <w:szCs w:val="24"/>
              </w:rPr>
            </w:pPr>
            <w:r>
              <w:rPr>
                <w:rFonts w:ascii="Times New Roman" w:eastAsia="Times New Roman" w:hAnsi="Times New Roman" w:cs="Times New Roman"/>
                <w:sz w:val="20"/>
                <w:szCs w:val="20"/>
              </w:rPr>
              <w:t>Алтайэнерго</w:t>
            </w:r>
          </w:p>
        </w:tc>
        <w:tc>
          <w:tcPr>
            <w:tcW w:w="586" w:type="pct"/>
            <w:shd w:val="clear" w:color="FFFFFF"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503,04   </w:t>
            </w:r>
          </w:p>
        </w:tc>
        <w:tc>
          <w:tcPr>
            <w:tcW w:w="535" w:type="pct"/>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6,42%</w:t>
            </w:r>
          </w:p>
        </w:tc>
        <w:tc>
          <w:tcPr>
            <w:tcW w:w="56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6,55%</w:t>
            </w:r>
          </w:p>
        </w:tc>
        <w:tc>
          <w:tcPr>
            <w:tcW w:w="610"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521,98   </w:t>
            </w:r>
          </w:p>
        </w:tc>
        <w:tc>
          <w:tcPr>
            <w:tcW w:w="512"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6,38%</w:t>
            </w:r>
          </w:p>
        </w:tc>
        <w:tc>
          <w:tcPr>
            <w:tcW w:w="528"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lang w:val="en-US"/>
              </w:rPr>
              <w:t>-</w:t>
            </w:r>
            <w:r>
              <w:rPr>
                <w:rFonts w:ascii="Times New Roman" w:eastAsia="Times New Roman" w:hAnsi="Times New Roman" w:cs="Times New Roman"/>
                <w:color w:val="000000"/>
                <w:sz w:val="20"/>
                <w:szCs w:val="20"/>
              </w:rPr>
              <w:t xml:space="preserve">13,82   </w:t>
            </w:r>
          </w:p>
        </w:tc>
        <w:tc>
          <w:tcPr>
            <w:tcW w:w="53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-0,17%</w:t>
            </w:r>
          </w:p>
        </w:tc>
      </w:tr>
      <w:tr w:rsidR="00D602D4">
        <w:trPr>
          <w:trHeight w:val="284"/>
        </w:trPr>
        <w:tc>
          <w:tcPr>
            <w:tcW w:w="2092" w:type="dxa"/>
            <w:shd w:val="clear" w:color="FFFFFF" w:fill="FFFFFF"/>
            <w:vAlign w:val="center"/>
          </w:tcPr>
          <w:p w:rsidR="00D602D4" w:rsidRDefault="000B4C86">
            <w:pPr>
              <w:widowControl w:val="0"/>
              <w:spacing w:after="0" w:line="240" w:lineRule="auto"/>
              <w:jc w:val="both"/>
              <w:rPr>
                <w:rFonts w:ascii="Times New Roman" w:hAnsi="Times New Roman" w:cs="Times New Roman"/>
                <w:sz w:val="24"/>
                <w:szCs w:val="24"/>
              </w:rPr>
            </w:pPr>
            <w:r>
              <w:rPr>
                <w:rFonts w:ascii="Times New Roman" w:eastAsia="Times New Roman" w:hAnsi="Times New Roman" w:cs="Times New Roman"/>
                <w:sz w:val="20"/>
                <w:szCs w:val="20"/>
              </w:rPr>
              <w:t>Бурятэнерго</w:t>
            </w:r>
          </w:p>
        </w:tc>
        <w:tc>
          <w:tcPr>
            <w:tcW w:w="586"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577,76   </w:t>
            </w:r>
          </w:p>
        </w:tc>
        <w:tc>
          <w:tcPr>
            <w:tcW w:w="535" w:type="pct"/>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11,57%</w:t>
            </w:r>
          </w:p>
        </w:tc>
        <w:tc>
          <w:tcPr>
            <w:tcW w:w="56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11,93%</w:t>
            </w:r>
          </w:p>
        </w:tc>
        <w:tc>
          <w:tcPr>
            <w:tcW w:w="610"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653,33   </w:t>
            </w:r>
          </w:p>
        </w:tc>
        <w:tc>
          <w:tcPr>
            <w:tcW w:w="512"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12,35%</w:t>
            </w:r>
          </w:p>
        </w:tc>
        <w:tc>
          <w:tcPr>
            <w:tcW w:w="528"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22,36   </w:t>
            </w:r>
          </w:p>
        </w:tc>
        <w:tc>
          <w:tcPr>
            <w:tcW w:w="53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0,42%</w:t>
            </w:r>
          </w:p>
        </w:tc>
      </w:tr>
      <w:tr w:rsidR="00D602D4">
        <w:trPr>
          <w:trHeight w:val="284"/>
        </w:trPr>
        <w:tc>
          <w:tcPr>
            <w:tcW w:w="2092" w:type="dxa"/>
            <w:shd w:val="clear" w:color="FFFFFF" w:fill="FFFFFF"/>
            <w:vAlign w:val="center"/>
          </w:tcPr>
          <w:p w:rsidR="00D602D4" w:rsidRDefault="000B4C86">
            <w:pPr>
              <w:widowControl w:val="0"/>
              <w:spacing w:after="0" w:line="240" w:lineRule="auto"/>
              <w:jc w:val="both"/>
              <w:rPr>
                <w:rFonts w:ascii="Times New Roman" w:hAnsi="Times New Roman" w:cs="Times New Roman"/>
                <w:sz w:val="24"/>
                <w:szCs w:val="24"/>
              </w:rPr>
            </w:pPr>
            <w:r>
              <w:rPr>
                <w:rFonts w:ascii="Times New Roman" w:eastAsia="Times New Roman" w:hAnsi="Times New Roman" w:cs="Times New Roman"/>
                <w:sz w:val="20"/>
                <w:szCs w:val="20"/>
              </w:rPr>
              <w:t>ГАЭС</w:t>
            </w:r>
          </w:p>
        </w:tc>
        <w:tc>
          <w:tcPr>
            <w:tcW w:w="586"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94,07   </w:t>
            </w:r>
          </w:p>
        </w:tc>
        <w:tc>
          <w:tcPr>
            <w:tcW w:w="535" w:type="pct"/>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14,05%</w:t>
            </w:r>
          </w:p>
        </w:tc>
        <w:tc>
          <w:tcPr>
            <w:tcW w:w="56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14,05%</w:t>
            </w:r>
          </w:p>
        </w:tc>
        <w:tc>
          <w:tcPr>
            <w:tcW w:w="610"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104,49   </w:t>
            </w:r>
          </w:p>
        </w:tc>
        <w:tc>
          <w:tcPr>
            <w:tcW w:w="512"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14,04%</w:t>
            </w:r>
          </w:p>
        </w:tc>
        <w:tc>
          <w:tcPr>
            <w:tcW w:w="528"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lang w:val="en-US"/>
              </w:rPr>
              <w:t>-</w:t>
            </w:r>
            <w:r>
              <w:rPr>
                <w:rFonts w:ascii="Times New Roman" w:eastAsia="Times New Roman" w:hAnsi="Times New Roman" w:cs="Times New Roman"/>
                <w:color w:val="000000"/>
                <w:sz w:val="20"/>
                <w:szCs w:val="20"/>
              </w:rPr>
              <w:t xml:space="preserve">0,03   </w:t>
            </w:r>
          </w:p>
        </w:tc>
        <w:tc>
          <w:tcPr>
            <w:tcW w:w="53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0,00%</w:t>
            </w:r>
          </w:p>
        </w:tc>
      </w:tr>
      <w:tr w:rsidR="00D602D4">
        <w:trPr>
          <w:trHeight w:val="284"/>
        </w:trPr>
        <w:tc>
          <w:tcPr>
            <w:tcW w:w="2092" w:type="dxa"/>
            <w:shd w:val="clear" w:color="FFFFFF" w:fill="FFFFFF"/>
            <w:vAlign w:val="center"/>
          </w:tcPr>
          <w:p w:rsidR="00D602D4" w:rsidRDefault="000B4C86">
            <w:pPr>
              <w:widowControl w:val="0"/>
              <w:spacing w:after="0" w:line="240" w:lineRule="auto"/>
              <w:jc w:val="both"/>
              <w:rPr>
                <w:rFonts w:ascii="Times New Roman" w:hAnsi="Times New Roman" w:cs="Times New Roman"/>
                <w:sz w:val="24"/>
                <w:szCs w:val="24"/>
              </w:rPr>
            </w:pPr>
            <w:r>
              <w:rPr>
                <w:rFonts w:ascii="Times New Roman" w:eastAsia="Times New Roman" w:hAnsi="Times New Roman" w:cs="Times New Roman"/>
                <w:sz w:val="20"/>
                <w:szCs w:val="20"/>
              </w:rPr>
              <w:t>Красноярскэнерго</w:t>
            </w:r>
          </w:p>
        </w:tc>
        <w:tc>
          <w:tcPr>
            <w:tcW w:w="586"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1 456,00   </w:t>
            </w:r>
          </w:p>
        </w:tc>
        <w:tc>
          <w:tcPr>
            <w:tcW w:w="535" w:type="pct"/>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10,14%</w:t>
            </w:r>
          </w:p>
        </w:tc>
        <w:tc>
          <w:tcPr>
            <w:tcW w:w="56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10,29%</w:t>
            </w:r>
          </w:p>
        </w:tc>
        <w:tc>
          <w:tcPr>
            <w:tcW w:w="610"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1 535,72   </w:t>
            </w:r>
          </w:p>
        </w:tc>
        <w:tc>
          <w:tcPr>
            <w:tcW w:w="512"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10,17%</w:t>
            </w:r>
          </w:p>
        </w:tc>
        <w:tc>
          <w:tcPr>
            <w:tcW w:w="528"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lang w:val="en-US"/>
              </w:rPr>
              <w:t>-</w:t>
            </w:r>
            <w:r>
              <w:rPr>
                <w:rFonts w:ascii="Times New Roman" w:eastAsia="Times New Roman" w:hAnsi="Times New Roman" w:cs="Times New Roman"/>
                <w:color w:val="000000"/>
                <w:sz w:val="20"/>
                <w:szCs w:val="20"/>
              </w:rPr>
              <w:t xml:space="preserve">17,82   </w:t>
            </w:r>
          </w:p>
        </w:tc>
        <w:tc>
          <w:tcPr>
            <w:tcW w:w="53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-0,12%</w:t>
            </w:r>
          </w:p>
        </w:tc>
      </w:tr>
      <w:tr w:rsidR="00D602D4">
        <w:trPr>
          <w:trHeight w:val="284"/>
        </w:trPr>
        <w:tc>
          <w:tcPr>
            <w:tcW w:w="2092" w:type="dxa"/>
            <w:shd w:val="clear" w:color="FFFFFF" w:fill="FFFFFF"/>
            <w:vAlign w:val="center"/>
          </w:tcPr>
          <w:p w:rsidR="00D602D4" w:rsidRDefault="000B4C86">
            <w:pPr>
              <w:widowControl w:val="0"/>
              <w:spacing w:after="0" w:line="240" w:lineRule="auto"/>
              <w:jc w:val="both"/>
              <w:rPr>
                <w:rFonts w:ascii="Times New Roman" w:hAnsi="Times New Roman" w:cs="Times New Roman"/>
                <w:sz w:val="24"/>
                <w:szCs w:val="24"/>
              </w:rPr>
            </w:pPr>
            <w:r>
              <w:rPr>
                <w:rFonts w:ascii="Times New Roman" w:eastAsia="Times New Roman" w:hAnsi="Times New Roman" w:cs="Times New Roman"/>
                <w:sz w:val="20"/>
                <w:szCs w:val="20"/>
              </w:rPr>
              <w:t>Кузбасэнерго-РЭС</w:t>
            </w:r>
          </w:p>
        </w:tc>
        <w:tc>
          <w:tcPr>
            <w:tcW w:w="586"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564,50   </w:t>
            </w:r>
          </w:p>
        </w:tc>
        <w:tc>
          <w:tcPr>
            <w:tcW w:w="535" w:type="pct"/>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3,83%</w:t>
            </w:r>
          </w:p>
        </w:tc>
        <w:tc>
          <w:tcPr>
            <w:tcW w:w="56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3,87%</w:t>
            </w:r>
          </w:p>
        </w:tc>
        <w:tc>
          <w:tcPr>
            <w:tcW w:w="610"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586,02   </w:t>
            </w:r>
          </w:p>
        </w:tc>
        <w:tc>
          <w:tcPr>
            <w:tcW w:w="512"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3,88%</w:t>
            </w:r>
          </w:p>
        </w:tc>
        <w:tc>
          <w:tcPr>
            <w:tcW w:w="528"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1,93   </w:t>
            </w:r>
          </w:p>
        </w:tc>
        <w:tc>
          <w:tcPr>
            <w:tcW w:w="53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0,01%</w:t>
            </w:r>
          </w:p>
        </w:tc>
      </w:tr>
      <w:tr w:rsidR="00D602D4">
        <w:trPr>
          <w:trHeight w:val="284"/>
        </w:trPr>
        <w:tc>
          <w:tcPr>
            <w:tcW w:w="2092" w:type="dxa"/>
            <w:shd w:val="clear" w:color="FFFFFF" w:fill="FFFFFF"/>
            <w:vAlign w:val="center"/>
          </w:tcPr>
          <w:p w:rsidR="00D602D4" w:rsidRDefault="000B4C86">
            <w:pPr>
              <w:widowControl w:val="0"/>
              <w:spacing w:after="0" w:line="240" w:lineRule="auto"/>
              <w:jc w:val="both"/>
              <w:rPr>
                <w:rFonts w:ascii="Times New Roman" w:hAnsi="Times New Roman" w:cs="Times New Roman"/>
                <w:sz w:val="24"/>
                <w:szCs w:val="24"/>
              </w:rPr>
            </w:pPr>
            <w:r>
              <w:rPr>
                <w:rFonts w:ascii="Times New Roman" w:eastAsia="Times New Roman" w:hAnsi="Times New Roman" w:cs="Times New Roman"/>
                <w:sz w:val="20"/>
                <w:szCs w:val="20"/>
              </w:rPr>
              <w:t>Омскэнерго</w:t>
            </w:r>
          </w:p>
        </w:tc>
        <w:tc>
          <w:tcPr>
            <w:tcW w:w="586"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607,66   </w:t>
            </w:r>
          </w:p>
        </w:tc>
        <w:tc>
          <w:tcPr>
            <w:tcW w:w="535" w:type="pct"/>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6,83%</w:t>
            </w:r>
          </w:p>
        </w:tc>
        <w:tc>
          <w:tcPr>
            <w:tcW w:w="56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6,83%</w:t>
            </w:r>
          </w:p>
        </w:tc>
        <w:tc>
          <w:tcPr>
            <w:tcW w:w="610"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625,70   </w:t>
            </w:r>
          </w:p>
        </w:tc>
        <w:tc>
          <w:tcPr>
            <w:tcW w:w="512"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6,77%</w:t>
            </w:r>
          </w:p>
        </w:tc>
        <w:tc>
          <w:tcPr>
            <w:tcW w:w="528"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lang w:val="en-US"/>
              </w:rPr>
              <w:t>-</w:t>
            </w:r>
            <w:r>
              <w:rPr>
                <w:rFonts w:ascii="Times New Roman" w:eastAsia="Times New Roman" w:hAnsi="Times New Roman" w:cs="Times New Roman"/>
                <w:color w:val="000000"/>
                <w:sz w:val="20"/>
                <w:szCs w:val="20"/>
              </w:rPr>
              <w:t xml:space="preserve">5,21   </w:t>
            </w:r>
          </w:p>
        </w:tc>
        <w:tc>
          <w:tcPr>
            <w:tcW w:w="53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-0,06%</w:t>
            </w:r>
          </w:p>
        </w:tc>
      </w:tr>
      <w:tr w:rsidR="00D602D4">
        <w:trPr>
          <w:trHeight w:val="284"/>
        </w:trPr>
        <w:tc>
          <w:tcPr>
            <w:tcW w:w="2092" w:type="dxa"/>
            <w:shd w:val="clear" w:color="FFFFFF" w:fill="FFFFFF"/>
            <w:vAlign w:val="center"/>
          </w:tcPr>
          <w:p w:rsidR="00D602D4" w:rsidRDefault="000B4C86">
            <w:pPr>
              <w:widowControl w:val="0"/>
              <w:spacing w:after="0" w:line="240" w:lineRule="auto"/>
              <w:jc w:val="both"/>
              <w:rPr>
                <w:rFonts w:ascii="Times New Roman" w:hAnsi="Times New Roman" w:cs="Times New Roman"/>
                <w:sz w:val="24"/>
                <w:szCs w:val="24"/>
              </w:rPr>
            </w:pPr>
            <w:r>
              <w:rPr>
                <w:rFonts w:ascii="Times New Roman" w:eastAsia="Times New Roman" w:hAnsi="Times New Roman" w:cs="Times New Roman"/>
                <w:sz w:val="20"/>
                <w:szCs w:val="20"/>
              </w:rPr>
              <w:t>Хакасэнерго</w:t>
            </w:r>
          </w:p>
        </w:tc>
        <w:tc>
          <w:tcPr>
            <w:tcW w:w="586"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250,17   </w:t>
            </w:r>
          </w:p>
        </w:tc>
        <w:tc>
          <w:tcPr>
            <w:tcW w:w="535" w:type="pct"/>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7,72%</w:t>
            </w:r>
          </w:p>
        </w:tc>
        <w:tc>
          <w:tcPr>
            <w:tcW w:w="56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7,72%</w:t>
            </w:r>
          </w:p>
        </w:tc>
        <w:tc>
          <w:tcPr>
            <w:tcW w:w="610"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284,56   </w:t>
            </w:r>
          </w:p>
        </w:tc>
        <w:tc>
          <w:tcPr>
            <w:tcW w:w="512"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7,84%</w:t>
            </w:r>
          </w:p>
        </w:tc>
        <w:tc>
          <w:tcPr>
            <w:tcW w:w="528"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4,34   </w:t>
            </w:r>
          </w:p>
        </w:tc>
        <w:tc>
          <w:tcPr>
            <w:tcW w:w="53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0,12%</w:t>
            </w:r>
          </w:p>
        </w:tc>
      </w:tr>
      <w:tr w:rsidR="00D602D4">
        <w:trPr>
          <w:trHeight w:val="284"/>
        </w:trPr>
        <w:tc>
          <w:tcPr>
            <w:tcW w:w="2092" w:type="dxa"/>
            <w:shd w:val="clear" w:color="FFFFFF" w:fill="FFFFFF"/>
            <w:vAlign w:val="center"/>
          </w:tcPr>
          <w:p w:rsidR="00D602D4" w:rsidRDefault="000B4C86">
            <w:pPr>
              <w:widowControl w:val="0"/>
              <w:spacing w:after="0" w:line="240" w:lineRule="auto"/>
              <w:jc w:val="both"/>
              <w:rPr>
                <w:rFonts w:ascii="Times New Roman" w:hAnsi="Times New Roman" w:cs="Times New Roman"/>
                <w:sz w:val="24"/>
                <w:szCs w:val="24"/>
              </w:rPr>
            </w:pPr>
            <w:r>
              <w:rPr>
                <w:rFonts w:ascii="Times New Roman" w:eastAsia="Times New Roman" w:hAnsi="Times New Roman" w:cs="Times New Roman"/>
                <w:sz w:val="20"/>
                <w:szCs w:val="20"/>
              </w:rPr>
              <w:t>Читаэнерго</w:t>
            </w:r>
          </w:p>
        </w:tc>
        <w:tc>
          <w:tcPr>
            <w:tcW w:w="586"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598,73   </w:t>
            </w:r>
          </w:p>
        </w:tc>
        <w:tc>
          <w:tcPr>
            <w:tcW w:w="535" w:type="pct"/>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9,04%</w:t>
            </w:r>
          </w:p>
        </w:tc>
        <w:tc>
          <w:tcPr>
            <w:tcW w:w="56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9,14%</w:t>
            </w:r>
          </w:p>
        </w:tc>
        <w:tc>
          <w:tcPr>
            <w:tcW w:w="610"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 xml:space="preserve">571,64   </w:t>
            </w:r>
          </w:p>
        </w:tc>
        <w:tc>
          <w:tcPr>
            <w:tcW w:w="512"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8,61%</w:t>
            </w:r>
          </w:p>
        </w:tc>
        <w:tc>
          <w:tcPr>
            <w:tcW w:w="528"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lang w:val="en-US"/>
              </w:rPr>
              <w:t>-</w:t>
            </w:r>
            <w:r>
              <w:rPr>
                <w:rFonts w:ascii="Times New Roman" w:eastAsia="Times New Roman" w:hAnsi="Times New Roman" w:cs="Times New Roman"/>
                <w:color w:val="000000"/>
                <w:sz w:val="20"/>
                <w:szCs w:val="20"/>
              </w:rPr>
              <w:t xml:space="preserve">35,53   </w:t>
            </w:r>
          </w:p>
        </w:tc>
        <w:tc>
          <w:tcPr>
            <w:tcW w:w="531" w:type="pct"/>
            <w:shd w:val="clear" w:color="FFFFFF" w:fill="FFFFFF"/>
            <w:vAlign w:val="center"/>
          </w:tcPr>
          <w:p w:rsidR="00D602D4" w:rsidRDefault="000B4C86">
            <w:pPr>
              <w:spacing w:after="0"/>
              <w:jc w:val="center"/>
              <w:rPr>
                <w:rFonts w:ascii="Times New Roman" w:hAnsi="Times New Roman" w:cs="Times New Roman"/>
                <w:color w:val="000000"/>
              </w:rPr>
            </w:pPr>
            <w:r>
              <w:rPr>
                <w:rFonts w:ascii="Times New Roman" w:eastAsia="Times New Roman" w:hAnsi="Times New Roman" w:cs="Times New Roman"/>
                <w:color w:val="000000"/>
                <w:sz w:val="20"/>
                <w:szCs w:val="20"/>
              </w:rPr>
              <w:t>-0,53%</w:t>
            </w:r>
          </w:p>
        </w:tc>
      </w:tr>
      <w:tr w:rsidR="00D602D4">
        <w:trPr>
          <w:trHeight w:val="284"/>
        </w:trPr>
        <w:tc>
          <w:tcPr>
            <w:tcW w:w="2092" w:type="dxa"/>
            <w:shd w:val="clear" w:color="FFFFFF" w:fill="FFFFFF"/>
            <w:vAlign w:val="center"/>
          </w:tcPr>
          <w:p w:rsidR="00D602D4" w:rsidRDefault="000B4C86">
            <w:pPr>
              <w:tabs>
                <w:tab w:val="left" w:pos="9356"/>
              </w:tabs>
              <w:spacing w:after="0" w:line="240" w:lineRule="auto"/>
              <w:rPr>
                <w:rFonts w:ascii="Times New Roman" w:hAnsi="Times New Roman" w:cs="Times New Roman"/>
                <w:b/>
                <w:sz w:val="24"/>
                <w:szCs w:val="24"/>
              </w:rPr>
            </w:pPr>
            <w:r>
              <w:rPr>
                <w:rFonts w:ascii="Times New Roman" w:eastAsia="Times New Roman" w:hAnsi="Times New Roman" w:cs="Times New Roman"/>
                <w:b/>
                <w:sz w:val="20"/>
                <w:szCs w:val="20"/>
              </w:rPr>
              <w:t>ПАО «Россети Сибирь»</w:t>
            </w:r>
          </w:p>
        </w:tc>
        <w:tc>
          <w:tcPr>
            <w:tcW w:w="586" w:type="pct"/>
            <w:shd w:val="clear" w:color="FFFFFF" w:fill="FFFFFF"/>
            <w:vAlign w:val="center"/>
          </w:tcPr>
          <w:p w:rsidR="00D602D4" w:rsidRDefault="000B4C86">
            <w:pPr>
              <w:spacing w:after="0"/>
              <w:jc w:val="center"/>
              <w:rPr>
                <w:rFonts w:ascii="Times New Roman" w:hAnsi="Times New Roman" w:cs="Times New Roman"/>
                <w:b/>
                <w:bCs/>
                <w:color w:val="000000"/>
              </w:rPr>
            </w:pPr>
            <w:r>
              <w:rPr>
                <w:rFonts w:ascii="Times New Roman" w:eastAsia="Times New Roman" w:hAnsi="Times New Roman" w:cs="Times New Roman"/>
                <w:b/>
                <w:bCs/>
                <w:color w:val="000000"/>
                <w:sz w:val="20"/>
                <w:szCs w:val="20"/>
              </w:rPr>
              <w:t xml:space="preserve">4 651,91   </w:t>
            </w:r>
          </w:p>
        </w:tc>
        <w:tc>
          <w:tcPr>
            <w:tcW w:w="535" w:type="pct"/>
            <w:vAlign w:val="center"/>
          </w:tcPr>
          <w:p w:rsidR="00D602D4" w:rsidRDefault="000B4C86">
            <w:pPr>
              <w:spacing w:after="0"/>
              <w:jc w:val="center"/>
              <w:rPr>
                <w:rFonts w:ascii="Times New Roman" w:hAnsi="Times New Roman" w:cs="Times New Roman"/>
                <w:b/>
                <w:bCs/>
                <w:color w:val="000000"/>
              </w:rPr>
            </w:pPr>
            <w:r>
              <w:rPr>
                <w:rFonts w:ascii="Times New Roman" w:eastAsia="Times New Roman" w:hAnsi="Times New Roman" w:cs="Times New Roman"/>
                <w:b/>
                <w:bCs/>
                <w:color w:val="000000"/>
                <w:sz w:val="20"/>
                <w:szCs w:val="20"/>
              </w:rPr>
              <w:t>7,58%</w:t>
            </w:r>
          </w:p>
        </w:tc>
        <w:tc>
          <w:tcPr>
            <w:tcW w:w="561" w:type="pct"/>
            <w:shd w:val="clear" w:color="FFFFFF" w:fill="FFFFFF"/>
            <w:vAlign w:val="center"/>
          </w:tcPr>
          <w:p w:rsidR="00D602D4" w:rsidRDefault="000B4C86">
            <w:pPr>
              <w:spacing w:after="0"/>
              <w:jc w:val="center"/>
              <w:rPr>
                <w:rFonts w:ascii="Times New Roman" w:hAnsi="Times New Roman" w:cs="Times New Roman"/>
                <w:b/>
                <w:bCs/>
                <w:color w:val="000000"/>
              </w:rPr>
            </w:pPr>
            <w:r>
              <w:rPr>
                <w:rFonts w:ascii="Times New Roman" w:eastAsia="Times New Roman" w:hAnsi="Times New Roman" w:cs="Times New Roman"/>
                <w:b/>
                <w:bCs/>
                <w:color w:val="000000"/>
                <w:sz w:val="20"/>
                <w:szCs w:val="20"/>
              </w:rPr>
              <w:t>7,68%</w:t>
            </w:r>
          </w:p>
        </w:tc>
        <w:tc>
          <w:tcPr>
            <w:tcW w:w="610" w:type="pct"/>
            <w:shd w:val="clear" w:color="FFFFFF" w:fill="FFFFFF"/>
            <w:vAlign w:val="center"/>
          </w:tcPr>
          <w:p w:rsidR="00D602D4" w:rsidRDefault="000B4C86">
            <w:pPr>
              <w:spacing w:after="0"/>
              <w:jc w:val="center"/>
              <w:rPr>
                <w:rFonts w:ascii="Times New Roman" w:hAnsi="Times New Roman" w:cs="Times New Roman"/>
                <w:b/>
                <w:bCs/>
                <w:color w:val="000000"/>
              </w:rPr>
            </w:pPr>
            <w:r>
              <w:rPr>
                <w:rFonts w:ascii="Times New Roman" w:eastAsia="Times New Roman" w:hAnsi="Times New Roman" w:cs="Times New Roman"/>
                <w:b/>
                <w:bCs/>
                <w:color w:val="000000"/>
                <w:sz w:val="20"/>
                <w:szCs w:val="20"/>
              </w:rPr>
              <w:t xml:space="preserve">4 883,43   </w:t>
            </w:r>
          </w:p>
        </w:tc>
        <w:tc>
          <w:tcPr>
            <w:tcW w:w="512" w:type="pct"/>
            <w:shd w:val="clear" w:color="FFFFFF" w:fill="FFFFFF"/>
            <w:vAlign w:val="center"/>
          </w:tcPr>
          <w:p w:rsidR="00D602D4" w:rsidRDefault="000B4C86">
            <w:pPr>
              <w:spacing w:after="0"/>
              <w:jc w:val="center"/>
              <w:rPr>
                <w:rFonts w:ascii="Times New Roman" w:hAnsi="Times New Roman" w:cs="Times New Roman"/>
                <w:b/>
                <w:bCs/>
                <w:color w:val="000000"/>
              </w:rPr>
            </w:pPr>
            <w:r>
              <w:rPr>
                <w:rFonts w:ascii="Times New Roman" w:eastAsia="Times New Roman" w:hAnsi="Times New Roman" w:cs="Times New Roman"/>
                <w:b/>
                <w:bCs/>
                <w:color w:val="000000"/>
                <w:sz w:val="20"/>
                <w:szCs w:val="20"/>
              </w:rPr>
              <w:t>7,64%</w:t>
            </w:r>
          </w:p>
        </w:tc>
        <w:tc>
          <w:tcPr>
            <w:tcW w:w="528" w:type="pct"/>
            <w:shd w:val="clear" w:color="FFFFFF" w:fill="FFFFFF"/>
            <w:vAlign w:val="center"/>
          </w:tcPr>
          <w:p w:rsidR="00D602D4" w:rsidRDefault="000B4C86">
            <w:pPr>
              <w:spacing w:after="0"/>
              <w:jc w:val="center"/>
              <w:rPr>
                <w:rFonts w:ascii="Times New Roman" w:hAnsi="Times New Roman" w:cs="Times New Roman"/>
                <w:b/>
                <w:bCs/>
                <w:color w:val="000000"/>
              </w:rPr>
            </w:pPr>
            <w:r>
              <w:rPr>
                <w:rFonts w:ascii="Times New Roman" w:eastAsia="Times New Roman" w:hAnsi="Times New Roman" w:cs="Times New Roman"/>
                <w:b/>
                <w:bCs/>
                <w:color w:val="000000"/>
                <w:sz w:val="20"/>
                <w:szCs w:val="20"/>
                <w:lang w:val="en-US"/>
              </w:rPr>
              <w:t>-</w:t>
            </w:r>
            <w:r>
              <w:rPr>
                <w:rFonts w:ascii="Times New Roman" w:eastAsia="Times New Roman" w:hAnsi="Times New Roman" w:cs="Times New Roman"/>
                <w:b/>
                <w:bCs/>
                <w:color w:val="000000"/>
                <w:sz w:val="20"/>
                <w:szCs w:val="20"/>
              </w:rPr>
              <w:t xml:space="preserve">43,79   </w:t>
            </w:r>
          </w:p>
        </w:tc>
        <w:tc>
          <w:tcPr>
            <w:tcW w:w="531" w:type="pct"/>
            <w:shd w:val="clear" w:color="FFFFFF" w:fill="FFFFFF"/>
            <w:vAlign w:val="center"/>
          </w:tcPr>
          <w:p w:rsidR="00D602D4" w:rsidRDefault="000B4C86">
            <w:pPr>
              <w:spacing w:after="0"/>
              <w:jc w:val="center"/>
              <w:rPr>
                <w:rFonts w:ascii="Times New Roman" w:hAnsi="Times New Roman" w:cs="Times New Roman"/>
                <w:b/>
                <w:bCs/>
                <w:color w:val="000000"/>
              </w:rPr>
            </w:pPr>
            <w:r>
              <w:rPr>
                <w:rFonts w:ascii="Times New Roman" w:eastAsia="Times New Roman" w:hAnsi="Times New Roman" w:cs="Times New Roman"/>
                <w:b/>
                <w:bCs/>
                <w:color w:val="000000"/>
                <w:sz w:val="20"/>
                <w:szCs w:val="20"/>
              </w:rPr>
              <w:t>-0,04%</w:t>
            </w:r>
          </w:p>
        </w:tc>
      </w:tr>
    </w:tbl>
    <w:p w:rsidR="00D602D4" w:rsidRDefault="000B4C86">
      <w:pPr>
        <w:widowControl w:val="0"/>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Фактические потери электрической энергии в электрических сетях ПАО «Россети Сибирь» по итогам 2024 года составили 4</w:t>
      </w:r>
      <w:r>
        <w:rPr>
          <w:rFonts w:ascii="Times New Roman" w:hAnsi="Times New Roman" w:cs="Times New Roman"/>
          <w:bCs/>
          <w:sz w:val="24"/>
          <w:szCs w:val="24"/>
          <w:lang w:val="en-US"/>
        </w:rPr>
        <w:t> </w:t>
      </w:r>
      <w:r>
        <w:rPr>
          <w:rFonts w:ascii="Times New Roman" w:hAnsi="Times New Roman" w:cs="Times New Roman"/>
          <w:bCs/>
          <w:sz w:val="24"/>
          <w:szCs w:val="24"/>
        </w:rPr>
        <w:t xml:space="preserve">883,43 млн кВт*ч или 7,64% от отпуска в сеть, </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снижение от бизнес-плана на 0,02% (15,8 млн кВтч), </w:t>
      </w:r>
    </w:p>
    <w:p w:rsidR="00D602D4" w:rsidRDefault="000B4C86">
      <w:pPr>
        <w:widowControl w:val="0"/>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 снижение от 2023 года в сопоставимых условиях на 0,04% (43,8 млн кВт*ч). </w:t>
      </w:r>
    </w:p>
    <w:p w:rsidR="00D602D4" w:rsidRDefault="000B4C86">
      <w:pPr>
        <w:widowControl w:val="0"/>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16</w:t>
      </w:r>
    </w:p>
    <w:p w:rsidR="00D602D4" w:rsidRDefault="000B4C86">
      <w:pPr>
        <w:widowControl w:val="0"/>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Факторы, повлиявшие на сопоставимость показателей баланса электрической энергии в 2024 году в сравнении с условиями 2023 года, млн кВт▪ч</w:t>
      </w:r>
    </w:p>
    <w:tbl>
      <w:tblPr>
        <w:tblW w:w="0" w:type="auto"/>
        <w:tblInd w:w="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1"/>
        <w:gridCol w:w="4179"/>
        <w:gridCol w:w="2108"/>
        <w:gridCol w:w="1399"/>
      </w:tblGrid>
      <w:tr w:rsidR="00D602D4">
        <w:tc>
          <w:tcPr>
            <w:tcW w:w="1951" w:type="dxa"/>
            <w:vMerge w:val="restart"/>
            <w:vAlign w:val="center"/>
          </w:tcPr>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Наименование филиала</w:t>
            </w:r>
          </w:p>
        </w:tc>
        <w:tc>
          <w:tcPr>
            <w:tcW w:w="7686" w:type="dxa"/>
            <w:gridSpan w:val="3"/>
            <w:vAlign w:val="center"/>
          </w:tcPr>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Исключение объемов</w:t>
            </w:r>
          </w:p>
        </w:tc>
      </w:tr>
      <w:tr w:rsidR="00D602D4">
        <w:tc>
          <w:tcPr>
            <w:tcW w:w="1951" w:type="dxa"/>
            <w:vMerge/>
            <w:vAlign w:val="center"/>
          </w:tcPr>
          <w:p w:rsidR="00D602D4" w:rsidRDefault="00D602D4">
            <w:pPr>
              <w:widowControl w:val="0"/>
              <w:jc w:val="center"/>
              <w:rPr>
                <w:rFonts w:ascii="Times New Roman" w:hAnsi="Times New Roman" w:cs="Times New Roman"/>
                <w:b/>
                <w:sz w:val="24"/>
                <w:szCs w:val="24"/>
              </w:rPr>
            </w:pPr>
          </w:p>
        </w:tc>
        <w:tc>
          <w:tcPr>
            <w:tcW w:w="4179" w:type="dxa"/>
            <w:vAlign w:val="center"/>
          </w:tcPr>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Причины изменения объемов</w:t>
            </w:r>
          </w:p>
        </w:tc>
        <w:tc>
          <w:tcPr>
            <w:tcW w:w="2108" w:type="dxa"/>
            <w:vAlign w:val="center"/>
          </w:tcPr>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Показатель</w:t>
            </w:r>
          </w:p>
        </w:tc>
        <w:tc>
          <w:tcPr>
            <w:tcW w:w="1399" w:type="dxa"/>
            <w:vAlign w:val="center"/>
          </w:tcPr>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2023</w:t>
            </w:r>
          </w:p>
        </w:tc>
      </w:tr>
      <w:tr w:rsidR="00D602D4">
        <w:tc>
          <w:tcPr>
            <w:tcW w:w="1951"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color w:val="000000"/>
              </w:rPr>
              <w:t>Алтайэнерго</w:t>
            </w:r>
          </w:p>
        </w:tc>
        <w:tc>
          <w:tcPr>
            <w:tcW w:w="4179" w:type="dxa"/>
            <w:vAlign w:val="center"/>
          </w:tcPr>
          <w:p w:rsidR="00D602D4" w:rsidRDefault="000B4C86">
            <w:pPr>
              <w:spacing w:after="0" w:line="240" w:lineRule="auto"/>
              <w:rPr>
                <w:rFonts w:ascii="Times New Roman" w:hAnsi="Times New Roman" w:cs="Times New Roman"/>
                <w:color w:val="000000"/>
              </w:rPr>
            </w:pPr>
            <w:r>
              <w:rPr>
                <w:rFonts w:ascii="Times New Roman" w:hAnsi="Times New Roman" w:cs="Times New Roman"/>
                <w:color w:val="000000"/>
              </w:rPr>
              <w:t>Изменение режимов</w:t>
            </w:r>
          </w:p>
        </w:tc>
        <w:tc>
          <w:tcPr>
            <w:tcW w:w="2108" w:type="dxa"/>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Потери</w:t>
            </w:r>
          </w:p>
        </w:tc>
        <w:tc>
          <w:tcPr>
            <w:tcW w:w="1399"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10,2</w:t>
            </w:r>
          </w:p>
        </w:tc>
      </w:tr>
      <w:tr w:rsidR="00D602D4">
        <w:tc>
          <w:tcPr>
            <w:tcW w:w="1951" w:type="dxa"/>
            <w:vMerge w:val="restart"/>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Бурятэнерго</w:t>
            </w:r>
          </w:p>
        </w:tc>
        <w:tc>
          <w:tcPr>
            <w:tcW w:w="4179" w:type="dxa"/>
            <w:vAlign w:val="center"/>
          </w:tcPr>
          <w:p w:rsidR="00D602D4" w:rsidRDefault="000B4C86">
            <w:pPr>
              <w:spacing w:after="0" w:line="240" w:lineRule="auto"/>
              <w:rPr>
                <w:rFonts w:ascii="Times New Roman" w:hAnsi="Times New Roman" w:cs="Times New Roman"/>
              </w:rPr>
            </w:pPr>
            <w:r>
              <w:rPr>
                <w:rFonts w:ascii="Times New Roman" w:hAnsi="Times New Roman" w:cs="Times New Roman"/>
                <w:color w:val="000000"/>
              </w:rPr>
              <w:t>Покупка сетей ОАО «Улан-Удэ Энерго»</w:t>
            </w:r>
          </w:p>
        </w:tc>
        <w:tc>
          <w:tcPr>
            <w:tcW w:w="2108" w:type="dxa"/>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Потери</w:t>
            </w:r>
          </w:p>
        </w:tc>
        <w:tc>
          <w:tcPr>
            <w:tcW w:w="1399"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2,9</w:t>
            </w:r>
          </w:p>
        </w:tc>
      </w:tr>
      <w:tr w:rsidR="00D602D4">
        <w:tc>
          <w:tcPr>
            <w:tcW w:w="1951" w:type="dxa"/>
            <w:vMerge/>
            <w:vAlign w:val="center"/>
          </w:tcPr>
          <w:p w:rsidR="00D602D4" w:rsidRDefault="00D602D4">
            <w:pPr>
              <w:jc w:val="center"/>
              <w:rPr>
                <w:rFonts w:ascii="Times New Roman" w:hAnsi="Times New Roman" w:cs="Times New Roman"/>
              </w:rPr>
            </w:pPr>
          </w:p>
        </w:tc>
        <w:tc>
          <w:tcPr>
            <w:tcW w:w="4179" w:type="dxa"/>
            <w:vAlign w:val="center"/>
          </w:tcPr>
          <w:p w:rsidR="00D602D4" w:rsidRDefault="000B4C86">
            <w:pPr>
              <w:spacing w:after="0" w:line="240" w:lineRule="auto"/>
              <w:rPr>
                <w:rFonts w:ascii="Times New Roman" w:hAnsi="Times New Roman" w:cs="Times New Roman"/>
              </w:rPr>
            </w:pPr>
            <w:r>
              <w:rPr>
                <w:rFonts w:ascii="Times New Roman" w:hAnsi="Times New Roman" w:cs="Times New Roman"/>
                <w:color w:val="000000"/>
              </w:rPr>
              <w:t>Консолидация сетей п.Таксимо Муйский район</w:t>
            </w:r>
          </w:p>
        </w:tc>
        <w:tc>
          <w:tcPr>
            <w:tcW w:w="2108" w:type="dxa"/>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Потери</w:t>
            </w:r>
          </w:p>
        </w:tc>
        <w:tc>
          <w:tcPr>
            <w:tcW w:w="1399"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5,6</w:t>
            </w:r>
          </w:p>
        </w:tc>
      </w:tr>
      <w:tr w:rsidR="00D602D4">
        <w:tc>
          <w:tcPr>
            <w:tcW w:w="1951" w:type="dxa"/>
            <w:vMerge/>
            <w:vAlign w:val="center"/>
          </w:tcPr>
          <w:p w:rsidR="00D602D4" w:rsidRDefault="00D602D4">
            <w:pPr>
              <w:jc w:val="center"/>
              <w:rPr>
                <w:rFonts w:ascii="Times New Roman" w:hAnsi="Times New Roman" w:cs="Times New Roman"/>
              </w:rPr>
            </w:pPr>
          </w:p>
        </w:tc>
        <w:tc>
          <w:tcPr>
            <w:tcW w:w="4179" w:type="dxa"/>
            <w:vAlign w:val="center"/>
          </w:tcPr>
          <w:p w:rsidR="00D602D4" w:rsidRDefault="000B4C86">
            <w:pPr>
              <w:spacing w:after="0" w:line="240" w:lineRule="auto"/>
              <w:rPr>
                <w:rFonts w:ascii="Times New Roman" w:hAnsi="Times New Roman" w:cs="Times New Roman"/>
              </w:rPr>
            </w:pPr>
            <w:r>
              <w:rPr>
                <w:rFonts w:ascii="Times New Roman" w:hAnsi="Times New Roman" w:cs="Times New Roman"/>
                <w:color w:val="000000"/>
              </w:rPr>
              <w:t xml:space="preserve">Переход на формирование полезного отпуска электроэнергии по физическим лицам по ПУ ИСУЭ по показаниям на 25 </w:t>
            </w:r>
            <w:r>
              <w:rPr>
                <w:rFonts w:ascii="Times New Roman" w:hAnsi="Times New Roman" w:cs="Times New Roman"/>
                <w:color w:val="000000"/>
              </w:rPr>
              <w:lastRenderedPageBreak/>
              <w:t>число текущего месяца (ранее по 31 число)</w:t>
            </w:r>
          </w:p>
        </w:tc>
        <w:tc>
          <w:tcPr>
            <w:tcW w:w="2108" w:type="dxa"/>
          </w:tcPr>
          <w:p w:rsidR="00D602D4" w:rsidRDefault="000B4C86">
            <w:pPr>
              <w:spacing w:after="0" w:line="240" w:lineRule="auto"/>
              <w:jc w:val="center"/>
              <w:rPr>
                <w:rFonts w:ascii="Times New Roman" w:hAnsi="Times New Roman" w:cs="Times New Roman"/>
              </w:rPr>
            </w:pPr>
            <w:r>
              <w:rPr>
                <w:rFonts w:ascii="Times New Roman" w:hAnsi="Times New Roman" w:cs="Times New Roman"/>
              </w:rPr>
              <w:lastRenderedPageBreak/>
              <w:t>Потери</w:t>
            </w:r>
          </w:p>
        </w:tc>
        <w:tc>
          <w:tcPr>
            <w:tcW w:w="1399"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9,2</w:t>
            </w:r>
          </w:p>
        </w:tc>
      </w:tr>
      <w:tr w:rsidR="00D602D4">
        <w:tc>
          <w:tcPr>
            <w:tcW w:w="1951" w:type="dxa"/>
            <w:vMerge w:val="restart"/>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Красноярскэнерго</w:t>
            </w:r>
          </w:p>
        </w:tc>
        <w:tc>
          <w:tcPr>
            <w:tcW w:w="4179" w:type="dxa"/>
            <w:vAlign w:val="center"/>
          </w:tcPr>
          <w:p w:rsidR="00D602D4" w:rsidRDefault="000B4C86">
            <w:pPr>
              <w:spacing w:after="0" w:line="240" w:lineRule="auto"/>
              <w:rPr>
                <w:rFonts w:ascii="Times New Roman" w:hAnsi="Times New Roman" w:cs="Times New Roman"/>
              </w:rPr>
            </w:pPr>
            <w:r>
              <w:rPr>
                <w:rFonts w:ascii="Times New Roman" w:hAnsi="Times New Roman" w:cs="Times New Roman"/>
              </w:rPr>
              <w:t>Консолидация сетей СНТ</w:t>
            </w:r>
            <w:r>
              <w:rPr>
                <w:rFonts w:ascii="Times New Roman" w:hAnsi="Times New Roman" w:cs="Times New Roman"/>
                <w:lang w:val="en-US"/>
              </w:rPr>
              <w:t>/</w:t>
            </w:r>
            <w:r>
              <w:rPr>
                <w:rFonts w:ascii="Times New Roman" w:hAnsi="Times New Roman" w:cs="Times New Roman"/>
              </w:rPr>
              <w:t>ДНТ</w:t>
            </w:r>
          </w:p>
        </w:tc>
        <w:tc>
          <w:tcPr>
            <w:tcW w:w="2108" w:type="dxa"/>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Потери</w:t>
            </w:r>
          </w:p>
        </w:tc>
        <w:tc>
          <w:tcPr>
            <w:tcW w:w="1399"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0,5</w:t>
            </w:r>
          </w:p>
        </w:tc>
      </w:tr>
      <w:tr w:rsidR="00D602D4">
        <w:tc>
          <w:tcPr>
            <w:tcW w:w="1951" w:type="dxa"/>
            <w:vMerge/>
            <w:vAlign w:val="center"/>
          </w:tcPr>
          <w:p w:rsidR="00D602D4" w:rsidRDefault="00D602D4">
            <w:pPr>
              <w:jc w:val="center"/>
              <w:rPr>
                <w:rFonts w:ascii="Times New Roman" w:hAnsi="Times New Roman" w:cs="Times New Roman"/>
              </w:rPr>
            </w:pPr>
          </w:p>
        </w:tc>
        <w:tc>
          <w:tcPr>
            <w:tcW w:w="4179" w:type="dxa"/>
            <w:vAlign w:val="center"/>
          </w:tcPr>
          <w:p w:rsidR="00D602D4" w:rsidRDefault="000B4C86">
            <w:pPr>
              <w:spacing w:after="0" w:line="240" w:lineRule="auto"/>
              <w:rPr>
                <w:rFonts w:ascii="Times New Roman" w:hAnsi="Times New Roman" w:cs="Times New Roman"/>
              </w:rPr>
            </w:pPr>
            <w:r>
              <w:rPr>
                <w:rFonts w:ascii="Times New Roman" w:hAnsi="Times New Roman" w:cs="Times New Roman"/>
              </w:rPr>
              <w:t>Снижение части нагрузки потребителей АО «Витимэнергосбыт»</w:t>
            </w:r>
          </w:p>
        </w:tc>
        <w:tc>
          <w:tcPr>
            <w:tcW w:w="2108" w:type="dxa"/>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Отпуск в сеть, полезный отпуск</w:t>
            </w:r>
          </w:p>
        </w:tc>
        <w:tc>
          <w:tcPr>
            <w:tcW w:w="1399"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-28,5</w:t>
            </w:r>
          </w:p>
        </w:tc>
      </w:tr>
      <w:tr w:rsidR="00D602D4">
        <w:tc>
          <w:tcPr>
            <w:tcW w:w="1951" w:type="dxa"/>
            <w:vMerge/>
            <w:vAlign w:val="center"/>
          </w:tcPr>
          <w:p w:rsidR="00D602D4" w:rsidRDefault="00D602D4">
            <w:pPr>
              <w:jc w:val="center"/>
              <w:rPr>
                <w:rFonts w:ascii="Times New Roman" w:hAnsi="Times New Roman" w:cs="Times New Roman"/>
              </w:rPr>
            </w:pPr>
          </w:p>
        </w:tc>
        <w:tc>
          <w:tcPr>
            <w:tcW w:w="4179" w:type="dxa"/>
            <w:vAlign w:val="center"/>
          </w:tcPr>
          <w:p w:rsidR="00D602D4" w:rsidRDefault="000B4C86">
            <w:pPr>
              <w:spacing w:after="0" w:line="240" w:lineRule="auto"/>
              <w:rPr>
                <w:rFonts w:ascii="Times New Roman" w:hAnsi="Times New Roman" w:cs="Times New Roman"/>
              </w:rPr>
            </w:pPr>
            <w:r>
              <w:rPr>
                <w:rFonts w:ascii="Times New Roman" w:hAnsi="Times New Roman" w:cs="Times New Roman"/>
              </w:rPr>
              <w:t>Рост потерь, вызванный увеличением транзитного перетока с ОАО «РЖД»</w:t>
            </w:r>
          </w:p>
        </w:tc>
        <w:tc>
          <w:tcPr>
            <w:tcW w:w="2108" w:type="dxa"/>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Потери</w:t>
            </w:r>
          </w:p>
        </w:tc>
        <w:tc>
          <w:tcPr>
            <w:tcW w:w="1399"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10,6</w:t>
            </w:r>
          </w:p>
        </w:tc>
      </w:tr>
      <w:tr w:rsidR="00D602D4">
        <w:trPr>
          <w:trHeight w:val="253"/>
        </w:trPr>
        <w:tc>
          <w:tcPr>
            <w:tcW w:w="1951" w:type="dxa"/>
            <w:vMerge/>
            <w:vAlign w:val="center"/>
          </w:tcPr>
          <w:p w:rsidR="00D602D4" w:rsidRDefault="00D602D4">
            <w:pPr>
              <w:jc w:val="center"/>
              <w:rPr>
                <w:rFonts w:ascii="Times New Roman" w:hAnsi="Times New Roman" w:cs="Times New Roman"/>
              </w:rPr>
            </w:pPr>
          </w:p>
        </w:tc>
        <w:tc>
          <w:tcPr>
            <w:tcW w:w="4179" w:type="dxa"/>
            <w:vMerge w:val="restart"/>
            <w:vAlign w:val="center"/>
          </w:tcPr>
          <w:p w:rsidR="00D602D4" w:rsidRDefault="000B4C86">
            <w:pPr>
              <w:spacing w:after="0" w:line="240" w:lineRule="auto"/>
              <w:rPr>
                <w:rFonts w:ascii="Times New Roman" w:hAnsi="Times New Roman" w:cs="Times New Roman"/>
                <w:highlight w:val="white"/>
              </w:rPr>
            </w:pPr>
            <w:r>
              <w:rPr>
                <w:rFonts w:ascii="Times New Roman" w:hAnsi="Times New Roman" w:cs="Times New Roman"/>
                <w:highlight w:val="white"/>
              </w:rPr>
              <w:t>Исключение объемов по ОАО "ИЭСК"</w:t>
            </w:r>
          </w:p>
        </w:tc>
        <w:tc>
          <w:tcPr>
            <w:tcW w:w="2108" w:type="dxa"/>
          </w:tcPr>
          <w:p w:rsidR="00D602D4" w:rsidRDefault="000B4C86">
            <w:pPr>
              <w:spacing w:after="0" w:line="240" w:lineRule="auto"/>
              <w:jc w:val="center"/>
              <w:rPr>
                <w:rFonts w:ascii="Times New Roman" w:hAnsi="Times New Roman" w:cs="Times New Roman"/>
                <w:highlight w:val="white"/>
              </w:rPr>
            </w:pPr>
            <w:r>
              <w:rPr>
                <w:rFonts w:ascii="Times New Roman" w:hAnsi="Times New Roman" w:cs="Times New Roman"/>
                <w:highlight w:val="white"/>
              </w:rPr>
              <w:t>Отпуск в сеть</w:t>
            </w:r>
          </w:p>
        </w:tc>
        <w:tc>
          <w:tcPr>
            <w:tcW w:w="1399" w:type="dxa"/>
            <w:vAlign w:val="center"/>
          </w:tcPr>
          <w:p w:rsidR="00D602D4" w:rsidRDefault="000B4C86">
            <w:pPr>
              <w:spacing w:after="0" w:line="240" w:lineRule="auto"/>
              <w:jc w:val="center"/>
              <w:rPr>
                <w:rFonts w:ascii="Times New Roman" w:hAnsi="Times New Roman" w:cs="Times New Roman"/>
                <w:highlight w:val="white"/>
              </w:rPr>
            </w:pPr>
            <w:r>
              <w:rPr>
                <w:rFonts w:ascii="Times New Roman" w:hAnsi="Times New Roman" w:cs="Times New Roman"/>
                <w:highlight w:val="white"/>
              </w:rPr>
              <w:t>-152,3</w:t>
            </w:r>
          </w:p>
        </w:tc>
      </w:tr>
      <w:tr w:rsidR="00D602D4">
        <w:tc>
          <w:tcPr>
            <w:tcW w:w="1951" w:type="dxa"/>
            <w:vMerge/>
            <w:vAlign w:val="center"/>
          </w:tcPr>
          <w:p w:rsidR="00D602D4" w:rsidRDefault="00D602D4">
            <w:pPr>
              <w:jc w:val="center"/>
              <w:rPr>
                <w:rFonts w:ascii="Times New Roman" w:hAnsi="Times New Roman" w:cs="Times New Roman"/>
              </w:rPr>
            </w:pPr>
          </w:p>
        </w:tc>
        <w:tc>
          <w:tcPr>
            <w:tcW w:w="4179" w:type="dxa"/>
            <w:vMerge/>
            <w:vAlign w:val="center"/>
          </w:tcPr>
          <w:p w:rsidR="00D602D4" w:rsidRDefault="00D602D4">
            <w:pPr>
              <w:spacing w:after="0" w:line="240" w:lineRule="auto"/>
              <w:rPr>
                <w:rFonts w:ascii="Times New Roman" w:hAnsi="Times New Roman" w:cs="Times New Roman"/>
              </w:rPr>
            </w:pPr>
          </w:p>
        </w:tc>
        <w:tc>
          <w:tcPr>
            <w:tcW w:w="2108" w:type="dxa"/>
          </w:tcPr>
          <w:p w:rsidR="00D602D4" w:rsidRDefault="000B4C86">
            <w:pPr>
              <w:spacing w:after="0" w:line="240" w:lineRule="auto"/>
              <w:jc w:val="center"/>
              <w:rPr>
                <w:rFonts w:ascii="Times New Roman" w:hAnsi="Times New Roman" w:cs="Times New Roman"/>
                <w:highlight w:val="white"/>
              </w:rPr>
            </w:pPr>
            <w:r>
              <w:rPr>
                <w:rFonts w:ascii="Times New Roman" w:hAnsi="Times New Roman" w:cs="Times New Roman"/>
                <w:highlight w:val="white"/>
              </w:rPr>
              <w:t>Потери</w:t>
            </w:r>
          </w:p>
        </w:tc>
        <w:tc>
          <w:tcPr>
            <w:tcW w:w="1399" w:type="dxa"/>
            <w:vAlign w:val="center"/>
          </w:tcPr>
          <w:p w:rsidR="00D602D4" w:rsidRDefault="000B4C86">
            <w:pPr>
              <w:spacing w:after="0" w:line="240" w:lineRule="auto"/>
              <w:jc w:val="center"/>
              <w:rPr>
                <w:rFonts w:ascii="Times New Roman" w:hAnsi="Times New Roman" w:cs="Times New Roman"/>
                <w:highlight w:val="white"/>
              </w:rPr>
            </w:pPr>
            <w:r>
              <w:rPr>
                <w:rFonts w:ascii="Times New Roman" w:hAnsi="Times New Roman" w:cs="Times New Roman"/>
                <w:highlight w:val="white"/>
              </w:rPr>
              <w:t>7,9</w:t>
            </w:r>
          </w:p>
        </w:tc>
      </w:tr>
      <w:tr w:rsidR="00D602D4">
        <w:tc>
          <w:tcPr>
            <w:tcW w:w="1951" w:type="dxa"/>
            <w:vMerge w:val="restart"/>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Кузбассэнерго-РЭС</w:t>
            </w:r>
          </w:p>
        </w:tc>
        <w:tc>
          <w:tcPr>
            <w:tcW w:w="4179" w:type="dxa"/>
            <w:vAlign w:val="center"/>
          </w:tcPr>
          <w:p w:rsidR="00D602D4" w:rsidRDefault="000B4C86">
            <w:pPr>
              <w:spacing w:after="0" w:line="240" w:lineRule="auto"/>
              <w:rPr>
                <w:rFonts w:ascii="Times New Roman" w:eastAsia="Times New Roman" w:hAnsi="Times New Roman" w:cs="Times New Roman"/>
                <w:color w:val="000000"/>
              </w:rPr>
            </w:pPr>
            <w:r>
              <w:rPr>
                <w:rFonts w:ascii="Times New Roman" w:hAnsi="Times New Roman" w:cs="Times New Roman"/>
              </w:rPr>
              <w:t>Снижение потребления ООО «ЕвразЭнергоТранс»</w:t>
            </w:r>
          </w:p>
        </w:tc>
        <w:tc>
          <w:tcPr>
            <w:tcW w:w="2108" w:type="dxa"/>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Отпуск в сеть, полезный отпуск</w:t>
            </w:r>
          </w:p>
        </w:tc>
        <w:tc>
          <w:tcPr>
            <w:tcW w:w="1399"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-54,0</w:t>
            </w:r>
          </w:p>
        </w:tc>
      </w:tr>
      <w:tr w:rsidR="00D602D4">
        <w:tc>
          <w:tcPr>
            <w:tcW w:w="1951" w:type="dxa"/>
            <w:vMerge/>
            <w:vAlign w:val="center"/>
          </w:tcPr>
          <w:p w:rsidR="00D602D4" w:rsidRDefault="00D602D4">
            <w:pPr>
              <w:jc w:val="center"/>
              <w:rPr>
                <w:rFonts w:ascii="Times New Roman" w:hAnsi="Times New Roman" w:cs="Times New Roman"/>
              </w:rPr>
            </w:pPr>
          </w:p>
        </w:tc>
        <w:tc>
          <w:tcPr>
            <w:tcW w:w="4179" w:type="dxa"/>
            <w:vAlign w:val="center"/>
          </w:tcPr>
          <w:p w:rsidR="00D602D4" w:rsidRDefault="000B4C86">
            <w:pPr>
              <w:spacing w:after="0" w:line="240" w:lineRule="auto"/>
              <w:rPr>
                <w:rFonts w:ascii="Times New Roman" w:hAnsi="Times New Roman" w:cs="Times New Roman"/>
              </w:rPr>
            </w:pPr>
            <w:r>
              <w:rPr>
                <w:rFonts w:ascii="Times New Roman" w:hAnsi="Times New Roman" w:cs="Times New Roman"/>
              </w:rPr>
              <w:t>Консолидация сетей СНТ</w:t>
            </w:r>
            <w:r>
              <w:rPr>
                <w:rFonts w:ascii="Times New Roman" w:hAnsi="Times New Roman" w:cs="Times New Roman"/>
                <w:lang w:val="en-US"/>
              </w:rPr>
              <w:t>/</w:t>
            </w:r>
            <w:r>
              <w:rPr>
                <w:rFonts w:ascii="Times New Roman" w:hAnsi="Times New Roman" w:cs="Times New Roman"/>
              </w:rPr>
              <w:t>ДНТ</w:t>
            </w:r>
          </w:p>
        </w:tc>
        <w:tc>
          <w:tcPr>
            <w:tcW w:w="2108" w:type="dxa"/>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Потери</w:t>
            </w:r>
          </w:p>
        </w:tc>
        <w:tc>
          <w:tcPr>
            <w:tcW w:w="1399"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3,4</w:t>
            </w:r>
          </w:p>
        </w:tc>
      </w:tr>
      <w:tr w:rsidR="00D602D4">
        <w:tc>
          <w:tcPr>
            <w:tcW w:w="1951"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Читаэнерго</w:t>
            </w:r>
          </w:p>
        </w:tc>
        <w:tc>
          <w:tcPr>
            <w:tcW w:w="4179" w:type="dxa"/>
            <w:vAlign w:val="center"/>
          </w:tcPr>
          <w:p w:rsidR="00D602D4" w:rsidRDefault="000B4C86">
            <w:pPr>
              <w:spacing w:after="0" w:line="240" w:lineRule="auto"/>
              <w:rPr>
                <w:rFonts w:ascii="Times New Roman" w:hAnsi="Times New Roman" w:cs="Times New Roman"/>
              </w:rPr>
            </w:pPr>
            <w:r>
              <w:rPr>
                <w:rFonts w:ascii="Times New Roman" w:hAnsi="Times New Roman" w:cs="Times New Roman"/>
              </w:rPr>
              <w:t>Перевод части нагрузки на ФСК по ОАО «РЖД» (ТПС Зилово)</w:t>
            </w:r>
          </w:p>
        </w:tc>
        <w:tc>
          <w:tcPr>
            <w:tcW w:w="2108" w:type="dxa"/>
          </w:tcPr>
          <w:p w:rsidR="00D602D4" w:rsidRDefault="000B4C86">
            <w:pPr>
              <w:spacing w:after="0" w:line="240" w:lineRule="auto"/>
              <w:jc w:val="center"/>
              <w:rPr>
                <w:rFonts w:ascii="Times New Roman" w:hAnsi="Times New Roman" w:cs="Times New Roman"/>
              </w:rPr>
            </w:pPr>
            <w:r>
              <w:rPr>
                <w:rFonts w:ascii="Times New Roman" w:hAnsi="Times New Roman" w:cs="Times New Roman"/>
              </w:rPr>
              <w:t>Отпуск в сеть, полезный отпуск</w:t>
            </w:r>
          </w:p>
        </w:tc>
        <w:tc>
          <w:tcPr>
            <w:tcW w:w="1399" w:type="dxa"/>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rPr>
              <w:t>-74,1</w:t>
            </w:r>
          </w:p>
        </w:tc>
      </w:tr>
    </w:tbl>
    <w:p w:rsidR="00D602D4" w:rsidRDefault="00D602D4">
      <w:pPr>
        <w:spacing w:after="0" w:line="240" w:lineRule="auto"/>
        <w:jc w:val="both"/>
        <w:rPr>
          <w:rFonts w:ascii="Times New Roman" w:hAnsi="Times New Roman" w:cs="Times New Roman"/>
          <w:sz w:val="24"/>
          <w:szCs w:val="24"/>
        </w:rPr>
      </w:pPr>
    </w:p>
    <w:p w:rsidR="00D602D4" w:rsidRDefault="000B4C86">
      <w:pPr>
        <w:widowControl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Показатели надежности электроснабжения потребителей (план СУ БП)</w:t>
      </w:r>
    </w:p>
    <w:p w:rsidR="00D602D4" w:rsidRDefault="000B4C86">
      <w:pPr>
        <w:widowControl w:val="0"/>
        <w:spacing w:after="0" w:line="240" w:lineRule="auto"/>
        <w:jc w:val="right"/>
        <w:rPr>
          <w:rFonts w:ascii="Times New Roman" w:hAnsi="Times New Roman" w:cs="Times New Roman"/>
          <w:sz w:val="24"/>
          <w:szCs w:val="24"/>
        </w:rPr>
      </w:pPr>
      <w:r>
        <w:rPr>
          <w:rFonts w:ascii="Times New Roman" w:hAnsi="Times New Roman" w:cs="Times New Roman"/>
          <w:sz w:val="24"/>
          <w:szCs w:val="24"/>
        </w:rPr>
        <w:t>Таблица 17</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19"/>
        <w:gridCol w:w="1134"/>
        <w:gridCol w:w="1134"/>
        <w:gridCol w:w="1276"/>
        <w:gridCol w:w="1276"/>
        <w:gridCol w:w="1276"/>
      </w:tblGrid>
      <w:tr w:rsidR="00D602D4">
        <w:trPr>
          <w:trHeight w:hRule="exact" w:val="559"/>
          <w:jc w:val="center"/>
        </w:trPr>
        <w:tc>
          <w:tcPr>
            <w:tcW w:w="3119" w:type="dxa"/>
            <w:shd w:val="clear" w:color="FFFFFF" w:fill="EBF1DE"/>
            <w:vAlign w:val="center"/>
          </w:tcPr>
          <w:p w:rsidR="00D602D4" w:rsidRDefault="000B4C86">
            <w:pPr>
              <w:widowControl w:val="0"/>
              <w:spacing w:after="0" w:line="240" w:lineRule="auto"/>
              <w:jc w:val="center"/>
              <w:rPr>
                <w:rFonts w:ascii="Times New Roman" w:hAnsi="Times New Roman" w:cs="Times New Roman"/>
              </w:rPr>
            </w:pPr>
            <w:r>
              <w:rPr>
                <w:rFonts w:ascii="Times New Roman" w:hAnsi="Times New Roman" w:cs="Times New Roman"/>
                <w:b/>
                <w:bCs/>
                <w:color w:val="000000"/>
                <w:lang w:eastAsia="ru-RU"/>
              </w:rPr>
              <w:t>Показатели</w:t>
            </w:r>
          </w:p>
        </w:tc>
        <w:tc>
          <w:tcPr>
            <w:tcW w:w="1134" w:type="dxa"/>
            <w:shd w:val="clear" w:color="FFFFFF" w:fill="EBF1DE"/>
            <w:vAlign w:val="center"/>
          </w:tcPr>
          <w:p w:rsidR="00D602D4" w:rsidRDefault="000B4C86">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2022</w:t>
            </w:r>
          </w:p>
          <w:p w:rsidR="00D602D4" w:rsidRDefault="000B4C86">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факт</w:t>
            </w:r>
          </w:p>
        </w:tc>
        <w:tc>
          <w:tcPr>
            <w:tcW w:w="1134" w:type="dxa"/>
            <w:shd w:val="clear" w:color="FFFFFF" w:fill="EBF1DE"/>
            <w:vAlign w:val="center"/>
          </w:tcPr>
          <w:p w:rsidR="00D602D4" w:rsidRDefault="000B4C86">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2023</w:t>
            </w:r>
          </w:p>
          <w:p w:rsidR="00D602D4" w:rsidRDefault="000B4C86">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факт</w:t>
            </w:r>
          </w:p>
        </w:tc>
        <w:tc>
          <w:tcPr>
            <w:tcW w:w="1276" w:type="dxa"/>
            <w:shd w:val="clear" w:color="FFFFFF" w:fill="EBF1DE"/>
            <w:vAlign w:val="center"/>
          </w:tcPr>
          <w:p w:rsidR="00D602D4" w:rsidRDefault="000B4C86">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2024</w:t>
            </w:r>
          </w:p>
          <w:p w:rsidR="00D602D4" w:rsidRDefault="000B4C86">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факт</w:t>
            </w:r>
          </w:p>
        </w:tc>
        <w:tc>
          <w:tcPr>
            <w:tcW w:w="1276" w:type="dxa"/>
            <w:shd w:val="clear" w:color="FFFFFF" w:fill="EBF1DE"/>
            <w:vAlign w:val="center"/>
          </w:tcPr>
          <w:p w:rsidR="00D602D4" w:rsidRDefault="000B4C86">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2025</w:t>
            </w:r>
          </w:p>
          <w:p w:rsidR="00D602D4" w:rsidRDefault="000B4C86">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план</w:t>
            </w:r>
          </w:p>
        </w:tc>
        <w:tc>
          <w:tcPr>
            <w:tcW w:w="1276" w:type="dxa"/>
            <w:shd w:val="clear" w:color="FFFFFF" w:fill="EBF1DE"/>
            <w:vAlign w:val="center"/>
          </w:tcPr>
          <w:p w:rsidR="00D602D4" w:rsidRDefault="000B4C86">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2029</w:t>
            </w:r>
          </w:p>
          <w:p w:rsidR="00D602D4" w:rsidRDefault="000B4C86">
            <w:pPr>
              <w:spacing w:after="0" w:line="240" w:lineRule="auto"/>
              <w:ind w:right="-143"/>
              <w:jc w:val="center"/>
              <w:rPr>
                <w:rFonts w:ascii="Times New Roman" w:hAnsi="Times New Roman" w:cs="Times New Roman"/>
                <w:b/>
                <w:bCs/>
                <w:color w:val="000000"/>
                <w:lang w:eastAsia="ru-RU"/>
              </w:rPr>
            </w:pPr>
            <w:r>
              <w:rPr>
                <w:rFonts w:ascii="Times New Roman" w:hAnsi="Times New Roman" w:cs="Times New Roman"/>
                <w:b/>
                <w:bCs/>
                <w:color w:val="000000"/>
                <w:lang w:eastAsia="ru-RU"/>
              </w:rPr>
              <w:t>план</w:t>
            </w:r>
          </w:p>
        </w:tc>
      </w:tr>
      <w:tr w:rsidR="00D602D4">
        <w:trPr>
          <w:cantSplit/>
          <w:trHeight w:val="419"/>
          <w:jc w:val="center"/>
        </w:trPr>
        <w:tc>
          <w:tcPr>
            <w:tcW w:w="3119" w:type="dxa"/>
            <w:tcMar>
              <w:top w:w="0" w:type="dxa"/>
              <w:left w:w="108" w:type="dxa"/>
              <w:bottom w:w="0" w:type="dxa"/>
              <w:right w:w="108" w:type="dxa"/>
            </w:tcMar>
            <w:vAlign w:val="center"/>
          </w:tcPr>
          <w:p w:rsidR="00D602D4" w:rsidRDefault="000B4C86">
            <w:pPr>
              <w:spacing w:after="0" w:line="240" w:lineRule="auto"/>
              <w:rPr>
                <w:rFonts w:ascii="Times New Roman" w:hAnsi="Times New Roman" w:cs="Times New Roman"/>
                <w:color w:val="000000"/>
                <w:lang w:eastAsia="ru-RU"/>
              </w:rPr>
            </w:pPr>
            <w:r>
              <w:rPr>
                <w:rFonts w:ascii="Times New Roman" w:hAnsi="Times New Roman" w:cs="Times New Roman"/>
                <w:color w:val="000000"/>
                <w:lang w:eastAsia="ru-RU"/>
              </w:rPr>
              <w:t>Пsaidi, час.</w:t>
            </w:r>
          </w:p>
        </w:tc>
        <w:tc>
          <w:tcPr>
            <w:tcW w:w="1134" w:type="dxa"/>
            <w:tcMar>
              <w:top w:w="0" w:type="dxa"/>
              <w:left w:w="108" w:type="dxa"/>
              <w:bottom w:w="0" w:type="dxa"/>
              <w:right w:w="108" w:type="dxa"/>
            </w:tcMar>
            <w:vAlign w:val="center"/>
          </w:tcPr>
          <w:p w:rsidR="00D602D4" w:rsidRDefault="000B4C86">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2,31</w:t>
            </w:r>
          </w:p>
        </w:tc>
        <w:tc>
          <w:tcPr>
            <w:tcW w:w="1134" w:type="dxa"/>
            <w:tcMar>
              <w:top w:w="0" w:type="dxa"/>
              <w:left w:w="108" w:type="dxa"/>
              <w:bottom w:w="0" w:type="dxa"/>
              <w:right w:w="108" w:type="dxa"/>
            </w:tcMar>
            <w:vAlign w:val="center"/>
          </w:tcPr>
          <w:p w:rsidR="00D602D4" w:rsidRDefault="000B4C86">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1,95</w:t>
            </w:r>
          </w:p>
        </w:tc>
        <w:tc>
          <w:tcPr>
            <w:tcW w:w="1276" w:type="dxa"/>
            <w:tcMar>
              <w:top w:w="0" w:type="dxa"/>
              <w:left w:w="108" w:type="dxa"/>
              <w:bottom w:w="0" w:type="dxa"/>
              <w:right w:w="108" w:type="dxa"/>
            </w:tcMar>
            <w:vAlign w:val="center"/>
          </w:tcPr>
          <w:p w:rsidR="00D602D4" w:rsidRDefault="000B4C86">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1,75</w:t>
            </w:r>
          </w:p>
        </w:tc>
        <w:tc>
          <w:tcPr>
            <w:tcW w:w="1276" w:type="dxa"/>
            <w:vAlign w:val="center"/>
          </w:tcPr>
          <w:p w:rsidR="00D602D4" w:rsidRDefault="000B4C86">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1,99</w:t>
            </w:r>
          </w:p>
        </w:tc>
        <w:tc>
          <w:tcPr>
            <w:tcW w:w="1276" w:type="dxa"/>
            <w:vAlign w:val="center"/>
          </w:tcPr>
          <w:p w:rsidR="00D602D4" w:rsidRDefault="000B4C86">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1,87</w:t>
            </w:r>
          </w:p>
        </w:tc>
      </w:tr>
      <w:tr w:rsidR="00D602D4">
        <w:trPr>
          <w:cantSplit/>
          <w:trHeight w:val="419"/>
          <w:jc w:val="center"/>
        </w:trPr>
        <w:tc>
          <w:tcPr>
            <w:tcW w:w="3119" w:type="dxa"/>
            <w:tcMar>
              <w:top w:w="0" w:type="dxa"/>
              <w:left w:w="108" w:type="dxa"/>
              <w:bottom w:w="0" w:type="dxa"/>
              <w:right w:w="108" w:type="dxa"/>
            </w:tcMar>
            <w:vAlign w:val="center"/>
          </w:tcPr>
          <w:p w:rsidR="00D602D4" w:rsidRDefault="000B4C86">
            <w:pPr>
              <w:spacing w:after="0" w:line="240" w:lineRule="auto"/>
              <w:rPr>
                <w:rFonts w:ascii="Times New Roman" w:hAnsi="Times New Roman" w:cs="Times New Roman"/>
                <w:color w:val="000000"/>
                <w:lang w:eastAsia="ru-RU"/>
              </w:rPr>
            </w:pPr>
            <w:r>
              <w:rPr>
                <w:rFonts w:ascii="Times New Roman" w:hAnsi="Times New Roman" w:cs="Times New Roman"/>
                <w:color w:val="000000"/>
                <w:lang w:eastAsia="ru-RU"/>
              </w:rPr>
              <w:t>Пsaifi, шт.</w:t>
            </w:r>
          </w:p>
        </w:tc>
        <w:tc>
          <w:tcPr>
            <w:tcW w:w="1134" w:type="dxa"/>
            <w:tcMar>
              <w:top w:w="0" w:type="dxa"/>
              <w:left w:w="108" w:type="dxa"/>
              <w:bottom w:w="0" w:type="dxa"/>
              <w:right w:w="108" w:type="dxa"/>
            </w:tcMar>
            <w:vAlign w:val="center"/>
          </w:tcPr>
          <w:p w:rsidR="00D602D4" w:rsidRDefault="000B4C86">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1,67</w:t>
            </w:r>
          </w:p>
        </w:tc>
        <w:tc>
          <w:tcPr>
            <w:tcW w:w="1134" w:type="dxa"/>
            <w:tcMar>
              <w:top w:w="0" w:type="dxa"/>
              <w:left w:w="108" w:type="dxa"/>
              <w:bottom w:w="0" w:type="dxa"/>
              <w:right w:w="108" w:type="dxa"/>
            </w:tcMar>
            <w:vAlign w:val="center"/>
          </w:tcPr>
          <w:p w:rsidR="00D602D4" w:rsidRDefault="000B4C86">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1,51</w:t>
            </w:r>
          </w:p>
        </w:tc>
        <w:tc>
          <w:tcPr>
            <w:tcW w:w="1276" w:type="dxa"/>
            <w:tcMar>
              <w:top w:w="0" w:type="dxa"/>
              <w:left w:w="108" w:type="dxa"/>
              <w:bottom w:w="0" w:type="dxa"/>
              <w:right w:w="108" w:type="dxa"/>
            </w:tcMar>
            <w:vAlign w:val="center"/>
          </w:tcPr>
          <w:p w:rsidR="00D602D4" w:rsidRDefault="000B4C86">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1,37</w:t>
            </w:r>
          </w:p>
        </w:tc>
        <w:tc>
          <w:tcPr>
            <w:tcW w:w="1276" w:type="dxa"/>
            <w:vAlign w:val="center"/>
          </w:tcPr>
          <w:p w:rsidR="00D602D4" w:rsidRDefault="000B4C86">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1,53</w:t>
            </w:r>
          </w:p>
        </w:tc>
        <w:tc>
          <w:tcPr>
            <w:tcW w:w="1276" w:type="dxa"/>
            <w:vAlign w:val="center"/>
          </w:tcPr>
          <w:p w:rsidR="00D602D4" w:rsidRDefault="000B4C86">
            <w:pPr>
              <w:spacing w:after="0" w:line="240" w:lineRule="auto"/>
              <w:jc w:val="center"/>
              <w:rPr>
                <w:rFonts w:ascii="Times New Roman" w:hAnsi="Times New Roman" w:cs="Times New Roman"/>
                <w:color w:val="000000"/>
                <w:lang w:eastAsia="ru-RU"/>
              </w:rPr>
            </w:pPr>
            <w:r>
              <w:rPr>
                <w:rFonts w:ascii="Times New Roman" w:hAnsi="Times New Roman" w:cs="Times New Roman"/>
                <w:color w:val="000000"/>
                <w:lang w:eastAsia="ru-RU"/>
              </w:rPr>
              <w:t>1,44</w:t>
            </w:r>
          </w:p>
        </w:tc>
      </w:tr>
    </w:tbl>
    <w:p w:rsidR="00D602D4" w:rsidRDefault="000B4C86">
      <w:pPr>
        <w:widowControl w:val="0"/>
        <w:spacing w:after="0" w:line="240" w:lineRule="auto"/>
        <w:jc w:val="both"/>
        <w:rPr>
          <w:rFonts w:ascii="Times New Roman" w:hAnsi="Times New Roman" w:cs="Times New Roman"/>
          <w:i/>
          <w:sz w:val="20"/>
          <w:szCs w:val="20"/>
        </w:rPr>
      </w:pPr>
      <w:r>
        <w:rPr>
          <w:rFonts w:ascii="Times New Roman" w:hAnsi="Times New Roman" w:cs="Times New Roman"/>
          <w:i/>
          <w:sz w:val="20"/>
          <w:szCs w:val="20"/>
        </w:rPr>
        <w:t>Справочно: изменение значений показателей надежности за 2022 и 2023 года относительно годового отчета прошлого года связано с принятием на баланс сетей Улан-Удэ Энерго.</w:t>
      </w: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0B4C86">
      <w:pPr>
        <w:spacing w:after="0" w:line="240" w:lineRule="auto"/>
        <w:jc w:val="center"/>
        <w:rPr>
          <w:rFonts w:ascii="Times New Roman" w:hAnsi="Times New Roman" w:cs="Times New Roman"/>
          <w:sz w:val="24"/>
          <w:szCs w:val="24"/>
        </w:rPr>
      </w:pPr>
      <w:r>
        <w:rPr>
          <w:noProof/>
          <w:lang w:eastAsia="ru-RU"/>
        </w:rPr>
        <w:drawing>
          <wp:inline distT="0" distB="0" distL="0" distR="0">
            <wp:extent cx="4572000" cy="1973701"/>
            <wp:effectExtent l="4762" t="4762" r="4762" b="4762"/>
            <wp:docPr id="18"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Рис. 8 - Количество технологических нарушений (аварий) в сетях 110 кВ и выше</w:t>
      </w:r>
    </w:p>
    <w:p w:rsidR="00D602D4" w:rsidRDefault="00D602D4">
      <w:pPr>
        <w:tabs>
          <w:tab w:val="left" w:pos="9356"/>
        </w:tabs>
        <w:spacing w:after="0" w:line="240" w:lineRule="auto"/>
        <w:jc w:val="both"/>
        <w:rPr>
          <w:rFonts w:ascii="Times New Roman" w:eastAsia="Calibri" w:hAnsi="Times New Roman" w:cs="Times New Roman"/>
          <w:sz w:val="24"/>
          <w:szCs w:val="24"/>
        </w:rPr>
      </w:pPr>
    </w:p>
    <w:p w:rsidR="00D602D4" w:rsidRDefault="00D602D4">
      <w:pPr>
        <w:spacing w:after="0" w:line="240" w:lineRule="auto"/>
        <w:jc w:val="center"/>
        <w:rPr>
          <w:rFonts w:ascii="Times New Roman" w:hAnsi="Times New Roman" w:cs="Times New Roman"/>
          <w:sz w:val="24"/>
          <w:szCs w:val="24"/>
        </w:rPr>
      </w:pPr>
    </w:p>
    <w:p w:rsidR="00D602D4" w:rsidRDefault="000B4C86">
      <w:pPr>
        <w:spacing w:after="0" w:line="240" w:lineRule="auto"/>
        <w:jc w:val="center"/>
        <w:rPr>
          <w:rFonts w:ascii="Times New Roman" w:hAnsi="Times New Roman" w:cs="Times New Roman"/>
          <w:sz w:val="24"/>
          <w:szCs w:val="24"/>
        </w:rPr>
      </w:pPr>
      <w:r>
        <w:rPr>
          <w:rFonts w:ascii="Times New Roman" w:eastAsia="Calibri" w:hAnsi="Times New Roman" w:cs="Times New Roman"/>
          <w:b/>
          <w:noProof/>
          <w:lang w:eastAsia="ru-RU"/>
        </w:rPr>
        <w:drawing>
          <wp:inline distT="0" distB="0" distL="0" distR="0">
            <wp:extent cx="4858247" cy="2282025"/>
            <wp:effectExtent l="0" t="0" r="0" b="4445"/>
            <wp:docPr id="1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D602D4" w:rsidRDefault="000B4C86">
      <w:pPr>
        <w:tabs>
          <w:tab w:val="left" w:pos="9356"/>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Рис. 9 - Основные причины аварий в сетях 110 кВ и выше за 2024 год</w:t>
      </w:r>
    </w:p>
    <w:p w:rsidR="00D602D4" w:rsidRDefault="00D602D4">
      <w:pPr>
        <w:spacing w:after="0" w:line="240" w:lineRule="auto"/>
        <w:jc w:val="both"/>
        <w:rPr>
          <w:rFonts w:ascii="Times New Roman" w:hAnsi="Times New Roman" w:cs="Times New Roman"/>
          <w:sz w:val="24"/>
          <w:szCs w:val="24"/>
        </w:rPr>
      </w:pPr>
    </w:p>
    <w:p w:rsidR="00D602D4" w:rsidRDefault="000B4C86">
      <w:pPr>
        <w:widowControl w:val="0"/>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Комплекс мероприятий, направленный на повышение надежности функционирования электросетевых объектов ПАО «Россети Сибирь»</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За 2024 год в ПАО «Россети Сибирь» проведена системная работа по выполнению мероприятий по повышению надежности электросетевого комплекса и обеспечению качественного электроснабжения потребителей в зоне ответственности Общества по следующим направлениям:</w:t>
      </w:r>
    </w:p>
    <w:p w:rsidR="00D602D4" w:rsidRDefault="000B4C86">
      <w:pPr>
        <w:pStyle w:val="ac"/>
        <w:numPr>
          <w:ilvl w:val="0"/>
          <w:numId w:val="57"/>
        </w:numPr>
        <w:tabs>
          <w:tab w:val="left" w:pos="993"/>
        </w:tabs>
        <w:spacing w:after="0" w:line="240"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Выполнение мероприятий по повышению надежности функционирования электросетевого комплекса ПАО «</w:t>
      </w:r>
      <w:r>
        <w:rPr>
          <w:rFonts w:ascii="Times New Roman" w:eastAsia="Calibri" w:hAnsi="Times New Roman" w:cs="Times New Roman"/>
          <w:sz w:val="24"/>
          <w:szCs w:val="24"/>
        </w:rPr>
        <w:t>Россети Сибирь</w:t>
      </w:r>
      <w:r>
        <w:rPr>
          <w:rFonts w:ascii="Times New Roman" w:hAnsi="Times New Roman" w:cs="Times New Roman"/>
          <w:iCs/>
          <w:sz w:val="24"/>
          <w:szCs w:val="24"/>
        </w:rPr>
        <w:t>» в рамках утвержденной ремонтной программы 2024 года ПАО «</w:t>
      </w:r>
      <w:r>
        <w:rPr>
          <w:rFonts w:ascii="Times New Roman" w:eastAsia="Calibri" w:hAnsi="Times New Roman" w:cs="Times New Roman"/>
          <w:sz w:val="24"/>
          <w:szCs w:val="24"/>
        </w:rPr>
        <w:t>Россети Сибирь</w:t>
      </w:r>
      <w:r>
        <w:rPr>
          <w:rFonts w:ascii="Times New Roman" w:hAnsi="Times New Roman" w:cs="Times New Roman"/>
          <w:iCs/>
          <w:sz w:val="24"/>
          <w:szCs w:val="24"/>
        </w:rPr>
        <w:t>».</w:t>
      </w:r>
    </w:p>
    <w:p w:rsidR="00D602D4" w:rsidRDefault="000B4C86">
      <w:pPr>
        <w:pStyle w:val="ac"/>
        <w:numPr>
          <w:ilvl w:val="0"/>
          <w:numId w:val="57"/>
        </w:numPr>
        <w:tabs>
          <w:tab w:val="left" w:pos="993"/>
        </w:tabs>
        <w:spacing w:after="0" w:line="240"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Выполнение мероприятий по повышению надежности в рамках исполнения утвержденной Инвестиционной программы развития ПАО «</w:t>
      </w:r>
      <w:r>
        <w:rPr>
          <w:rFonts w:ascii="Times New Roman" w:eastAsia="Calibri" w:hAnsi="Times New Roman" w:cs="Times New Roman"/>
          <w:sz w:val="24"/>
          <w:szCs w:val="24"/>
        </w:rPr>
        <w:t>Россети Сибирь</w:t>
      </w:r>
      <w:r>
        <w:rPr>
          <w:rFonts w:ascii="Times New Roman" w:hAnsi="Times New Roman" w:cs="Times New Roman"/>
          <w:iCs/>
          <w:sz w:val="24"/>
          <w:szCs w:val="24"/>
        </w:rPr>
        <w:t>».</w:t>
      </w:r>
    </w:p>
    <w:p w:rsidR="00D602D4" w:rsidRDefault="000B4C86">
      <w:pPr>
        <w:pStyle w:val="ac"/>
        <w:numPr>
          <w:ilvl w:val="0"/>
          <w:numId w:val="57"/>
        </w:numPr>
        <w:tabs>
          <w:tab w:val="left" w:pos="993"/>
        </w:tabs>
        <w:spacing w:after="0" w:line="240"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Выполнение мероприятий по повышению надежности в рамках выполнения программы технического обслуживания ПАО «</w:t>
      </w:r>
      <w:r>
        <w:rPr>
          <w:rFonts w:ascii="Times New Roman" w:eastAsia="Calibri" w:hAnsi="Times New Roman" w:cs="Times New Roman"/>
          <w:sz w:val="24"/>
          <w:szCs w:val="24"/>
        </w:rPr>
        <w:t>Россети Сибирь</w:t>
      </w:r>
      <w:r>
        <w:rPr>
          <w:rFonts w:ascii="Times New Roman" w:hAnsi="Times New Roman" w:cs="Times New Roman"/>
          <w:iCs/>
          <w:sz w:val="24"/>
          <w:szCs w:val="24"/>
        </w:rPr>
        <w:t>».</w:t>
      </w:r>
    </w:p>
    <w:p w:rsidR="00D602D4" w:rsidRDefault="000B4C86">
      <w:pPr>
        <w:pStyle w:val="ac"/>
        <w:numPr>
          <w:ilvl w:val="0"/>
          <w:numId w:val="57"/>
        </w:numPr>
        <w:tabs>
          <w:tab w:val="left" w:pos="993"/>
        </w:tabs>
        <w:spacing w:after="0" w:line="240"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Выполнение дополнительных мероприятий по снижению аварийности часто отключающихся ЛЭП, намеченных по результатам анализа аварийности.</w:t>
      </w:r>
    </w:p>
    <w:p w:rsidR="00D602D4" w:rsidRDefault="000B4C86">
      <w:pPr>
        <w:pStyle w:val="ac"/>
        <w:numPr>
          <w:ilvl w:val="0"/>
          <w:numId w:val="57"/>
        </w:numPr>
        <w:tabs>
          <w:tab w:val="left" w:pos="993"/>
        </w:tabs>
        <w:spacing w:after="0" w:line="240"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Выполнение мероприятий в части исполнения программы по оснащению ПАО «</w:t>
      </w:r>
      <w:r>
        <w:rPr>
          <w:rFonts w:ascii="Times New Roman" w:eastAsia="Calibri" w:hAnsi="Times New Roman" w:cs="Times New Roman"/>
          <w:sz w:val="24"/>
          <w:szCs w:val="24"/>
        </w:rPr>
        <w:t>Россети Сибирь</w:t>
      </w:r>
      <w:r>
        <w:rPr>
          <w:rFonts w:ascii="Times New Roman" w:hAnsi="Times New Roman" w:cs="Times New Roman"/>
          <w:iCs/>
          <w:sz w:val="24"/>
          <w:szCs w:val="24"/>
        </w:rPr>
        <w:t>» необходимыми транспортными средствами.</w:t>
      </w:r>
    </w:p>
    <w:p w:rsidR="00D602D4" w:rsidRDefault="000B4C86">
      <w:pPr>
        <w:pStyle w:val="ac"/>
        <w:numPr>
          <w:ilvl w:val="0"/>
          <w:numId w:val="57"/>
        </w:numPr>
        <w:tabs>
          <w:tab w:val="left" w:pos="993"/>
        </w:tabs>
        <w:spacing w:after="0" w:line="240"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Выполнение мероприятий по укомплектованию структурных подразделений филиалов РИСЭ.</w:t>
      </w:r>
    </w:p>
    <w:p w:rsidR="00D602D4" w:rsidRDefault="000B4C86">
      <w:pPr>
        <w:pStyle w:val="ac"/>
        <w:numPr>
          <w:ilvl w:val="0"/>
          <w:numId w:val="57"/>
        </w:numPr>
        <w:tabs>
          <w:tab w:val="left" w:pos="993"/>
        </w:tabs>
        <w:spacing w:after="0" w:line="240" w:lineRule="auto"/>
        <w:ind w:left="0" w:firstLine="709"/>
        <w:jc w:val="both"/>
        <w:rPr>
          <w:rFonts w:ascii="Times New Roman" w:hAnsi="Times New Roman" w:cs="Times New Roman"/>
        </w:rPr>
      </w:pPr>
      <w:r>
        <w:rPr>
          <w:rFonts w:ascii="Times New Roman" w:hAnsi="Times New Roman" w:cs="Times New Roman"/>
          <w:iCs/>
          <w:sz w:val="24"/>
          <w:szCs w:val="24"/>
        </w:rPr>
        <w:t>Выполнение мероприятий по повышению надежности в рамках подготовки персонала ПАО «</w:t>
      </w:r>
      <w:r>
        <w:rPr>
          <w:rFonts w:ascii="Times New Roman" w:eastAsia="Calibri" w:hAnsi="Times New Roman" w:cs="Times New Roman"/>
          <w:sz w:val="24"/>
          <w:szCs w:val="24"/>
        </w:rPr>
        <w:t>Россети Сибирь</w:t>
      </w:r>
      <w:r>
        <w:rPr>
          <w:rFonts w:ascii="Times New Roman" w:hAnsi="Times New Roman" w:cs="Times New Roman"/>
          <w:iCs/>
          <w:sz w:val="24"/>
          <w:szCs w:val="24"/>
        </w:rPr>
        <w:t>».</w:t>
      </w: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sectPr w:rsidR="00D602D4">
          <w:pgSz w:w="11906" w:h="16838"/>
          <w:pgMar w:top="567" w:right="851" w:bottom="425" w:left="1276" w:header="720" w:footer="720" w:gutter="0"/>
          <w:cols w:space="720"/>
          <w:titlePg/>
          <w:docGrid w:linePitch="360"/>
        </w:sectPr>
      </w:pPr>
    </w:p>
    <w:p w:rsidR="00D602D4" w:rsidRDefault="00D602D4">
      <w:pPr>
        <w:spacing w:after="0" w:line="240" w:lineRule="auto"/>
        <w:jc w:val="both"/>
        <w:rPr>
          <w:rFonts w:ascii="Times New Roman" w:hAnsi="Times New Roman" w:cs="Times New Roman"/>
          <w:sz w:val="24"/>
          <w:szCs w:val="24"/>
        </w:rPr>
      </w:pPr>
    </w:p>
    <w:p w:rsidR="00D602D4" w:rsidRDefault="000B4C86">
      <w:pPr>
        <w:widowControl w:val="0"/>
        <w:spacing w:after="0" w:line="240" w:lineRule="auto"/>
        <w:jc w:val="right"/>
        <w:rPr>
          <w:rFonts w:ascii="Times New Roman" w:hAnsi="Times New Roman" w:cs="Times New Roman"/>
          <w:sz w:val="24"/>
          <w:szCs w:val="24"/>
        </w:rPr>
      </w:pPr>
      <w:r>
        <w:rPr>
          <w:rFonts w:ascii="Times New Roman" w:hAnsi="Times New Roman" w:cs="Times New Roman"/>
          <w:sz w:val="24"/>
          <w:szCs w:val="24"/>
        </w:rPr>
        <w:t>Таблица 18</w:t>
      </w:r>
    </w:p>
    <w:p w:rsidR="00D602D4" w:rsidRDefault="000B4C86">
      <w:pPr>
        <w:widowControl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Достижение уровня надежности оказываемых услуг в 2024 году</w:t>
      </w:r>
    </w:p>
    <w:tbl>
      <w:tblPr>
        <w:tblW w:w="15080" w:type="dxa"/>
        <w:tblCellMar>
          <w:left w:w="0" w:type="dxa"/>
          <w:right w:w="0" w:type="dxa"/>
        </w:tblCellMar>
        <w:tblLook w:val="0600" w:firstRow="0" w:lastRow="0" w:firstColumn="0" w:lastColumn="0" w:noHBand="1" w:noVBand="1"/>
      </w:tblPr>
      <w:tblGrid>
        <w:gridCol w:w="2400"/>
        <w:gridCol w:w="1418"/>
        <w:gridCol w:w="1857"/>
        <w:gridCol w:w="1793"/>
        <w:gridCol w:w="1793"/>
        <w:gridCol w:w="1802"/>
        <w:gridCol w:w="2126"/>
        <w:gridCol w:w="1891"/>
      </w:tblGrid>
      <w:tr w:rsidR="00D602D4">
        <w:trPr>
          <w:trHeight w:val="366"/>
        </w:trPr>
        <w:tc>
          <w:tcPr>
            <w:tcW w:w="2400" w:type="dxa"/>
            <w:vMerge w:val="restart"/>
            <w:tcBorders>
              <w:top w:val="single" w:sz="8" w:space="0" w:color="000000"/>
              <w:left w:val="single" w:sz="8" w:space="0" w:color="000000"/>
              <w:right w:val="single" w:sz="8" w:space="0" w:color="000000"/>
            </w:tcBorders>
            <w:shd w:val="clear" w:color="FFFFFF" w:fill="EBF1DE"/>
            <w:vAlign w:val="center"/>
          </w:tcPr>
          <w:p w:rsidR="00D602D4" w:rsidRDefault="000B4C86">
            <w:pPr>
              <w:spacing w:after="0" w:line="240" w:lineRule="auto"/>
              <w:rPr>
                <w:rFonts w:ascii="Times New Roman" w:eastAsia="Times New Roman" w:hAnsi="Times New Roman" w:cs="Times New Roman"/>
                <w:sz w:val="18"/>
                <w:szCs w:val="18"/>
                <w:lang w:eastAsia="ru-RU"/>
              </w:rPr>
            </w:pPr>
            <w:r>
              <w:rPr>
                <w:rFonts w:ascii="Times New Roman" w:eastAsia="Arial" w:hAnsi="Times New Roman" w:cs="Times New Roman"/>
                <w:b/>
                <w:bCs/>
                <w:sz w:val="18"/>
                <w:szCs w:val="18"/>
                <w:lang w:eastAsia="ru-RU"/>
              </w:rPr>
              <w:t>Наименование филиала</w:t>
            </w:r>
          </w:p>
        </w:tc>
        <w:tc>
          <w:tcPr>
            <w:tcW w:w="1418" w:type="dxa"/>
            <w:vMerge w:val="restart"/>
            <w:tcBorders>
              <w:top w:val="single" w:sz="8" w:space="0" w:color="000000"/>
              <w:left w:val="single" w:sz="8" w:space="0" w:color="000000"/>
              <w:right w:val="single" w:sz="8" w:space="0" w:color="000000"/>
            </w:tcBorders>
            <w:shd w:val="clear" w:color="FFFFFF" w:fill="EBF1DE"/>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b/>
                <w:bCs/>
                <w:sz w:val="18"/>
                <w:szCs w:val="18"/>
                <w:lang w:eastAsia="ru-RU"/>
              </w:rPr>
              <w:t>Уровни напряжений</w:t>
            </w:r>
          </w:p>
        </w:tc>
        <w:tc>
          <w:tcPr>
            <w:tcW w:w="5443" w:type="dxa"/>
            <w:gridSpan w:val="3"/>
            <w:tcBorders>
              <w:top w:val="single" w:sz="8" w:space="0" w:color="000000"/>
              <w:left w:val="single" w:sz="8" w:space="0" w:color="000000"/>
              <w:bottom w:val="single" w:sz="8" w:space="0" w:color="000000"/>
              <w:right w:val="single" w:sz="8" w:space="0" w:color="000000"/>
            </w:tcBorders>
            <w:shd w:val="clear" w:color="FFFFFF" w:fill="EBF1DE"/>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b/>
                <w:bCs/>
                <w:sz w:val="18"/>
                <w:szCs w:val="18"/>
                <w:lang w:eastAsia="ru-RU"/>
              </w:rPr>
              <w:t>Пsaidi за январь-декабрь 2024</w:t>
            </w:r>
          </w:p>
        </w:tc>
        <w:tc>
          <w:tcPr>
            <w:tcW w:w="5819" w:type="dxa"/>
            <w:gridSpan w:val="3"/>
            <w:tcBorders>
              <w:top w:val="single" w:sz="8" w:space="0" w:color="000000"/>
              <w:left w:val="single" w:sz="8" w:space="0" w:color="000000"/>
              <w:bottom w:val="single" w:sz="8" w:space="0" w:color="000000"/>
              <w:right w:val="single" w:sz="8" w:space="0" w:color="000000"/>
            </w:tcBorders>
            <w:shd w:val="clear" w:color="FFFFFF" w:fill="EBF1DE"/>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b/>
                <w:bCs/>
                <w:sz w:val="18"/>
                <w:szCs w:val="18"/>
                <w:lang w:eastAsia="ru-RU"/>
              </w:rPr>
              <w:t>Пsaifi за январь-декабрь 2024</w:t>
            </w:r>
          </w:p>
        </w:tc>
      </w:tr>
      <w:tr w:rsidR="00D602D4">
        <w:trPr>
          <w:trHeight w:val="564"/>
        </w:trPr>
        <w:tc>
          <w:tcPr>
            <w:tcW w:w="2400" w:type="dxa"/>
            <w:vMerge/>
            <w:tcBorders>
              <w:left w:val="single" w:sz="8" w:space="0" w:color="000000"/>
              <w:bottom w:val="single" w:sz="8" w:space="0" w:color="000000"/>
              <w:right w:val="single" w:sz="8" w:space="0" w:color="000000"/>
            </w:tcBorders>
            <w:shd w:val="clear" w:color="FFFFFF" w:fill="EBF1DE"/>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418" w:type="dxa"/>
            <w:vMerge/>
            <w:tcBorders>
              <w:left w:val="single" w:sz="8" w:space="0" w:color="000000"/>
              <w:bottom w:val="single" w:sz="8" w:space="0" w:color="000000"/>
              <w:right w:val="single" w:sz="8" w:space="0" w:color="000000"/>
            </w:tcBorders>
            <w:shd w:val="clear" w:color="FFFFFF" w:fill="EBF1DE"/>
            <w:vAlign w:val="center"/>
          </w:tcPr>
          <w:p w:rsidR="00D602D4" w:rsidRDefault="00D602D4">
            <w:pPr>
              <w:spacing w:after="0" w:line="240" w:lineRule="auto"/>
              <w:jc w:val="center"/>
              <w:rPr>
                <w:rFonts w:ascii="Times New Roman" w:eastAsia="Times New Roman" w:hAnsi="Times New Roman" w:cs="Times New Roman"/>
                <w:sz w:val="18"/>
                <w:szCs w:val="18"/>
                <w:lang w:eastAsia="ru-RU"/>
              </w:rPr>
            </w:pPr>
          </w:p>
        </w:tc>
        <w:tc>
          <w:tcPr>
            <w:tcW w:w="1857" w:type="dxa"/>
            <w:tcBorders>
              <w:top w:val="single" w:sz="8" w:space="0" w:color="000000"/>
              <w:left w:val="single" w:sz="8" w:space="0" w:color="000000"/>
              <w:bottom w:val="single" w:sz="8" w:space="0" w:color="000000"/>
              <w:right w:val="single" w:sz="8" w:space="0" w:color="000000"/>
            </w:tcBorders>
            <w:shd w:val="clear" w:color="FFFFFF" w:fill="EBF1DE"/>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Оценка</w:t>
            </w:r>
          </w:p>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выполнения, %</w:t>
            </w:r>
          </w:p>
        </w:tc>
        <w:tc>
          <w:tcPr>
            <w:tcW w:w="1793" w:type="dxa"/>
            <w:tcBorders>
              <w:top w:val="single" w:sz="8" w:space="0" w:color="000000"/>
              <w:left w:val="single" w:sz="8" w:space="0" w:color="000000"/>
              <w:bottom w:val="single" w:sz="8" w:space="0" w:color="000000"/>
              <w:right w:val="single" w:sz="8" w:space="0" w:color="000000"/>
            </w:tcBorders>
            <w:shd w:val="clear" w:color="FFFFFF" w:fill="EBF1DE"/>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План</w:t>
            </w:r>
          </w:p>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Пsaidi, час.</w:t>
            </w:r>
          </w:p>
        </w:tc>
        <w:tc>
          <w:tcPr>
            <w:tcW w:w="1793" w:type="dxa"/>
            <w:tcBorders>
              <w:top w:val="single" w:sz="8" w:space="0" w:color="000000"/>
              <w:left w:val="single" w:sz="8" w:space="0" w:color="000000"/>
              <w:bottom w:val="single" w:sz="8" w:space="0" w:color="000000"/>
              <w:right w:val="single" w:sz="8" w:space="0" w:color="000000"/>
            </w:tcBorders>
            <w:shd w:val="clear" w:color="FFFFFF" w:fill="EBF1DE"/>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Факт</w:t>
            </w:r>
          </w:p>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П</w:t>
            </w:r>
            <w:r>
              <w:rPr>
                <w:rFonts w:ascii="Times New Roman" w:eastAsia="Arial" w:hAnsi="Times New Roman" w:cs="Times New Roman"/>
                <w:b/>
                <w:sz w:val="18"/>
                <w:szCs w:val="18"/>
                <w:lang w:val="en-US" w:eastAsia="ru-RU"/>
              </w:rPr>
              <w:t>saidi</w:t>
            </w:r>
            <w:r>
              <w:rPr>
                <w:rFonts w:ascii="Times New Roman" w:eastAsia="Arial" w:hAnsi="Times New Roman" w:cs="Times New Roman"/>
                <w:b/>
                <w:sz w:val="18"/>
                <w:szCs w:val="18"/>
                <w:lang w:eastAsia="ru-RU"/>
              </w:rPr>
              <w:t>, час.</w:t>
            </w:r>
          </w:p>
        </w:tc>
        <w:tc>
          <w:tcPr>
            <w:tcW w:w="1802" w:type="dxa"/>
            <w:tcBorders>
              <w:top w:val="single" w:sz="8" w:space="0" w:color="000000"/>
              <w:left w:val="single" w:sz="8" w:space="0" w:color="000000"/>
              <w:bottom w:val="single" w:sz="8" w:space="0" w:color="000000"/>
              <w:right w:val="single" w:sz="8" w:space="0" w:color="000000"/>
            </w:tcBorders>
            <w:shd w:val="clear" w:color="FFFFFF" w:fill="EBF1DE"/>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Оценка</w:t>
            </w:r>
          </w:p>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выполнения, %</w:t>
            </w:r>
          </w:p>
        </w:tc>
        <w:tc>
          <w:tcPr>
            <w:tcW w:w="2126" w:type="dxa"/>
            <w:tcBorders>
              <w:top w:val="single" w:sz="8" w:space="0" w:color="000000"/>
              <w:left w:val="single" w:sz="8" w:space="0" w:color="000000"/>
              <w:bottom w:val="single" w:sz="8" w:space="0" w:color="000000"/>
              <w:right w:val="single" w:sz="8" w:space="0" w:color="000000"/>
            </w:tcBorders>
            <w:shd w:val="clear" w:color="FFFFFF" w:fill="EBF1DE"/>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План</w:t>
            </w:r>
          </w:p>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П</w:t>
            </w:r>
            <w:r>
              <w:rPr>
                <w:rFonts w:ascii="Times New Roman" w:eastAsia="Arial" w:hAnsi="Times New Roman" w:cs="Times New Roman"/>
                <w:b/>
                <w:sz w:val="18"/>
                <w:szCs w:val="18"/>
                <w:lang w:val="en-US" w:eastAsia="ru-RU"/>
              </w:rPr>
              <w:t>saifi</w:t>
            </w:r>
            <w:r>
              <w:rPr>
                <w:rFonts w:ascii="Times New Roman" w:eastAsia="Arial" w:hAnsi="Times New Roman" w:cs="Times New Roman"/>
                <w:b/>
                <w:sz w:val="18"/>
                <w:szCs w:val="18"/>
                <w:lang w:eastAsia="ru-RU"/>
              </w:rPr>
              <w:t>, шт.</w:t>
            </w:r>
          </w:p>
        </w:tc>
        <w:tc>
          <w:tcPr>
            <w:tcW w:w="1891" w:type="dxa"/>
            <w:tcBorders>
              <w:top w:val="single" w:sz="8" w:space="0" w:color="000000"/>
              <w:left w:val="single" w:sz="8" w:space="0" w:color="000000"/>
              <w:bottom w:val="single" w:sz="8" w:space="0" w:color="000000"/>
              <w:right w:val="single" w:sz="8" w:space="0" w:color="000000"/>
            </w:tcBorders>
            <w:shd w:val="clear" w:color="FFFFFF" w:fill="EBF1DE"/>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Факт</w:t>
            </w:r>
          </w:p>
          <w:p w:rsidR="00D602D4" w:rsidRDefault="000B4C86">
            <w:pPr>
              <w:spacing w:after="0" w:line="240" w:lineRule="auto"/>
              <w:jc w:val="center"/>
              <w:rPr>
                <w:rFonts w:ascii="Times New Roman" w:eastAsia="Times New Roman" w:hAnsi="Times New Roman" w:cs="Times New Roman"/>
                <w:b/>
                <w:sz w:val="18"/>
                <w:szCs w:val="18"/>
                <w:lang w:eastAsia="ru-RU"/>
              </w:rPr>
            </w:pPr>
            <w:r>
              <w:rPr>
                <w:rFonts w:ascii="Times New Roman" w:eastAsia="Arial" w:hAnsi="Times New Roman" w:cs="Times New Roman"/>
                <w:b/>
                <w:sz w:val="18"/>
                <w:szCs w:val="18"/>
                <w:lang w:eastAsia="ru-RU"/>
              </w:rPr>
              <w:t>П</w:t>
            </w:r>
            <w:r>
              <w:rPr>
                <w:rFonts w:ascii="Times New Roman" w:eastAsia="Arial" w:hAnsi="Times New Roman" w:cs="Times New Roman"/>
                <w:b/>
                <w:sz w:val="18"/>
                <w:szCs w:val="18"/>
                <w:lang w:val="en-US" w:eastAsia="ru-RU"/>
              </w:rPr>
              <w:t>saifi</w:t>
            </w:r>
            <w:r>
              <w:rPr>
                <w:rFonts w:ascii="Times New Roman" w:eastAsia="Arial" w:hAnsi="Times New Roman" w:cs="Times New Roman"/>
                <w:b/>
                <w:sz w:val="18"/>
                <w:szCs w:val="18"/>
                <w:lang w:eastAsia="ru-RU"/>
              </w:rPr>
              <w:t>, шт.</w:t>
            </w:r>
          </w:p>
        </w:tc>
      </w:tr>
      <w:tr w:rsidR="00D602D4">
        <w:trPr>
          <w:trHeight w:val="340"/>
        </w:trPr>
        <w:tc>
          <w:tcPr>
            <w:tcW w:w="2400"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Алтайэнерго</w:t>
            </w:r>
          </w:p>
        </w:tc>
        <w:tc>
          <w:tcPr>
            <w:tcW w:w="1418" w:type="dxa"/>
            <w:tcBorders>
              <w:top w:val="single" w:sz="8" w:space="0" w:color="000000"/>
              <w:left w:val="single" w:sz="8" w:space="0" w:color="000000"/>
              <w:bottom w:val="single" w:sz="8" w:space="0" w:color="000000"/>
              <w:right w:val="single" w:sz="8" w:space="0" w:color="000000"/>
            </w:tcBorders>
            <w:shd w:val="clear" w:color="FFFFFF" w:fill="BFBFBF"/>
            <w:tcMar>
              <w:top w:w="6" w:type="dxa"/>
              <w:left w:w="6" w:type="dxa"/>
              <w:bottom w:w="0" w:type="dxa"/>
              <w:right w:w="6" w:type="dxa"/>
            </w:tcMar>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857"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-3,4</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1,60060</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1,54595</w:t>
            </w:r>
          </w:p>
        </w:tc>
        <w:tc>
          <w:tcPr>
            <w:tcW w:w="1802" w:type="dxa"/>
            <w:tcBorders>
              <w:top w:val="single" w:sz="8" w:space="0" w:color="000000"/>
              <w:left w:val="single" w:sz="8" w:space="0" w:color="000000"/>
              <w:bottom w:val="single" w:sz="8" w:space="0" w:color="000000"/>
              <w:right w:val="single" w:sz="8" w:space="0" w:color="000000"/>
            </w:tcBorders>
            <w:shd w:val="clear" w:color="FFFFFF" w:fill="F7CAAC" w:themeFill="accent2" w:themeFillTint="66"/>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15,3</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1,34140</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1,54604</w:t>
            </w:r>
          </w:p>
        </w:tc>
      </w:tr>
      <w:tr w:rsidR="00D602D4">
        <w:trPr>
          <w:trHeight w:val="340"/>
        </w:trPr>
        <w:tc>
          <w:tcPr>
            <w:tcW w:w="2400"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Алтайэнерго (ПО ГАЭС)</w:t>
            </w:r>
          </w:p>
        </w:tc>
        <w:tc>
          <w:tcPr>
            <w:tcW w:w="1418" w:type="dxa"/>
            <w:tcBorders>
              <w:top w:val="single" w:sz="8" w:space="0" w:color="000000"/>
              <w:left w:val="single" w:sz="8" w:space="0" w:color="000000"/>
              <w:bottom w:val="single" w:sz="8" w:space="0" w:color="000000"/>
              <w:right w:val="single" w:sz="8" w:space="0" w:color="000000"/>
            </w:tcBorders>
            <w:shd w:val="clear" w:color="FFFFFF" w:fill="BFBFBF"/>
            <w:tcMar>
              <w:top w:w="6" w:type="dxa"/>
              <w:left w:w="6" w:type="dxa"/>
              <w:bottom w:w="0" w:type="dxa"/>
              <w:right w:w="6" w:type="dxa"/>
            </w:tcMar>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857" w:type="dxa"/>
            <w:tcBorders>
              <w:top w:val="single" w:sz="8" w:space="0" w:color="000000"/>
              <w:left w:val="single" w:sz="8" w:space="0" w:color="000000"/>
              <w:bottom w:val="single" w:sz="8" w:space="0" w:color="000000"/>
              <w:right w:val="single" w:sz="8" w:space="0" w:color="000000"/>
            </w:tcBorders>
            <w:shd w:val="clear" w:color="FFFFFF" w:fill="EFBFB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25,2</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2,22430</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2,78584</w:t>
            </w:r>
          </w:p>
        </w:tc>
        <w:tc>
          <w:tcPr>
            <w:tcW w:w="1802" w:type="dxa"/>
            <w:tcBorders>
              <w:top w:val="single" w:sz="8" w:space="0" w:color="000000"/>
              <w:left w:val="single" w:sz="8" w:space="0" w:color="000000"/>
              <w:bottom w:val="single" w:sz="8" w:space="0" w:color="000000"/>
              <w:right w:val="single" w:sz="8" w:space="0" w:color="000000"/>
            </w:tcBorders>
            <w:shd w:val="clear" w:color="FFFFFF" w:fill="F7CAAC" w:themeFill="accent2" w:themeFillTint="66"/>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25,6</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2,20810</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2,77447</w:t>
            </w:r>
          </w:p>
        </w:tc>
      </w:tr>
      <w:tr w:rsidR="00D602D4">
        <w:trPr>
          <w:trHeight w:val="340"/>
        </w:trPr>
        <w:tc>
          <w:tcPr>
            <w:tcW w:w="2400" w:type="dxa"/>
            <w:vMerge w:val="restart"/>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Бурятэнерго</w:t>
            </w:r>
          </w:p>
        </w:tc>
        <w:tc>
          <w:tcPr>
            <w:tcW w:w="1418"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ВН</w:t>
            </w:r>
          </w:p>
        </w:tc>
        <w:tc>
          <w:tcPr>
            <w:tcW w:w="1857"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-25,1</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0,28563</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0,21401</w:t>
            </w:r>
          </w:p>
        </w:tc>
        <w:tc>
          <w:tcPr>
            <w:tcW w:w="1802"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-46,0</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0,33126</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0,17881</w:t>
            </w:r>
          </w:p>
        </w:tc>
      </w:tr>
      <w:tr w:rsidR="00D602D4">
        <w:trPr>
          <w:trHeight w:val="340"/>
        </w:trPr>
        <w:tc>
          <w:tcPr>
            <w:tcW w:w="2400" w:type="dxa"/>
            <w:vMerge/>
            <w:tcBorders>
              <w:top w:val="single" w:sz="8" w:space="0" w:color="000000"/>
              <w:left w:val="single" w:sz="8" w:space="0" w:color="000000"/>
              <w:bottom w:val="single" w:sz="8" w:space="0" w:color="000000"/>
              <w:right w:val="single" w:sz="8" w:space="0" w:color="000000"/>
            </w:tcBorders>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СН-1</w:t>
            </w:r>
          </w:p>
        </w:tc>
        <w:tc>
          <w:tcPr>
            <w:tcW w:w="1857"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-72,2</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0,67595</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0,18777</w:t>
            </w:r>
          </w:p>
        </w:tc>
        <w:tc>
          <w:tcPr>
            <w:tcW w:w="1802"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-49,7</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0,34621</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0,17431</w:t>
            </w:r>
          </w:p>
        </w:tc>
      </w:tr>
      <w:tr w:rsidR="00D602D4">
        <w:trPr>
          <w:trHeight w:val="340"/>
        </w:trPr>
        <w:tc>
          <w:tcPr>
            <w:tcW w:w="2400" w:type="dxa"/>
            <w:vMerge/>
            <w:tcBorders>
              <w:top w:val="single" w:sz="8" w:space="0" w:color="000000"/>
              <w:left w:val="single" w:sz="8" w:space="0" w:color="000000"/>
              <w:bottom w:val="single" w:sz="8" w:space="0" w:color="000000"/>
              <w:right w:val="single" w:sz="8" w:space="0" w:color="000000"/>
            </w:tcBorders>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СН-2</w:t>
            </w:r>
          </w:p>
        </w:tc>
        <w:tc>
          <w:tcPr>
            <w:tcW w:w="1857" w:type="dxa"/>
            <w:tcBorders>
              <w:top w:val="single" w:sz="8" w:space="0" w:color="000000"/>
              <w:left w:val="single" w:sz="8" w:space="0" w:color="000000"/>
              <w:bottom w:val="single" w:sz="8" w:space="0" w:color="000000"/>
              <w:right w:val="single" w:sz="8" w:space="0" w:color="000000"/>
            </w:tcBorders>
            <w:shd w:val="clear" w:color="FFFFFF" w:fill="F7CAAC" w:themeFill="accent2" w:themeFillTint="66"/>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0,5</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2,75270</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2,76685</w:t>
            </w:r>
          </w:p>
        </w:tc>
        <w:tc>
          <w:tcPr>
            <w:tcW w:w="1802" w:type="dxa"/>
            <w:tcBorders>
              <w:top w:val="single" w:sz="8" w:space="0" w:color="000000"/>
              <w:left w:val="single" w:sz="8" w:space="0" w:color="000000"/>
              <w:bottom w:val="single" w:sz="8" w:space="0" w:color="000000"/>
              <w:right w:val="single" w:sz="8" w:space="0" w:color="000000"/>
            </w:tcBorders>
            <w:shd w:val="clear" w:color="FFFFFF" w:fill="F7CAAC" w:themeFill="accent2" w:themeFillTint="66"/>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5,7</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2,14394</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2,26704</w:t>
            </w:r>
          </w:p>
        </w:tc>
      </w:tr>
      <w:tr w:rsidR="00D602D4">
        <w:trPr>
          <w:trHeight w:val="340"/>
        </w:trPr>
        <w:tc>
          <w:tcPr>
            <w:tcW w:w="2400" w:type="dxa"/>
            <w:vMerge/>
            <w:tcBorders>
              <w:top w:val="single" w:sz="8" w:space="0" w:color="000000"/>
              <w:left w:val="single" w:sz="8" w:space="0" w:color="000000"/>
              <w:bottom w:val="single" w:sz="8" w:space="0" w:color="000000"/>
              <w:right w:val="single" w:sz="8" w:space="0" w:color="000000"/>
            </w:tcBorders>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НН</w:t>
            </w:r>
          </w:p>
        </w:tc>
        <w:tc>
          <w:tcPr>
            <w:tcW w:w="1857" w:type="dxa"/>
            <w:tcBorders>
              <w:top w:val="single" w:sz="8" w:space="0" w:color="000000"/>
              <w:left w:val="single" w:sz="8" w:space="0" w:color="000000"/>
              <w:bottom w:val="single" w:sz="8" w:space="0" w:color="000000"/>
              <w:right w:val="single" w:sz="8" w:space="0" w:color="000000"/>
            </w:tcBorders>
            <w:shd w:val="clear" w:color="FFFFFF" w:fill="F7CAAC" w:themeFill="accent2" w:themeFillTint="66"/>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10,5</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2,27459</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2,51381</w:t>
            </w:r>
          </w:p>
        </w:tc>
        <w:tc>
          <w:tcPr>
            <w:tcW w:w="1802" w:type="dxa"/>
            <w:tcBorders>
              <w:top w:val="single" w:sz="8" w:space="0" w:color="000000"/>
              <w:left w:val="single" w:sz="8" w:space="0" w:color="000000"/>
              <w:bottom w:val="single" w:sz="8" w:space="0" w:color="000000"/>
              <w:right w:val="single" w:sz="8" w:space="0" w:color="000000"/>
            </w:tcBorders>
            <w:shd w:val="clear" w:color="FFFFFF" w:fill="F7CAAC" w:themeFill="accent2" w:themeFillTint="66"/>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9,2</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1,73102</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1,88996</w:t>
            </w:r>
          </w:p>
        </w:tc>
      </w:tr>
      <w:tr w:rsidR="00D602D4">
        <w:trPr>
          <w:trHeight w:val="340"/>
        </w:trPr>
        <w:tc>
          <w:tcPr>
            <w:tcW w:w="2400"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Красноярскэнерго</w:t>
            </w:r>
          </w:p>
        </w:tc>
        <w:tc>
          <w:tcPr>
            <w:tcW w:w="1418" w:type="dxa"/>
            <w:tcBorders>
              <w:top w:val="single" w:sz="8" w:space="0" w:color="000000"/>
              <w:left w:val="single" w:sz="8" w:space="0" w:color="000000"/>
              <w:bottom w:val="single" w:sz="8" w:space="0" w:color="000000"/>
              <w:right w:val="single" w:sz="8" w:space="0" w:color="000000"/>
            </w:tcBorders>
            <w:shd w:val="clear" w:color="FFFFFF" w:fill="BFBFBF"/>
            <w:tcMar>
              <w:top w:w="6" w:type="dxa"/>
              <w:left w:w="6" w:type="dxa"/>
              <w:bottom w:w="0" w:type="dxa"/>
              <w:right w:w="6" w:type="dxa"/>
            </w:tcMar>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857"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-5,0</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2,39234</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2,27329</w:t>
            </w:r>
          </w:p>
        </w:tc>
        <w:tc>
          <w:tcPr>
            <w:tcW w:w="1802"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-29,5</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1,73895</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1,22614</w:t>
            </w:r>
          </w:p>
        </w:tc>
      </w:tr>
      <w:tr w:rsidR="00D602D4">
        <w:trPr>
          <w:trHeight w:val="340"/>
        </w:trPr>
        <w:tc>
          <w:tcPr>
            <w:tcW w:w="2400" w:type="dxa"/>
            <w:vMerge w:val="restart"/>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Кузбассэнерго-РЭС</w:t>
            </w:r>
          </w:p>
        </w:tc>
        <w:tc>
          <w:tcPr>
            <w:tcW w:w="1418"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ВН</w:t>
            </w:r>
          </w:p>
        </w:tc>
        <w:tc>
          <w:tcPr>
            <w:tcW w:w="1857"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-100,0</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0,00081</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0,00000</w:t>
            </w:r>
          </w:p>
        </w:tc>
        <w:tc>
          <w:tcPr>
            <w:tcW w:w="1802"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-100,0</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0,00555</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0,00000</w:t>
            </w:r>
          </w:p>
        </w:tc>
      </w:tr>
      <w:tr w:rsidR="00D602D4">
        <w:trPr>
          <w:trHeight w:val="340"/>
        </w:trPr>
        <w:tc>
          <w:tcPr>
            <w:tcW w:w="2400" w:type="dxa"/>
            <w:vMerge/>
            <w:tcBorders>
              <w:top w:val="single" w:sz="8" w:space="0" w:color="000000"/>
              <w:left w:val="single" w:sz="8" w:space="0" w:color="000000"/>
              <w:bottom w:val="single" w:sz="8" w:space="0" w:color="000000"/>
              <w:right w:val="single" w:sz="8" w:space="0" w:color="000000"/>
            </w:tcBorders>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СН-1</w:t>
            </w:r>
          </w:p>
        </w:tc>
        <w:tc>
          <w:tcPr>
            <w:tcW w:w="1857"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-81,8</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0,02177</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0,00396</w:t>
            </w:r>
          </w:p>
        </w:tc>
        <w:tc>
          <w:tcPr>
            <w:tcW w:w="1802"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-49,0</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0,04659</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0,02374</w:t>
            </w:r>
          </w:p>
        </w:tc>
      </w:tr>
      <w:tr w:rsidR="00D602D4">
        <w:trPr>
          <w:trHeight w:val="340"/>
        </w:trPr>
        <w:tc>
          <w:tcPr>
            <w:tcW w:w="2400" w:type="dxa"/>
            <w:vMerge/>
            <w:tcBorders>
              <w:top w:val="single" w:sz="8" w:space="0" w:color="000000"/>
              <w:left w:val="single" w:sz="8" w:space="0" w:color="000000"/>
              <w:bottom w:val="single" w:sz="8" w:space="0" w:color="000000"/>
              <w:right w:val="single" w:sz="8" w:space="0" w:color="000000"/>
            </w:tcBorders>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СН-2</w:t>
            </w:r>
          </w:p>
        </w:tc>
        <w:tc>
          <w:tcPr>
            <w:tcW w:w="1857" w:type="dxa"/>
            <w:tcBorders>
              <w:top w:val="single" w:sz="8" w:space="0" w:color="000000"/>
              <w:left w:val="single" w:sz="8" w:space="0" w:color="000000"/>
              <w:bottom w:val="single" w:sz="8" w:space="0" w:color="000000"/>
              <w:right w:val="single" w:sz="8" w:space="0" w:color="000000"/>
            </w:tcBorders>
            <w:shd w:val="clear" w:color="FFFFFF" w:fill="F7CAAC" w:themeFill="accent2" w:themeFillTint="66"/>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0,3</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1,08190</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1,08496</w:t>
            </w:r>
          </w:p>
        </w:tc>
        <w:tc>
          <w:tcPr>
            <w:tcW w:w="1802"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-19,5</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1,09219</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0,87950</w:t>
            </w:r>
          </w:p>
        </w:tc>
      </w:tr>
      <w:tr w:rsidR="00D602D4">
        <w:trPr>
          <w:trHeight w:val="340"/>
        </w:trPr>
        <w:tc>
          <w:tcPr>
            <w:tcW w:w="2400" w:type="dxa"/>
            <w:vMerge/>
            <w:tcBorders>
              <w:top w:val="single" w:sz="8" w:space="0" w:color="000000"/>
              <w:left w:val="single" w:sz="8" w:space="0" w:color="000000"/>
              <w:bottom w:val="single" w:sz="8" w:space="0" w:color="000000"/>
              <w:right w:val="single" w:sz="8" w:space="0" w:color="000000"/>
            </w:tcBorders>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418"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НН</w:t>
            </w:r>
          </w:p>
        </w:tc>
        <w:tc>
          <w:tcPr>
            <w:tcW w:w="1857" w:type="dxa"/>
            <w:tcBorders>
              <w:top w:val="single" w:sz="8" w:space="0" w:color="000000"/>
              <w:left w:val="single" w:sz="8" w:space="0" w:color="000000"/>
              <w:bottom w:val="single" w:sz="8" w:space="0" w:color="000000"/>
              <w:right w:val="single" w:sz="8" w:space="0" w:color="000000"/>
            </w:tcBorders>
            <w:shd w:val="clear" w:color="FFFFFF" w:fill="F7CAAC" w:themeFill="accent2" w:themeFillTint="66"/>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5,0</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2,28450</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2,39944</w:t>
            </w:r>
          </w:p>
        </w:tc>
        <w:tc>
          <w:tcPr>
            <w:tcW w:w="1802"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-15,4</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2,20020</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1,86161</w:t>
            </w:r>
          </w:p>
        </w:tc>
      </w:tr>
      <w:tr w:rsidR="00D602D4">
        <w:trPr>
          <w:trHeight w:val="340"/>
        </w:trPr>
        <w:tc>
          <w:tcPr>
            <w:tcW w:w="2400"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Омскэнерго</w:t>
            </w:r>
          </w:p>
        </w:tc>
        <w:tc>
          <w:tcPr>
            <w:tcW w:w="1418" w:type="dxa"/>
            <w:tcBorders>
              <w:top w:val="single" w:sz="8" w:space="0" w:color="000000"/>
              <w:left w:val="single" w:sz="8" w:space="0" w:color="000000"/>
              <w:bottom w:val="single" w:sz="8" w:space="0" w:color="000000"/>
              <w:right w:val="single" w:sz="8" w:space="0" w:color="000000"/>
            </w:tcBorders>
            <w:shd w:val="clear" w:color="FFFFFF" w:fill="BFBFBF"/>
            <w:tcMar>
              <w:top w:w="6" w:type="dxa"/>
              <w:left w:w="6" w:type="dxa"/>
              <w:bottom w:w="0" w:type="dxa"/>
              <w:right w:w="6" w:type="dxa"/>
            </w:tcMar>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857"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-5,6</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0,38520</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0,36358</w:t>
            </w:r>
          </w:p>
        </w:tc>
        <w:tc>
          <w:tcPr>
            <w:tcW w:w="1802"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-10,6</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0,39780</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0,35570</w:t>
            </w:r>
          </w:p>
        </w:tc>
      </w:tr>
      <w:tr w:rsidR="00D602D4">
        <w:trPr>
          <w:trHeight w:val="340"/>
        </w:trPr>
        <w:tc>
          <w:tcPr>
            <w:tcW w:w="2400"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Хакасэнерго</w:t>
            </w:r>
          </w:p>
        </w:tc>
        <w:tc>
          <w:tcPr>
            <w:tcW w:w="1418" w:type="dxa"/>
            <w:tcBorders>
              <w:top w:val="single" w:sz="8" w:space="0" w:color="000000"/>
              <w:left w:val="single" w:sz="8" w:space="0" w:color="000000"/>
              <w:bottom w:val="single" w:sz="8" w:space="0" w:color="000000"/>
              <w:right w:val="single" w:sz="8" w:space="0" w:color="000000"/>
            </w:tcBorders>
            <w:shd w:val="clear" w:color="FFFFFF" w:fill="BFBFBF"/>
            <w:tcMar>
              <w:top w:w="6" w:type="dxa"/>
              <w:left w:w="6" w:type="dxa"/>
              <w:bottom w:w="0" w:type="dxa"/>
              <w:right w:w="6" w:type="dxa"/>
            </w:tcMar>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857" w:type="dxa"/>
            <w:tcBorders>
              <w:top w:val="single" w:sz="8" w:space="0" w:color="000000"/>
              <w:left w:val="single" w:sz="8" w:space="0" w:color="000000"/>
              <w:bottom w:val="single" w:sz="8" w:space="0" w:color="000000"/>
              <w:right w:val="single" w:sz="8" w:space="0" w:color="000000"/>
            </w:tcBorders>
            <w:shd w:val="clear" w:color="FFFFFF" w:fill="EFBFB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17,7</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2,45770</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2,89177</w:t>
            </w:r>
          </w:p>
        </w:tc>
        <w:tc>
          <w:tcPr>
            <w:tcW w:w="1802"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-2,9</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2,00720</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1,94838</w:t>
            </w:r>
          </w:p>
        </w:tc>
      </w:tr>
      <w:tr w:rsidR="00D602D4">
        <w:trPr>
          <w:trHeight w:val="340"/>
        </w:trPr>
        <w:tc>
          <w:tcPr>
            <w:tcW w:w="2400" w:type="dxa"/>
            <w:tcBorders>
              <w:top w:val="single" w:sz="8" w:space="0" w:color="000000"/>
              <w:left w:val="single" w:sz="8" w:space="0" w:color="000000"/>
              <w:bottom w:val="single" w:sz="8" w:space="0" w:color="000000"/>
              <w:right w:val="single" w:sz="8" w:space="0" w:color="000000"/>
            </w:tcBorders>
            <w:shd w:val="clear" w:color="FFFFFF" w:fill="FFFFFF"/>
            <w:tcMar>
              <w:top w:w="6" w:type="dxa"/>
              <w:left w:w="6" w:type="dxa"/>
              <w:bottom w:w="0" w:type="dxa"/>
              <w:right w:w="6" w:type="dxa"/>
            </w:tcMar>
            <w:vAlign w:val="center"/>
          </w:tcPr>
          <w:p w:rsidR="00D602D4" w:rsidRDefault="000B4C86">
            <w:pPr>
              <w:spacing w:after="0" w:line="240" w:lineRule="auto"/>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Читаэнерго</w:t>
            </w:r>
          </w:p>
        </w:tc>
        <w:tc>
          <w:tcPr>
            <w:tcW w:w="1418" w:type="dxa"/>
            <w:tcBorders>
              <w:top w:val="single" w:sz="8" w:space="0" w:color="000000"/>
              <w:left w:val="single" w:sz="8" w:space="0" w:color="000000"/>
              <w:bottom w:val="single" w:sz="8" w:space="0" w:color="000000"/>
              <w:right w:val="single" w:sz="8" w:space="0" w:color="000000"/>
            </w:tcBorders>
            <w:shd w:val="clear" w:color="FFFFFF" w:fill="BFBFBF"/>
            <w:tcMar>
              <w:top w:w="6" w:type="dxa"/>
              <w:left w:w="6" w:type="dxa"/>
              <w:bottom w:w="0" w:type="dxa"/>
              <w:right w:w="6" w:type="dxa"/>
            </w:tcMar>
            <w:vAlign w:val="center"/>
          </w:tcPr>
          <w:p w:rsidR="00D602D4" w:rsidRDefault="00D602D4">
            <w:pPr>
              <w:spacing w:after="0" w:line="240" w:lineRule="auto"/>
              <w:rPr>
                <w:rFonts w:ascii="Times New Roman" w:eastAsia="Times New Roman" w:hAnsi="Times New Roman" w:cs="Times New Roman"/>
                <w:sz w:val="18"/>
                <w:szCs w:val="18"/>
                <w:lang w:eastAsia="ru-RU"/>
              </w:rPr>
            </w:pPr>
          </w:p>
        </w:tc>
        <w:tc>
          <w:tcPr>
            <w:tcW w:w="1857"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-40,8</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1,76260</w:t>
            </w:r>
          </w:p>
        </w:tc>
        <w:tc>
          <w:tcPr>
            <w:tcW w:w="1793"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1,04268</w:t>
            </w:r>
          </w:p>
        </w:tc>
        <w:tc>
          <w:tcPr>
            <w:tcW w:w="1802" w:type="dxa"/>
            <w:tcBorders>
              <w:top w:val="single" w:sz="8" w:space="0" w:color="000000"/>
              <w:left w:val="single" w:sz="8" w:space="0" w:color="000000"/>
              <w:bottom w:val="single" w:sz="8" w:space="0" w:color="000000"/>
              <w:right w:val="single" w:sz="8" w:space="0" w:color="000000"/>
            </w:tcBorders>
            <w:shd w:val="clear" w:color="FFFFFF" w:fill="92D050"/>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-19,3</w:t>
            </w:r>
          </w:p>
        </w:tc>
        <w:tc>
          <w:tcPr>
            <w:tcW w:w="2126"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1,45530</w:t>
            </w:r>
          </w:p>
        </w:tc>
        <w:tc>
          <w:tcPr>
            <w:tcW w:w="1891" w:type="dxa"/>
            <w:tcBorders>
              <w:top w:val="single" w:sz="8" w:space="0" w:color="000000"/>
              <w:left w:val="single" w:sz="8" w:space="0" w:color="000000"/>
              <w:bottom w:val="single" w:sz="8" w:space="0" w:color="000000"/>
              <w:right w:val="single" w:sz="8" w:space="0" w:color="000000"/>
            </w:tcBorders>
            <w:shd w:val="clear" w:color="FFFFFF" w:fill="FFFFFF"/>
            <w:tcMar>
              <w:top w:w="15" w:type="dxa"/>
              <w:left w:w="15" w:type="dxa"/>
              <w:bottom w:w="0" w:type="dxa"/>
              <w:right w:w="15" w:type="dxa"/>
            </w:tcMar>
            <w:vAlign w:val="center"/>
          </w:tcPr>
          <w:p w:rsidR="00D602D4" w:rsidRDefault="000B4C86">
            <w:pPr>
              <w:spacing w:after="0" w:line="240" w:lineRule="auto"/>
              <w:jc w:val="center"/>
              <w:rPr>
                <w:rFonts w:ascii="Times New Roman" w:eastAsia="Times New Roman" w:hAnsi="Times New Roman" w:cs="Times New Roman"/>
                <w:sz w:val="18"/>
                <w:szCs w:val="18"/>
                <w:lang w:eastAsia="ru-RU"/>
              </w:rPr>
            </w:pPr>
            <w:r>
              <w:rPr>
                <w:rFonts w:ascii="Times New Roman" w:eastAsia="Arial" w:hAnsi="Times New Roman" w:cs="Times New Roman"/>
                <w:sz w:val="18"/>
                <w:szCs w:val="18"/>
                <w:lang w:eastAsia="ru-RU"/>
              </w:rPr>
              <w:t>1,17427</w:t>
            </w:r>
          </w:p>
        </w:tc>
      </w:tr>
    </w:tbl>
    <w:p w:rsidR="00D602D4" w:rsidRDefault="00D602D4">
      <w:pPr>
        <w:widowControl w:val="0"/>
        <w:spacing w:after="0" w:line="240" w:lineRule="auto"/>
        <w:jc w:val="both"/>
        <w:rPr>
          <w:rFonts w:ascii="Times New Roman" w:hAnsi="Times New Roman" w:cs="Times New Roman"/>
          <w:sz w:val="24"/>
          <w:szCs w:val="24"/>
        </w:rPr>
      </w:pPr>
    </w:p>
    <w:tbl>
      <w:tblPr>
        <w:tblW w:w="9072" w:type="dxa"/>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849"/>
        <w:gridCol w:w="36"/>
        <w:gridCol w:w="246"/>
        <w:gridCol w:w="7905"/>
        <w:gridCol w:w="36"/>
      </w:tblGrid>
      <w:tr w:rsidR="00D602D4">
        <w:trPr>
          <w:gridAfter w:val="1"/>
          <w:wAfter w:w="36" w:type="dxa"/>
          <w:trHeight w:val="380"/>
        </w:trPr>
        <w:tc>
          <w:tcPr>
            <w:tcW w:w="851" w:type="dxa"/>
            <w:tcBorders>
              <w:right w:val="single" w:sz="4" w:space="0" w:color="000000"/>
            </w:tcBorders>
            <w:shd w:val="clear" w:color="FFFFFF" w:fill="FFFFFF"/>
            <w:tcMar>
              <w:top w:w="15" w:type="dxa"/>
              <w:left w:w="15" w:type="dxa"/>
              <w:bottom w:w="0" w:type="dxa"/>
              <w:right w:w="15" w:type="dxa"/>
            </w:tcMar>
            <w:vAlign w:val="center"/>
          </w:tcPr>
          <w:p w:rsidR="00D602D4" w:rsidRDefault="000B4C86">
            <w:pPr>
              <w:widowControl w:val="0"/>
              <w:spacing w:after="0" w:line="240" w:lineRule="auto"/>
              <w:jc w:val="center"/>
              <w:rPr>
                <w:rFonts w:ascii="Times New Roman" w:hAnsi="Times New Roman" w:cs="Times New Roman"/>
              </w:rPr>
            </w:pPr>
            <w:r>
              <w:rPr>
                <w:rFonts w:ascii="Times New Roman" w:eastAsia="Calibri" w:hAnsi="Times New Roman" w:cs="Times New Roman"/>
              </w:rPr>
              <w:t>П</w:t>
            </w:r>
            <w:r>
              <w:rPr>
                <w:rFonts w:ascii="Times New Roman" w:eastAsia="Calibri" w:hAnsi="Times New Roman" w:cs="Times New Roman"/>
                <w:lang w:val="en-US"/>
              </w:rPr>
              <w:t>saidi</w:t>
            </w:r>
          </w:p>
        </w:tc>
        <w:tc>
          <w:tcPr>
            <w:tcW w:w="283" w:type="dxa"/>
            <w:gridSpan w:val="2"/>
            <w:tcBorders>
              <w:top w:val="none" w:sz="4" w:space="0" w:color="000000"/>
              <w:left w:val="single" w:sz="4" w:space="0" w:color="000000"/>
              <w:bottom w:val="none" w:sz="4" w:space="0" w:color="000000"/>
              <w:right w:val="none" w:sz="4" w:space="0" w:color="000000"/>
            </w:tcBorders>
            <w:vAlign w:val="center"/>
          </w:tcPr>
          <w:p w:rsidR="00D602D4" w:rsidRDefault="000B4C86">
            <w:pPr>
              <w:widowControl w:val="0"/>
              <w:spacing w:after="0" w:line="240" w:lineRule="auto"/>
              <w:jc w:val="center"/>
              <w:rPr>
                <w:rFonts w:ascii="Times New Roman" w:eastAsia="Calibri" w:hAnsi="Times New Roman" w:cs="Times New Roman"/>
                <w:iCs/>
              </w:rPr>
            </w:pPr>
            <w:r>
              <w:rPr>
                <w:rFonts w:ascii="Times New Roman" w:eastAsia="Calibri" w:hAnsi="Times New Roman" w:cs="Times New Roman"/>
                <w:iCs/>
              </w:rPr>
              <w:t>-</w:t>
            </w:r>
          </w:p>
        </w:tc>
        <w:tc>
          <w:tcPr>
            <w:tcW w:w="7938" w:type="dxa"/>
            <w:tcBorders>
              <w:top w:val="none" w:sz="4" w:space="0" w:color="000000"/>
              <w:left w:val="none" w:sz="4" w:space="0" w:color="000000"/>
              <w:bottom w:val="none" w:sz="4" w:space="0" w:color="000000"/>
              <w:right w:val="none" w:sz="4" w:space="0" w:color="000000"/>
            </w:tcBorders>
            <w:shd w:val="clear" w:color="FFFFFF" w:fill="FFFFFF"/>
            <w:tcMar>
              <w:top w:w="15" w:type="dxa"/>
              <w:left w:w="15" w:type="dxa"/>
              <w:bottom w:w="0" w:type="dxa"/>
              <w:right w:w="15" w:type="dxa"/>
            </w:tcMar>
            <w:vAlign w:val="center"/>
          </w:tcPr>
          <w:p w:rsidR="00D602D4" w:rsidRDefault="000B4C86">
            <w:pPr>
              <w:widowControl w:val="0"/>
              <w:spacing w:after="0" w:line="240" w:lineRule="auto"/>
              <w:jc w:val="both"/>
              <w:rPr>
                <w:rFonts w:ascii="Times New Roman" w:eastAsia="Calibri" w:hAnsi="Times New Roman" w:cs="Times New Roman"/>
                <w:iCs/>
                <w:sz w:val="20"/>
                <w:szCs w:val="20"/>
              </w:rPr>
            </w:pPr>
            <w:r>
              <w:rPr>
                <w:rFonts w:ascii="Times New Roman" w:eastAsia="Calibri" w:hAnsi="Times New Roman" w:cs="Times New Roman"/>
                <w:iCs/>
                <w:sz w:val="20"/>
                <w:szCs w:val="20"/>
              </w:rPr>
              <w:t>Показатель средней продолжительности прекращения передачи электрической энергии на точку поставки</w:t>
            </w:r>
          </w:p>
        </w:tc>
      </w:tr>
      <w:tr w:rsidR="00D602D4">
        <w:trPr>
          <w:gridAfter w:val="1"/>
          <w:wAfter w:w="36" w:type="dxa"/>
          <w:trHeight w:val="329"/>
        </w:trPr>
        <w:tc>
          <w:tcPr>
            <w:tcW w:w="851" w:type="dxa"/>
            <w:tcBorders>
              <w:right w:val="single" w:sz="4" w:space="0" w:color="000000"/>
            </w:tcBorders>
            <w:shd w:val="clear" w:color="FFFFFF" w:fill="FFFFFF"/>
            <w:tcMar>
              <w:top w:w="15" w:type="dxa"/>
              <w:left w:w="15" w:type="dxa"/>
              <w:bottom w:w="0" w:type="dxa"/>
              <w:right w:w="15" w:type="dxa"/>
            </w:tcMar>
            <w:vAlign w:val="center"/>
          </w:tcPr>
          <w:p w:rsidR="00D602D4" w:rsidRDefault="000B4C86">
            <w:pPr>
              <w:widowControl w:val="0"/>
              <w:spacing w:after="0" w:line="240" w:lineRule="auto"/>
              <w:jc w:val="center"/>
              <w:rPr>
                <w:rFonts w:ascii="Times New Roman" w:hAnsi="Times New Roman" w:cs="Times New Roman"/>
              </w:rPr>
            </w:pPr>
            <w:r>
              <w:rPr>
                <w:rFonts w:ascii="Times New Roman" w:eastAsia="Calibri" w:hAnsi="Times New Roman" w:cs="Times New Roman"/>
              </w:rPr>
              <w:t>П</w:t>
            </w:r>
            <w:r>
              <w:rPr>
                <w:rFonts w:ascii="Times New Roman" w:eastAsia="Calibri" w:hAnsi="Times New Roman" w:cs="Times New Roman"/>
                <w:lang w:val="en-US"/>
              </w:rPr>
              <w:t>saifi</w:t>
            </w:r>
          </w:p>
        </w:tc>
        <w:tc>
          <w:tcPr>
            <w:tcW w:w="283" w:type="dxa"/>
            <w:gridSpan w:val="2"/>
            <w:tcBorders>
              <w:top w:val="none" w:sz="4" w:space="0" w:color="000000"/>
              <w:left w:val="single" w:sz="4" w:space="0" w:color="000000"/>
              <w:bottom w:val="none" w:sz="4" w:space="0" w:color="000000"/>
              <w:right w:val="none" w:sz="4" w:space="0" w:color="000000"/>
            </w:tcBorders>
            <w:vAlign w:val="center"/>
          </w:tcPr>
          <w:p w:rsidR="00D602D4" w:rsidRDefault="000B4C86">
            <w:pPr>
              <w:spacing w:after="0" w:line="240" w:lineRule="auto"/>
              <w:rPr>
                <w:rFonts w:ascii="Times New Roman" w:hAnsi="Times New Roman" w:cs="Times New Roman"/>
              </w:rPr>
            </w:pPr>
            <w:r>
              <w:rPr>
                <w:rFonts w:ascii="Times New Roman" w:eastAsia="Calibri" w:hAnsi="Times New Roman" w:cs="Times New Roman"/>
                <w:iCs/>
              </w:rPr>
              <w:t xml:space="preserve"> -</w:t>
            </w:r>
          </w:p>
        </w:tc>
        <w:tc>
          <w:tcPr>
            <w:tcW w:w="7938" w:type="dxa"/>
            <w:tcBorders>
              <w:top w:val="none" w:sz="4" w:space="0" w:color="000000"/>
              <w:left w:val="none" w:sz="4" w:space="0" w:color="000000"/>
              <w:bottom w:val="none" w:sz="4" w:space="0" w:color="000000"/>
              <w:right w:val="none" w:sz="4" w:space="0" w:color="000000"/>
            </w:tcBorders>
            <w:shd w:val="clear" w:color="FFFFFF" w:fill="FFFFFF"/>
            <w:tcMar>
              <w:top w:w="15" w:type="dxa"/>
              <w:left w:w="15" w:type="dxa"/>
              <w:bottom w:w="0" w:type="dxa"/>
              <w:right w:w="15" w:type="dxa"/>
            </w:tcMar>
            <w:vAlign w:val="center"/>
          </w:tcPr>
          <w:p w:rsidR="00D602D4" w:rsidRDefault="000B4C86">
            <w:pPr>
              <w:widowControl w:val="0"/>
              <w:spacing w:after="0" w:line="240" w:lineRule="auto"/>
              <w:jc w:val="both"/>
              <w:rPr>
                <w:rFonts w:ascii="Times New Roman" w:eastAsia="Calibri" w:hAnsi="Times New Roman" w:cs="Times New Roman"/>
                <w:iCs/>
                <w:sz w:val="20"/>
                <w:szCs w:val="20"/>
              </w:rPr>
            </w:pPr>
            <w:r>
              <w:rPr>
                <w:rFonts w:ascii="Times New Roman" w:eastAsia="Calibri" w:hAnsi="Times New Roman" w:cs="Times New Roman"/>
                <w:iCs/>
                <w:sz w:val="20"/>
                <w:szCs w:val="20"/>
              </w:rPr>
              <w:t>Показатель средней частоты прекращения передачи электрической энергии на точку поставки</w:t>
            </w:r>
          </w:p>
        </w:tc>
      </w:tr>
      <w:tr w:rsidR="00D60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332"/>
        </w:trPr>
        <w:tc>
          <w:tcPr>
            <w:tcW w:w="887" w:type="dxa"/>
            <w:gridSpan w:val="2"/>
            <w:tcBorders>
              <w:top w:val="single" w:sz="4" w:space="0" w:color="000000"/>
              <w:left w:val="single" w:sz="4" w:space="0" w:color="000000"/>
              <w:bottom w:val="single" w:sz="4" w:space="0" w:color="000000"/>
              <w:right w:val="single" w:sz="4" w:space="0" w:color="000000"/>
            </w:tcBorders>
            <w:shd w:val="clear" w:color="FFFFFF" w:fill="F7CAAC" w:themeFill="accent2" w:themeFillTint="66"/>
            <w:tcMar>
              <w:top w:w="15" w:type="dxa"/>
              <w:left w:w="108" w:type="dxa"/>
              <w:bottom w:w="0" w:type="dxa"/>
              <w:right w:w="108" w:type="dxa"/>
            </w:tcMar>
            <w:vAlign w:val="center"/>
          </w:tcPr>
          <w:p w:rsidR="00D602D4" w:rsidRDefault="00D602D4">
            <w:pPr>
              <w:widowControl w:val="0"/>
              <w:spacing w:after="0" w:line="240" w:lineRule="auto"/>
              <w:jc w:val="both"/>
              <w:rPr>
                <w:rFonts w:ascii="Times New Roman" w:hAnsi="Times New Roman" w:cs="Times New Roman"/>
              </w:rPr>
            </w:pPr>
          </w:p>
        </w:tc>
        <w:tc>
          <w:tcPr>
            <w:tcW w:w="8221" w:type="dxa"/>
            <w:gridSpan w:val="3"/>
            <w:tcBorders>
              <w:left w:val="single" w:sz="4" w:space="0" w:color="000000"/>
            </w:tcBorders>
            <w:shd w:val="clear" w:color="FFFFFF" w:fill="FFFFFF"/>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 - </w:t>
            </w:r>
            <w:r>
              <w:rPr>
                <w:rFonts w:ascii="Times New Roman" w:eastAsia="Calibri" w:hAnsi="Times New Roman" w:cs="Times New Roman"/>
                <w:iCs/>
                <w:sz w:val="20"/>
                <w:szCs w:val="20"/>
              </w:rPr>
              <w:t xml:space="preserve">Показатель </w:t>
            </w:r>
            <w:r>
              <w:rPr>
                <w:rFonts w:ascii="Times New Roman" w:hAnsi="Times New Roman" w:cs="Times New Roman"/>
                <w:sz w:val="20"/>
                <w:szCs w:val="20"/>
              </w:rPr>
              <w:t>выполнен с учетом коэффициента допустимых отклонений (КДО = 30%)</w:t>
            </w:r>
          </w:p>
        </w:tc>
      </w:tr>
      <w:tr w:rsidR="00D60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312"/>
        </w:trPr>
        <w:tc>
          <w:tcPr>
            <w:tcW w:w="887" w:type="dxa"/>
            <w:gridSpan w:val="2"/>
            <w:tcBorders>
              <w:top w:val="single" w:sz="4" w:space="0" w:color="000000"/>
              <w:left w:val="single" w:sz="4" w:space="0" w:color="000000"/>
              <w:bottom w:val="single" w:sz="4" w:space="0" w:color="000000"/>
              <w:right w:val="single" w:sz="4" w:space="0" w:color="000000"/>
            </w:tcBorders>
            <w:shd w:val="clear" w:color="FFFFFF" w:fill="A8D08D" w:themeFill="accent6" w:themeFillTint="99"/>
            <w:tcMar>
              <w:top w:w="15" w:type="dxa"/>
              <w:left w:w="108" w:type="dxa"/>
              <w:bottom w:w="0" w:type="dxa"/>
              <w:right w:w="108" w:type="dxa"/>
            </w:tcMar>
            <w:vAlign w:val="center"/>
          </w:tcPr>
          <w:p w:rsidR="00D602D4" w:rsidRDefault="00D602D4">
            <w:pPr>
              <w:widowControl w:val="0"/>
              <w:spacing w:after="0" w:line="240" w:lineRule="auto"/>
              <w:jc w:val="both"/>
              <w:rPr>
                <w:rFonts w:ascii="Times New Roman" w:hAnsi="Times New Roman" w:cs="Times New Roman"/>
              </w:rPr>
            </w:pPr>
          </w:p>
        </w:tc>
        <w:tc>
          <w:tcPr>
            <w:tcW w:w="8221" w:type="dxa"/>
            <w:gridSpan w:val="3"/>
            <w:tcBorders>
              <w:left w:val="single" w:sz="4" w:space="0" w:color="000000"/>
            </w:tcBorders>
            <w:shd w:val="clear" w:color="FFFFFF" w:fill="FFFFFF"/>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 - </w:t>
            </w:r>
            <w:r>
              <w:rPr>
                <w:rFonts w:ascii="Times New Roman" w:eastAsia="Calibri" w:hAnsi="Times New Roman" w:cs="Times New Roman"/>
                <w:iCs/>
                <w:sz w:val="20"/>
                <w:szCs w:val="20"/>
              </w:rPr>
              <w:t xml:space="preserve">Показатель </w:t>
            </w:r>
            <w:r>
              <w:rPr>
                <w:rFonts w:ascii="Times New Roman" w:hAnsi="Times New Roman" w:cs="Times New Roman"/>
                <w:sz w:val="20"/>
                <w:szCs w:val="20"/>
              </w:rPr>
              <w:t>выполнен</w:t>
            </w:r>
          </w:p>
        </w:tc>
      </w:tr>
    </w:tbl>
    <w:p w:rsidR="00D602D4" w:rsidRDefault="00D602D4">
      <w:pPr>
        <w:spacing w:after="0" w:line="240" w:lineRule="auto"/>
        <w:jc w:val="both"/>
        <w:rPr>
          <w:rFonts w:ascii="Times New Roman" w:hAnsi="Times New Roman" w:cs="Times New Roman"/>
          <w:sz w:val="24"/>
          <w:szCs w:val="24"/>
        </w:rPr>
        <w:sectPr w:rsidR="00D602D4">
          <w:pgSz w:w="16838" w:h="11906" w:orient="landscape"/>
          <w:pgMar w:top="1276" w:right="567" w:bottom="851" w:left="425" w:header="720" w:footer="720" w:gutter="0"/>
          <w:cols w:space="720"/>
          <w:titlePg/>
          <w:docGrid w:linePitch="360"/>
        </w:sectPr>
      </w:pPr>
    </w:p>
    <w:p w:rsidR="00D602D4" w:rsidRDefault="000B4C86">
      <w:pPr>
        <w:pStyle w:val="13"/>
        <w:rPr>
          <w:rFonts w:ascii="Times New Roman" w:hAnsi="Times New Roman" w:cs="Times New Roman"/>
          <w:color w:val="000000" w:themeColor="text1"/>
          <w:sz w:val="24"/>
          <w:szCs w:val="24"/>
        </w:rPr>
      </w:pPr>
      <w:bookmarkStart w:id="29" w:name="_Toc31"/>
      <w:r>
        <w:rPr>
          <w:rFonts w:ascii="Times New Roman" w:eastAsia="Times New Roman" w:hAnsi="Times New Roman" w:cs="Times New Roman"/>
          <w:b/>
          <w:color w:val="000000" w:themeColor="text1"/>
          <w:sz w:val="26"/>
          <w:szCs w:val="26"/>
        </w:rPr>
        <w:lastRenderedPageBreak/>
        <w:t>3.1.3. Расчеты за электроэнергию и услуги по ее передаче</w:t>
      </w:r>
      <w:bookmarkEnd w:id="29"/>
    </w:p>
    <w:p w:rsidR="00D602D4" w:rsidRDefault="000B4C86">
      <w:pPr>
        <w:keepNext/>
        <w:spacing w:after="0" w:line="240" w:lineRule="auto"/>
        <w:ind w:left="567" w:hanging="567"/>
        <w:rPr>
          <w:rFonts w:ascii="Times New Roman" w:eastAsia="Times New Roman" w:hAnsi="Times New Roman" w:cs="Times New Roman"/>
          <w:color w:val="000000" w:themeColor="text1"/>
          <w:sz w:val="24"/>
          <w:szCs w:val="24"/>
          <w:highlight w:val="white"/>
        </w:rPr>
      </w:pPr>
      <w:r>
        <w:rPr>
          <w:rFonts w:ascii="Times New Roman" w:eastAsia="Times New Roman" w:hAnsi="Times New Roman" w:cs="Times New Roman"/>
          <w:b/>
          <w:bCs/>
          <w:color w:val="000000" w:themeColor="text1"/>
          <w:sz w:val="26"/>
          <w:szCs w:val="26"/>
          <w:highlight w:val="white"/>
        </w:rPr>
        <w:t>Оказание услуг по передаче электрической энергии.</w:t>
      </w:r>
    </w:p>
    <w:p w:rsidR="00D602D4" w:rsidRDefault="000B4C86">
      <w:pPr>
        <w:spacing w:after="0" w:line="240" w:lineRule="auto"/>
        <w:ind w:firstLine="567"/>
        <w:jc w:val="both"/>
        <w:rPr>
          <w:rFonts w:ascii="Times New Roman" w:eastAsia="Times New Roman" w:hAnsi="Times New Roman" w:cs="Times New Roman"/>
          <w:color w:val="000000" w:themeColor="text1"/>
          <w:sz w:val="24"/>
          <w:szCs w:val="24"/>
          <w:highlight w:val="white"/>
          <w:shd w:val="clear" w:color="auto" w:fill="FFFFFF"/>
        </w:rPr>
      </w:pPr>
      <w:r>
        <w:rPr>
          <w:rFonts w:ascii="Times New Roman" w:eastAsia="Times New Roman" w:hAnsi="Times New Roman" w:cs="Times New Roman"/>
          <w:color w:val="000000" w:themeColor="text1"/>
          <w:sz w:val="24"/>
          <w:szCs w:val="24"/>
          <w:highlight w:val="white"/>
          <w:shd w:val="clear" w:color="auto" w:fill="FFFFFF"/>
        </w:rPr>
        <w:t>В целом по ПАО «Россети Сибирь» выручка за услуги по передачи электрической энергии за 2024 года составила 73 716 млн руб., что выше факта 2023 года на +6 717 млн руб. или +10%. Рост выручки зафиксирован по всем филиалам, как за счет фактора роста объема оказанных услуг, так и тарифного фактора.</w:t>
      </w:r>
    </w:p>
    <w:p w:rsidR="00D602D4" w:rsidRDefault="000B4C86">
      <w:pPr>
        <w:spacing w:after="0" w:line="240" w:lineRule="auto"/>
        <w:ind w:firstLine="720"/>
        <w:jc w:val="right"/>
        <w:rPr>
          <w:rFonts w:ascii="Times New Roman" w:eastAsia="Times New Roman" w:hAnsi="Times New Roman" w:cs="Times New Roman"/>
          <w:color w:val="000000" w:themeColor="text1"/>
          <w:sz w:val="24"/>
          <w:szCs w:val="24"/>
          <w:highlight w:val="white"/>
          <w:shd w:val="clear" w:color="auto" w:fill="FFFFFF"/>
        </w:rPr>
      </w:pPr>
      <w:r>
        <w:rPr>
          <w:rFonts w:ascii="Times New Roman" w:eastAsia="Times New Roman" w:hAnsi="Times New Roman" w:cs="Times New Roman"/>
          <w:color w:val="000000" w:themeColor="text1"/>
          <w:sz w:val="24"/>
          <w:szCs w:val="24"/>
          <w:highlight w:val="white"/>
          <w:shd w:val="clear" w:color="auto" w:fill="FFFFFF"/>
        </w:rPr>
        <w:t>Таблица 19</w:t>
      </w:r>
    </w:p>
    <w:p w:rsidR="00D602D4" w:rsidRDefault="000B4C86">
      <w:pPr>
        <w:widowControl w:val="0"/>
        <w:spacing w:after="0" w:line="240" w:lineRule="auto"/>
        <w:rPr>
          <w:rFonts w:ascii="Times New Roman" w:hAnsi="Times New Roman" w:cs="Times New Roman"/>
          <w:b/>
          <w:color w:val="000000" w:themeColor="text1"/>
          <w:sz w:val="24"/>
          <w:szCs w:val="24"/>
          <w:highlight w:val="white"/>
        </w:rPr>
      </w:pPr>
      <w:r>
        <w:rPr>
          <w:rFonts w:ascii="Times New Roman" w:hAnsi="Times New Roman" w:cs="Times New Roman"/>
          <w:b/>
          <w:color w:val="000000" w:themeColor="text1"/>
          <w:sz w:val="24"/>
          <w:szCs w:val="24"/>
          <w:highlight w:val="white"/>
        </w:rPr>
        <w:t>Выручка за оказанные услуги по передаче электроэнергии, в млн рублей</w:t>
      </w:r>
    </w:p>
    <w:tbl>
      <w:tblPr>
        <w:tblW w:w="9831" w:type="dxa"/>
        <w:tblLayout w:type="fixed"/>
        <w:tblLook w:val="04A0" w:firstRow="1" w:lastRow="0" w:firstColumn="1" w:lastColumn="0" w:noHBand="0" w:noVBand="1"/>
      </w:tblPr>
      <w:tblGrid>
        <w:gridCol w:w="3651"/>
        <w:gridCol w:w="1180"/>
        <w:gridCol w:w="1280"/>
        <w:gridCol w:w="1440"/>
        <w:gridCol w:w="1080"/>
        <w:gridCol w:w="1200"/>
      </w:tblGrid>
      <w:tr w:rsidR="00D602D4">
        <w:tc>
          <w:tcPr>
            <w:tcW w:w="3651"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Наименование филиала</w:t>
            </w:r>
          </w:p>
        </w:tc>
        <w:tc>
          <w:tcPr>
            <w:tcW w:w="118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2022</w:t>
            </w:r>
          </w:p>
        </w:tc>
        <w:tc>
          <w:tcPr>
            <w:tcW w:w="128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2023</w:t>
            </w:r>
          </w:p>
        </w:tc>
        <w:tc>
          <w:tcPr>
            <w:tcW w:w="144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2024</w:t>
            </w:r>
          </w:p>
        </w:tc>
        <w:tc>
          <w:tcPr>
            <w:tcW w:w="2280"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Отклонение</w:t>
            </w:r>
          </w:p>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2024/2023</w:t>
            </w:r>
          </w:p>
        </w:tc>
      </w:tr>
      <w:tr w:rsidR="00D602D4">
        <w:tc>
          <w:tcPr>
            <w:tcW w:w="3651"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rPr>
            </w:pPr>
          </w:p>
        </w:tc>
        <w:tc>
          <w:tcPr>
            <w:tcW w:w="118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rPr>
            </w:pPr>
          </w:p>
        </w:tc>
        <w:tc>
          <w:tcPr>
            <w:tcW w:w="128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rPr>
            </w:pP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абс.</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w:t>
            </w:r>
          </w:p>
        </w:tc>
      </w:tr>
      <w:tr w:rsidR="00D602D4">
        <w:tc>
          <w:tcPr>
            <w:tcW w:w="365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Алтайэнерго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7 907</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9 145</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10 385</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1 240</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14</w:t>
            </w:r>
          </w:p>
        </w:tc>
      </w:tr>
      <w:tr w:rsidR="00D602D4">
        <w:tc>
          <w:tcPr>
            <w:tcW w:w="365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Бурятэнерго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7 226</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8 389</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9 118</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729</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w:t>
            </w:r>
          </w:p>
        </w:tc>
      </w:tr>
      <w:tr w:rsidR="00D602D4">
        <w:tc>
          <w:tcPr>
            <w:tcW w:w="365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ГАЭС</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1 179</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1 433</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1 671</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238</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17</w:t>
            </w:r>
          </w:p>
        </w:tc>
      </w:tr>
      <w:tr w:rsidR="00D602D4">
        <w:tc>
          <w:tcPr>
            <w:tcW w:w="365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Красноярскэнерго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15 385</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17 865</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19 066</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1 201</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w:t>
            </w:r>
          </w:p>
        </w:tc>
      </w:tr>
      <w:tr w:rsidR="00D602D4">
        <w:tc>
          <w:tcPr>
            <w:tcW w:w="365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Кузбассэнерго-РЭС</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11 715</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10 051</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11 547</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1 496</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15</w:t>
            </w:r>
          </w:p>
        </w:tc>
      </w:tr>
      <w:tr w:rsidR="00D602D4">
        <w:tc>
          <w:tcPr>
            <w:tcW w:w="365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Омскэнерго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7 192</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8 407</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9 193</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785</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w:t>
            </w:r>
          </w:p>
        </w:tc>
      </w:tr>
      <w:tr w:rsidR="00D602D4">
        <w:tc>
          <w:tcPr>
            <w:tcW w:w="365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Хакасэнерго*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1 586*</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3 083</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3 563</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480</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16</w:t>
            </w:r>
          </w:p>
        </w:tc>
      </w:tr>
      <w:tr w:rsidR="00D602D4">
        <w:tc>
          <w:tcPr>
            <w:tcW w:w="365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Читаэнерго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7 834</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8 627</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9 173</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547</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6</w:t>
            </w:r>
          </w:p>
        </w:tc>
      </w:tr>
      <w:tr w:rsidR="00D602D4">
        <w:tc>
          <w:tcPr>
            <w:tcW w:w="365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Итого по ПАО «Россети Сибирь»*</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60 025*</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66 999</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73 716</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6 717</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10</w:t>
            </w:r>
          </w:p>
        </w:tc>
      </w:tr>
    </w:tbl>
    <w:p w:rsidR="00D602D4" w:rsidRDefault="000B4C86">
      <w:pPr>
        <w:spacing w:after="0" w:line="240" w:lineRule="auto"/>
        <w:ind w:firstLine="720"/>
        <w:jc w:val="both"/>
        <w:rPr>
          <w:rFonts w:ascii="Times New Roman" w:eastAsia="Times New Roman" w:hAnsi="Times New Roman" w:cs="Times New Roman"/>
          <w:i/>
          <w:color w:val="000000" w:themeColor="text1"/>
          <w:sz w:val="20"/>
          <w:szCs w:val="20"/>
          <w:highlight w:val="white"/>
          <w:shd w:val="clear" w:color="auto" w:fill="FFFFFF"/>
        </w:rPr>
      </w:pPr>
      <w:r>
        <w:rPr>
          <w:rFonts w:ascii="Times New Roman" w:eastAsia="Times New Roman" w:hAnsi="Times New Roman" w:cs="Times New Roman"/>
          <w:i/>
          <w:color w:val="000000" w:themeColor="text1"/>
          <w:sz w:val="20"/>
          <w:szCs w:val="20"/>
          <w:highlight w:val="white"/>
          <w:shd w:val="clear" w:color="auto" w:fill="FFFFFF"/>
        </w:rPr>
        <w:t>*без учета «внутреннего оборота» (1 177 млн. руб.), связанного с исполнением функций Гарантирующего поставщика на территории Республики Хакасия в 2022 году.</w:t>
      </w:r>
    </w:p>
    <w:p w:rsidR="00D602D4" w:rsidRDefault="00D602D4">
      <w:pPr>
        <w:spacing w:after="0" w:line="240" w:lineRule="auto"/>
        <w:ind w:firstLine="720"/>
        <w:jc w:val="both"/>
        <w:rPr>
          <w:rFonts w:ascii="Times New Roman" w:eastAsia="Times New Roman" w:hAnsi="Times New Roman" w:cs="Times New Roman"/>
          <w:color w:val="000000" w:themeColor="text1"/>
          <w:highlight w:val="white"/>
          <w:shd w:val="clear" w:color="auto" w:fill="FFFFFF"/>
        </w:rPr>
      </w:pPr>
    </w:p>
    <w:p w:rsidR="00D602D4" w:rsidRDefault="000B4C86">
      <w:pPr>
        <w:spacing w:after="0" w:line="240" w:lineRule="auto"/>
        <w:ind w:firstLine="720"/>
        <w:jc w:val="both"/>
        <w:rPr>
          <w:rFonts w:ascii="Times New Roman" w:eastAsia="Times New Roman" w:hAnsi="Times New Roman" w:cs="Times New Roman"/>
          <w:color w:val="000000" w:themeColor="text1"/>
          <w:highlight w:val="white"/>
          <w:shd w:val="clear" w:color="auto" w:fill="FFFFFF"/>
        </w:rPr>
      </w:pPr>
      <w:r>
        <w:rPr>
          <w:rFonts w:ascii="Times New Roman" w:eastAsia="Times New Roman" w:hAnsi="Times New Roman" w:cs="Times New Roman"/>
          <w:color w:val="000000" w:themeColor="text1"/>
          <w:highlight w:val="white"/>
          <w:shd w:val="clear" w:color="auto" w:fill="FFFFFF"/>
        </w:rPr>
        <w:t>В целом по ПАО «Россети Сибирь» объем оказанных услуг по передаче электроэнергии составил 57 291 млн. кВтч, что выше факта 2023 года на +702 млн кВтч или +1%. Рост котлового полезного отпуска зафиксирован по всем филиалам, кроме Кузбассэнерго-РЭС (связано с пересмотром и установлением для ТСО ОАО «РЖД» (ЗСЖД) расходного тарифа на 2024 год (постановление РЭК Кузбасса от 01.10.2024 № 228).</w:t>
      </w:r>
    </w:p>
    <w:p w:rsidR="00D602D4" w:rsidRDefault="000B4C86">
      <w:pPr>
        <w:spacing w:after="0" w:line="240" w:lineRule="auto"/>
        <w:ind w:firstLine="720"/>
        <w:jc w:val="right"/>
        <w:rPr>
          <w:rFonts w:ascii="Times New Roman" w:eastAsia="Times New Roman" w:hAnsi="Times New Roman" w:cs="Times New Roman"/>
          <w:color w:val="000000" w:themeColor="text1"/>
          <w:highlight w:val="white"/>
          <w:shd w:val="clear" w:color="auto" w:fill="FFFFFF"/>
        </w:rPr>
      </w:pPr>
      <w:r>
        <w:rPr>
          <w:rFonts w:ascii="Times New Roman" w:eastAsia="Times New Roman" w:hAnsi="Times New Roman" w:cs="Times New Roman"/>
          <w:color w:val="000000" w:themeColor="text1"/>
          <w:sz w:val="24"/>
          <w:szCs w:val="24"/>
          <w:highlight w:val="white"/>
          <w:shd w:val="clear" w:color="auto" w:fill="FFFFFF"/>
        </w:rPr>
        <w:t>Таблица 20</w:t>
      </w:r>
    </w:p>
    <w:p w:rsidR="00D602D4" w:rsidRDefault="000B4C86">
      <w:pPr>
        <w:widowControl w:val="0"/>
        <w:spacing w:after="0" w:line="240" w:lineRule="auto"/>
        <w:jc w:val="both"/>
        <w:rPr>
          <w:rFonts w:ascii="Times New Roman" w:hAnsi="Times New Roman" w:cs="Times New Roman"/>
          <w:b/>
          <w:color w:val="000000" w:themeColor="text1"/>
          <w:highlight w:val="white"/>
        </w:rPr>
      </w:pPr>
      <w:r>
        <w:rPr>
          <w:rFonts w:ascii="Times New Roman" w:hAnsi="Times New Roman" w:cs="Times New Roman"/>
          <w:b/>
          <w:color w:val="000000" w:themeColor="text1"/>
          <w:highlight w:val="white"/>
        </w:rPr>
        <w:t>Объем оказанных услуг по передаче электроэнергии («Котловой» полезный отпуск электроэнергии), в млн кВт·ч</w:t>
      </w:r>
    </w:p>
    <w:tbl>
      <w:tblPr>
        <w:tblW w:w="9871" w:type="dxa"/>
        <w:tblLayout w:type="fixed"/>
        <w:tblLook w:val="04A0" w:firstRow="1" w:lastRow="0" w:firstColumn="1" w:lastColumn="0" w:noHBand="0" w:noVBand="1"/>
      </w:tblPr>
      <w:tblGrid>
        <w:gridCol w:w="3691"/>
        <w:gridCol w:w="1180"/>
        <w:gridCol w:w="1280"/>
        <w:gridCol w:w="1440"/>
        <w:gridCol w:w="1080"/>
        <w:gridCol w:w="1200"/>
      </w:tblGrid>
      <w:tr w:rsidR="00D602D4">
        <w:tc>
          <w:tcPr>
            <w:tcW w:w="3691"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 Наименование филиала</w:t>
            </w:r>
          </w:p>
        </w:tc>
        <w:tc>
          <w:tcPr>
            <w:tcW w:w="118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2022</w:t>
            </w:r>
          </w:p>
        </w:tc>
        <w:tc>
          <w:tcPr>
            <w:tcW w:w="128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2023</w:t>
            </w:r>
          </w:p>
        </w:tc>
        <w:tc>
          <w:tcPr>
            <w:tcW w:w="144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2024</w:t>
            </w:r>
          </w:p>
        </w:tc>
        <w:tc>
          <w:tcPr>
            <w:tcW w:w="2280"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Отклонение</w:t>
            </w:r>
          </w:p>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2024/2023</w:t>
            </w:r>
          </w:p>
        </w:tc>
      </w:tr>
      <w:tr w:rsidR="00D602D4">
        <w:tc>
          <w:tcPr>
            <w:tcW w:w="3691"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rPr>
            </w:pPr>
          </w:p>
        </w:tc>
        <w:tc>
          <w:tcPr>
            <w:tcW w:w="118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rPr>
            </w:pPr>
          </w:p>
        </w:tc>
        <w:tc>
          <w:tcPr>
            <w:tcW w:w="128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rPr>
            </w:pP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абс.</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Алтайэнерго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7 158</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7 309</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7 595</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286</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4</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Бурятэнерго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4 320</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4 479</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4 472</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0</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ГАЭС</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514</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557</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620</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64</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11</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Красноярскэнерго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11 929</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12 301</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13 031</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730</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6</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Кузбассэнерго-РЭС</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13 452</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15 269</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14 290</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-979</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-6</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Омскэнерго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7 566</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7 769</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7 997</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228</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Хакасэнерго*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1 868*</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2 907</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3 246</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339</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12</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Читаэнерго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5 962</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5 998</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6 040</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42</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Итого по ПАО «Россети Сибирь»*</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52 769*</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56 589</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57 291</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702</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1</w:t>
            </w:r>
          </w:p>
        </w:tc>
      </w:tr>
    </w:tbl>
    <w:p w:rsidR="00D602D4" w:rsidRDefault="000B4C86">
      <w:pPr>
        <w:spacing w:after="0" w:line="240" w:lineRule="auto"/>
        <w:ind w:firstLine="720"/>
        <w:jc w:val="both"/>
        <w:rPr>
          <w:rFonts w:ascii="Times New Roman" w:eastAsia="Times New Roman" w:hAnsi="Times New Roman" w:cs="Times New Roman"/>
          <w:i/>
          <w:color w:val="000000" w:themeColor="text1"/>
          <w:sz w:val="20"/>
          <w:szCs w:val="20"/>
          <w:highlight w:val="white"/>
          <w:shd w:val="clear" w:color="auto" w:fill="FFFFFF"/>
        </w:rPr>
      </w:pPr>
      <w:r>
        <w:rPr>
          <w:rFonts w:ascii="Times New Roman" w:eastAsia="Times New Roman" w:hAnsi="Times New Roman" w:cs="Times New Roman"/>
          <w:i/>
          <w:color w:val="000000" w:themeColor="text1"/>
          <w:sz w:val="20"/>
          <w:szCs w:val="20"/>
          <w:highlight w:val="white"/>
          <w:shd w:val="clear" w:color="auto" w:fill="FFFFFF"/>
        </w:rPr>
        <w:t>*без учета «внутреннего оборота» (916 млн кВт·ч), связанного с исполнением функций Гарантирующего поставщика на территории Республики Хакасия в 2022 году.</w:t>
      </w:r>
    </w:p>
    <w:p w:rsidR="00D602D4" w:rsidRDefault="000B4C86">
      <w:pPr>
        <w:pStyle w:val="13"/>
        <w:spacing w:before="0" w:line="240" w:lineRule="auto"/>
        <w:rPr>
          <w:rFonts w:ascii="Times New Roman" w:hAnsi="Times New Roman" w:cs="Times New Roman"/>
          <w:b/>
          <w:bCs/>
          <w:color w:val="000000" w:themeColor="text1"/>
          <w:sz w:val="26"/>
          <w:szCs w:val="26"/>
          <w:highlight w:val="white"/>
        </w:rPr>
      </w:pPr>
      <w:r>
        <w:rPr>
          <w:rFonts w:ascii="Times New Roman" w:hAnsi="Times New Roman" w:cs="Times New Roman"/>
          <w:b/>
          <w:color w:val="000000" w:themeColor="text1"/>
          <w:sz w:val="26"/>
          <w:szCs w:val="26"/>
          <w:highlight w:val="white"/>
        </w:rPr>
        <w:t>Расчеты за электроэнергию и услуги по ее передаче</w:t>
      </w:r>
    </w:p>
    <w:p w:rsidR="00D602D4" w:rsidRDefault="000B4C86">
      <w:pPr>
        <w:pStyle w:val="ac"/>
        <w:spacing w:after="0" w:line="240" w:lineRule="auto"/>
        <w:ind w:left="0"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 динамика уровня сбора денежных средств за оказанные услуги по передаче электроэнергии 2022-2024 гг.</w:t>
      </w:r>
    </w:p>
    <w:p w:rsidR="00D602D4" w:rsidRDefault="000B4C86">
      <w:pPr>
        <w:pStyle w:val="ac"/>
        <w:ind w:left="0"/>
        <w:jc w:val="both"/>
        <w:rPr>
          <w:rFonts w:ascii="Times New Roman" w:hAnsi="Times New Roman" w:cs="Times New Roman"/>
          <w:b/>
          <w:bCs/>
          <w:color w:val="000000" w:themeColor="text1"/>
          <w:sz w:val="24"/>
          <w:szCs w:val="24"/>
          <w:highlight w:val="white"/>
        </w:rPr>
      </w:pPr>
      <w:r>
        <w:rPr>
          <w:noProof/>
          <w:color w:val="000000" w:themeColor="text1"/>
          <w:highlight w:val="white"/>
          <w:lang w:eastAsia="ru-RU"/>
        </w:rPr>
        <w:lastRenderedPageBreak/>
        <w:drawing>
          <wp:inline distT="0" distB="0" distL="0" distR="0">
            <wp:extent cx="5963920" cy="2825115"/>
            <wp:effectExtent l="0" t="0" r="0" b="0"/>
            <wp:docPr id="20"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D602D4" w:rsidRDefault="000B4C86">
      <w:pPr>
        <w:pStyle w:val="ac"/>
        <w:spacing w:after="0" w:line="240" w:lineRule="auto"/>
        <w:ind w:left="0"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 xml:space="preserve">*информация в целом по ПАО «Россети Сибирь» представлена в сопоставимых данных (уменьшена в 10 раз в части начислений) </w:t>
      </w:r>
    </w:p>
    <w:p w:rsidR="00D602D4" w:rsidRDefault="000B4C86">
      <w:pPr>
        <w:pStyle w:val="ac"/>
        <w:spacing w:after="0" w:line="240" w:lineRule="auto"/>
        <w:ind w:left="0"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Рис. 10 - динамика уровня сбора денежных средств за оказанные услуги по передаче электроэнергии за 2024 год</w:t>
      </w:r>
    </w:p>
    <w:p w:rsidR="00D602D4" w:rsidRDefault="000B4C86">
      <w:pPr>
        <w:pStyle w:val="ac"/>
        <w:spacing w:after="0" w:line="240" w:lineRule="auto"/>
        <w:ind w:left="0" w:firstLine="709"/>
        <w:jc w:val="right"/>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Таблица 21</w:t>
      </w:r>
    </w:p>
    <w:p w:rsidR="00D602D4" w:rsidRDefault="000B4C86">
      <w:pPr>
        <w:pStyle w:val="ac"/>
        <w:spacing w:after="0" w:line="240" w:lineRule="auto"/>
        <w:ind w:left="0" w:firstLine="709"/>
        <w:jc w:val="both"/>
        <w:rPr>
          <w:rFonts w:ascii="Times New Roman" w:hAnsi="Times New Roman" w:cs="Times New Roman"/>
          <w:b/>
          <w:bCs/>
          <w:color w:val="000000" w:themeColor="text1"/>
          <w:sz w:val="24"/>
          <w:szCs w:val="24"/>
          <w:highlight w:val="white"/>
        </w:rPr>
      </w:pPr>
      <w:r>
        <w:rPr>
          <w:rFonts w:ascii="Times New Roman" w:hAnsi="Times New Roman" w:cs="Times New Roman"/>
          <w:b/>
          <w:bCs/>
          <w:color w:val="000000" w:themeColor="text1"/>
          <w:sz w:val="24"/>
          <w:szCs w:val="24"/>
          <w:highlight w:val="white"/>
        </w:rPr>
        <w:t>Динамика уровня сбора денежных средств за оказанные услуги по передаче электроэнергии 2022-2024 гг, %</w:t>
      </w:r>
    </w:p>
    <w:tbl>
      <w:tblPr>
        <w:tblW w:w="9871" w:type="dxa"/>
        <w:tblLayout w:type="fixed"/>
        <w:tblLook w:val="04A0" w:firstRow="1" w:lastRow="0" w:firstColumn="1" w:lastColumn="0" w:noHBand="0" w:noVBand="1"/>
      </w:tblPr>
      <w:tblGrid>
        <w:gridCol w:w="3691"/>
        <w:gridCol w:w="1180"/>
        <w:gridCol w:w="1280"/>
        <w:gridCol w:w="1440"/>
        <w:gridCol w:w="1080"/>
        <w:gridCol w:w="1200"/>
      </w:tblGrid>
      <w:tr w:rsidR="00D602D4">
        <w:tc>
          <w:tcPr>
            <w:tcW w:w="3691"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 Наименование филиала</w:t>
            </w:r>
          </w:p>
        </w:tc>
        <w:tc>
          <w:tcPr>
            <w:tcW w:w="118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2022</w:t>
            </w:r>
          </w:p>
        </w:tc>
        <w:tc>
          <w:tcPr>
            <w:tcW w:w="128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2023</w:t>
            </w:r>
          </w:p>
        </w:tc>
        <w:tc>
          <w:tcPr>
            <w:tcW w:w="144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2024</w:t>
            </w:r>
          </w:p>
        </w:tc>
        <w:tc>
          <w:tcPr>
            <w:tcW w:w="2280"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Отклонение</w:t>
            </w:r>
          </w:p>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2024/2023</w:t>
            </w:r>
          </w:p>
        </w:tc>
      </w:tr>
      <w:tr w:rsidR="00D602D4">
        <w:tc>
          <w:tcPr>
            <w:tcW w:w="3691"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rPr>
                <w:rFonts w:ascii="Times New Roman" w:eastAsia="Times New Roman" w:hAnsi="Times New Roman" w:cs="Times New Roman"/>
              </w:rPr>
            </w:pPr>
          </w:p>
        </w:tc>
        <w:tc>
          <w:tcPr>
            <w:tcW w:w="118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rPr>
                <w:rFonts w:ascii="Times New Roman" w:eastAsia="Times New Roman" w:hAnsi="Times New Roman" w:cs="Times New Roman"/>
              </w:rPr>
            </w:pPr>
          </w:p>
        </w:tc>
        <w:tc>
          <w:tcPr>
            <w:tcW w:w="128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rPr>
                <w:rFonts w:ascii="Times New Roman" w:eastAsia="Times New Roman" w:hAnsi="Times New Roman" w:cs="Times New Roma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rPr>
                <w:rFonts w:ascii="Times New Roman" w:eastAsia="Times New Roman" w:hAnsi="Times New Roman" w:cs="Times New Roman"/>
              </w:rPr>
            </w:pP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абс.</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b/>
                <w:bCs/>
                <w:color w:val="000000" w:themeColor="text1"/>
                <w:highlight w:val="white"/>
              </w:rPr>
              <w:t>Итого по ПАО "Россети Сибирь"</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themeColor="text1"/>
                <w:highlight w:val="white"/>
              </w:rPr>
            </w:pPr>
            <w:r>
              <w:rPr>
                <w:rFonts w:ascii="Times New Roman" w:eastAsia="Times New Roman" w:hAnsi="Times New Roman" w:cs="Times New Roman"/>
                <w:b/>
                <w:color w:val="000000" w:themeColor="text1"/>
                <w:highlight w:val="white"/>
              </w:rPr>
              <w:t>95,7</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themeColor="text1"/>
                <w:highlight w:val="white"/>
              </w:rPr>
            </w:pPr>
            <w:r>
              <w:rPr>
                <w:rFonts w:ascii="Times New Roman" w:eastAsia="Times New Roman" w:hAnsi="Times New Roman" w:cs="Times New Roman"/>
                <w:b/>
                <w:color w:val="000000" w:themeColor="text1"/>
                <w:highlight w:val="white"/>
              </w:rPr>
              <w:t>98,4</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themeColor="text1"/>
                <w:highlight w:val="white"/>
              </w:rPr>
            </w:pPr>
            <w:r>
              <w:rPr>
                <w:rFonts w:ascii="Times New Roman" w:eastAsia="Times New Roman" w:hAnsi="Times New Roman" w:cs="Times New Roman"/>
                <w:b/>
                <w:color w:val="000000" w:themeColor="text1"/>
                <w:highlight w:val="white"/>
              </w:rPr>
              <w:t>97,8</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themeColor="text1"/>
                <w:highlight w:val="white"/>
              </w:rPr>
            </w:pPr>
            <w:r>
              <w:rPr>
                <w:rFonts w:ascii="Times New Roman" w:eastAsia="Times New Roman" w:hAnsi="Times New Roman" w:cs="Times New Roman"/>
                <w:b/>
                <w:color w:val="000000" w:themeColor="text1"/>
                <w:highlight w:val="white"/>
              </w:rPr>
              <w:t>-0,6</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themeColor="text1"/>
                <w:highlight w:val="white"/>
              </w:rPr>
            </w:pPr>
            <w:r>
              <w:rPr>
                <w:rFonts w:ascii="Times New Roman" w:eastAsia="Times New Roman" w:hAnsi="Times New Roman" w:cs="Times New Roman"/>
                <w:b/>
                <w:color w:val="000000" w:themeColor="text1"/>
                <w:highlight w:val="white"/>
              </w:rPr>
              <w:t>-0,6</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Алтайэнерго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97,6</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101,4</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98,7</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-2,7</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-2,7</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Бурятэнерго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100,9</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100,8</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104,1</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3,3</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3,2</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ГАЭС</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95,0</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101,0</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97,9</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-3,1</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-3,2</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Красноярскэнерго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96,1</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99,1</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97,6</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-1,5</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-1,5</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Кузбассэнерго-РЭС</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87,9</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94,0</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94,9</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0,9</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0,9</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Омскэнерго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87,1</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87,9</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88,0</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0,1</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0,1</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Хакасэнерго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111,5</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97,8</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101,4</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3,6</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3,6</w:t>
            </w:r>
          </w:p>
        </w:tc>
      </w:tr>
      <w:tr w:rsidR="00D602D4">
        <w:tc>
          <w:tcPr>
            <w:tcW w:w="36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Читаэнерго</w:t>
            </w:r>
          </w:p>
        </w:tc>
        <w:tc>
          <w:tcPr>
            <w:tcW w:w="11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104,6</w:t>
            </w:r>
          </w:p>
        </w:tc>
        <w:tc>
          <w:tcPr>
            <w:tcW w:w="12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106,3</w:t>
            </w:r>
          </w:p>
        </w:tc>
        <w:tc>
          <w:tcPr>
            <w:tcW w:w="144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103,3</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-3,0</w:t>
            </w:r>
          </w:p>
        </w:tc>
        <w:tc>
          <w:tcPr>
            <w:tcW w:w="12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-2,9</w:t>
            </w:r>
          </w:p>
        </w:tc>
      </w:tr>
    </w:tbl>
    <w:p w:rsidR="00D602D4" w:rsidRDefault="00D602D4">
      <w:pPr>
        <w:pStyle w:val="ac"/>
        <w:spacing w:after="0" w:line="240" w:lineRule="auto"/>
        <w:ind w:left="0" w:firstLine="709"/>
        <w:jc w:val="both"/>
        <w:rPr>
          <w:rFonts w:ascii="Times New Roman" w:hAnsi="Times New Roman" w:cs="Times New Roman"/>
          <w:color w:val="000000" w:themeColor="text1"/>
          <w:sz w:val="24"/>
          <w:szCs w:val="24"/>
          <w:highlight w:val="white"/>
        </w:rPr>
      </w:pPr>
    </w:p>
    <w:p w:rsidR="00D602D4" w:rsidRDefault="000B4C86">
      <w:pPr>
        <w:pStyle w:val="ac"/>
        <w:spacing w:after="0" w:line="240" w:lineRule="auto"/>
        <w:ind w:left="0" w:firstLine="709"/>
        <w:jc w:val="both"/>
        <w:rPr>
          <w:rFonts w:ascii="Times New Roman" w:hAnsi="Times New Roman" w:cs="Times New Roman"/>
          <w:color w:val="000000" w:themeColor="text1"/>
          <w:sz w:val="24"/>
          <w:szCs w:val="24"/>
          <w:highlight w:val="white"/>
        </w:rPr>
      </w:pPr>
      <w:r>
        <w:rPr>
          <w:rFonts w:ascii="Times New Roman" w:eastAsia="Times New Roman" w:hAnsi="Times New Roman" w:cs="Times New Roman"/>
          <w:color w:val="000000"/>
          <w:sz w:val="24"/>
        </w:rPr>
        <w:t>Уровень расчетов по итогам 2024 года сложился в размере 97,8%, отклонение обусловлено неплатежами ГК Газпромнефть и неплатежами ТСО Кемеровской области и Красноярского края в связи с оспариванием тарифно-балансовых решений 2024 года.</w:t>
      </w:r>
    </w:p>
    <w:p w:rsidR="00D602D4" w:rsidRDefault="000B4C86">
      <w:pPr>
        <w:pStyle w:val="ac"/>
        <w:ind w:left="0"/>
        <w:jc w:val="center"/>
        <w:rPr>
          <w:rFonts w:ascii="Times New Roman" w:hAnsi="Times New Roman" w:cs="Times New Roman"/>
          <w:b/>
          <w:bCs/>
          <w:color w:val="000000" w:themeColor="text1"/>
          <w:sz w:val="24"/>
          <w:szCs w:val="24"/>
          <w:highlight w:val="white"/>
        </w:rPr>
      </w:pPr>
      <w:r>
        <w:rPr>
          <w:rFonts w:ascii="Times New Roman" w:hAnsi="Times New Roman" w:cs="Times New Roman"/>
          <w:noProof/>
          <w:color w:val="000000" w:themeColor="text1"/>
          <w:sz w:val="24"/>
          <w:szCs w:val="24"/>
          <w:highlight w:val="white"/>
          <w:lang w:eastAsia="ru-RU"/>
        </w:rPr>
        <w:lastRenderedPageBreak/>
        <w:drawing>
          <wp:inline distT="0" distB="0" distL="0" distR="0">
            <wp:extent cx="5947576" cy="2989580"/>
            <wp:effectExtent l="0" t="0" r="0" b="1270"/>
            <wp:docPr id="21"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D602D4" w:rsidRDefault="000B4C86">
      <w:pPr>
        <w:pStyle w:val="ac"/>
        <w:ind w:left="0" w:firstLine="709"/>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Рис. 11 - Динамика уровня расчетов с сетевыми организациями (ТСО)</w:t>
      </w:r>
    </w:p>
    <w:p w:rsidR="00D602D4" w:rsidRDefault="00D602D4">
      <w:pPr>
        <w:pStyle w:val="ac"/>
        <w:spacing w:after="0" w:line="240" w:lineRule="auto"/>
        <w:ind w:left="0" w:firstLine="709"/>
        <w:jc w:val="both"/>
        <w:rPr>
          <w:rFonts w:ascii="Times New Roman" w:hAnsi="Times New Roman" w:cs="Times New Roman"/>
          <w:color w:val="000000" w:themeColor="text1"/>
          <w:sz w:val="24"/>
          <w:szCs w:val="24"/>
          <w:highlight w:val="white"/>
        </w:rPr>
      </w:pPr>
    </w:p>
    <w:p w:rsidR="00D602D4" w:rsidRDefault="000B4C86">
      <w:pPr>
        <w:pStyle w:val="ac"/>
        <w:spacing w:after="0" w:line="240" w:lineRule="auto"/>
        <w:ind w:left="0" w:firstLine="709"/>
        <w:jc w:val="both"/>
        <w:rPr>
          <w:rFonts w:ascii="Times New Roman" w:hAnsi="Times New Roman" w:cs="Times New Roman"/>
          <w:b/>
          <w:bCs/>
          <w:color w:val="000000" w:themeColor="text1"/>
          <w:sz w:val="24"/>
          <w:szCs w:val="24"/>
          <w:highlight w:val="white"/>
        </w:rPr>
      </w:pPr>
      <w:r>
        <w:rPr>
          <w:rFonts w:ascii="Times New Roman" w:hAnsi="Times New Roman" w:cs="Times New Roman"/>
          <w:color w:val="000000" w:themeColor="text1"/>
          <w:sz w:val="24"/>
          <w:szCs w:val="24"/>
          <w:highlight w:val="white"/>
        </w:rPr>
        <w:t xml:space="preserve">Уровень расчетов с территориальными сетевыми организациями по итогам 2024 года в целом по Обществу сложился 100,3%. </w:t>
      </w:r>
    </w:p>
    <w:p w:rsidR="00D602D4" w:rsidRDefault="000B4C86">
      <w:pPr>
        <w:spacing w:after="0" w:line="240" w:lineRule="auto"/>
        <w:ind w:firstLine="720"/>
        <w:jc w:val="right"/>
        <w:rPr>
          <w:rFonts w:ascii="Times New Roman" w:eastAsia="Times New Roman" w:hAnsi="Times New Roman" w:cs="Times New Roman"/>
          <w:color w:val="000000" w:themeColor="text1"/>
          <w:highlight w:val="white"/>
          <w:shd w:val="clear" w:color="auto" w:fill="FFFFFF"/>
        </w:rPr>
      </w:pPr>
      <w:r>
        <w:rPr>
          <w:rFonts w:ascii="Times New Roman" w:eastAsia="Times New Roman" w:hAnsi="Times New Roman" w:cs="Times New Roman"/>
          <w:color w:val="000000" w:themeColor="text1"/>
          <w:highlight w:val="white"/>
          <w:shd w:val="clear" w:color="auto" w:fill="FFFFFF"/>
        </w:rPr>
        <w:t xml:space="preserve">Таблица 22 </w:t>
      </w:r>
    </w:p>
    <w:p w:rsidR="00D602D4" w:rsidRDefault="000B4C86">
      <w:pPr>
        <w:widowControl w:val="0"/>
        <w:spacing w:after="0" w:line="240" w:lineRule="auto"/>
        <w:jc w:val="center"/>
        <w:rPr>
          <w:rFonts w:ascii="Times New Roman" w:hAnsi="Times New Roman" w:cs="Times New Roman"/>
          <w:b/>
          <w:color w:val="000000" w:themeColor="text1"/>
          <w:highlight w:val="white"/>
        </w:rPr>
      </w:pPr>
      <w:r>
        <w:rPr>
          <w:rFonts w:ascii="Times New Roman" w:hAnsi="Times New Roman" w:cs="Times New Roman"/>
          <w:b/>
          <w:color w:val="000000" w:themeColor="text1"/>
          <w:highlight w:val="white"/>
        </w:rPr>
        <w:t xml:space="preserve">Уровень расчетов с территориальными сетевыми организациями, % </w:t>
      </w:r>
    </w:p>
    <w:tbl>
      <w:tblPr>
        <w:tblW w:w="9062" w:type="dxa"/>
        <w:tblInd w:w="574" w:type="dxa"/>
        <w:tblLayout w:type="fixed"/>
        <w:tblLook w:val="04A0" w:firstRow="1" w:lastRow="0" w:firstColumn="1" w:lastColumn="0" w:noHBand="0" w:noVBand="1"/>
      </w:tblPr>
      <w:tblGrid>
        <w:gridCol w:w="3208"/>
        <w:gridCol w:w="1152"/>
        <w:gridCol w:w="1247"/>
        <w:gridCol w:w="1398"/>
        <w:gridCol w:w="2057"/>
      </w:tblGrid>
      <w:tr w:rsidR="00D602D4">
        <w:trPr>
          <w:trHeight w:val="91"/>
        </w:trPr>
        <w:tc>
          <w:tcPr>
            <w:tcW w:w="3208"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Наименование филиала</w:t>
            </w:r>
          </w:p>
        </w:tc>
        <w:tc>
          <w:tcPr>
            <w:tcW w:w="1152"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2022</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2023</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2024</w:t>
            </w: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Отклонение</w:t>
            </w:r>
          </w:p>
        </w:tc>
      </w:tr>
      <w:tr w:rsidR="00D602D4">
        <w:trPr>
          <w:trHeight w:val="91"/>
        </w:trPr>
        <w:tc>
          <w:tcPr>
            <w:tcW w:w="3208"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highlight w:val="yellow"/>
              </w:rPr>
            </w:pPr>
          </w:p>
        </w:tc>
        <w:tc>
          <w:tcPr>
            <w:tcW w:w="1152"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highlight w:val="yellow"/>
              </w:rPr>
            </w:pPr>
          </w:p>
        </w:tc>
        <w:tc>
          <w:tcPr>
            <w:tcW w:w="12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highlight w:val="yellow"/>
              </w:rPr>
            </w:pPr>
          </w:p>
        </w:tc>
        <w:tc>
          <w:tcPr>
            <w:tcW w:w="1398"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highlight w:val="yellow"/>
              </w:rPr>
            </w:pP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2024/2023</w:t>
            </w:r>
          </w:p>
        </w:tc>
      </w:tr>
      <w:tr w:rsidR="00D602D4">
        <w:trPr>
          <w:trHeight w:val="91"/>
        </w:trPr>
        <w:tc>
          <w:tcPr>
            <w:tcW w:w="3208"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highlight w:val="yellow"/>
              </w:rPr>
            </w:pPr>
          </w:p>
        </w:tc>
        <w:tc>
          <w:tcPr>
            <w:tcW w:w="1152"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highlight w:val="yellow"/>
              </w:rPr>
            </w:pPr>
          </w:p>
        </w:tc>
        <w:tc>
          <w:tcPr>
            <w:tcW w:w="12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highlight w:val="yellow"/>
              </w:rPr>
            </w:pPr>
          </w:p>
        </w:tc>
        <w:tc>
          <w:tcPr>
            <w:tcW w:w="1398"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highlight w:val="yellow"/>
              </w:rPr>
            </w:pP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w:t>
            </w:r>
          </w:p>
        </w:tc>
      </w:tr>
      <w:tr w:rsidR="00D602D4">
        <w:trPr>
          <w:trHeight w:val="91"/>
        </w:trPr>
        <w:tc>
          <w:tcPr>
            <w:tcW w:w="320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Алтайэнерго</w:t>
            </w:r>
          </w:p>
        </w:tc>
        <w:tc>
          <w:tcPr>
            <w:tcW w:w="115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12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101</w:t>
            </w:r>
          </w:p>
        </w:tc>
        <w:tc>
          <w:tcPr>
            <w:tcW w:w="139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w:t>
            </w:r>
          </w:p>
        </w:tc>
      </w:tr>
      <w:tr w:rsidR="00D602D4">
        <w:trPr>
          <w:trHeight w:val="91"/>
        </w:trPr>
        <w:tc>
          <w:tcPr>
            <w:tcW w:w="320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Бурятэнерго</w:t>
            </w:r>
          </w:p>
        </w:tc>
        <w:tc>
          <w:tcPr>
            <w:tcW w:w="115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12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104</w:t>
            </w:r>
          </w:p>
        </w:tc>
        <w:tc>
          <w:tcPr>
            <w:tcW w:w="139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-4</w:t>
            </w:r>
          </w:p>
        </w:tc>
      </w:tr>
      <w:tr w:rsidR="00D602D4">
        <w:trPr>
          <w:trHeight w:val="91"/>
        </w:trPr>
        <w:tc>
          <w:tcPr>
            <w:tcW w:w="320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ГАЭС</w:t>
            </w:r>
          </w:p>
        </w:tc>
        <w:tc>
          <w:tcPr>
            <w:tcW w:w="115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99</w:t>
            </w:r>
          </w:p>
        </w:tc>
        <w:tc>
          <w:tcPr>
            <w:tcW w:w="12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139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w:t>
            </w:r>
          </w:p>
        </w:tc>
      </w:tr>
      <w:tr w:rsidR="00D602D4">
        <w:trPr>
          <w:trHeight w:val="91"/>
        </w:trPr>
        <w:tc>
          <w:tcPr>
            <w:tcW w:w="320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Красноярскэнерго</w:t>
            </w:r>
          </w:p>
        </w:tc>
        <w:tc>
          <w:tcPr>
            <w:tcW w:w="115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101</w:t>
            </w:r>
          </w:p>
        </w:tc>
        <w:tc>
          <w:tcPr>
            <w:tcW w:w="12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139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w:t>
            </w:r>
          </w:p>
        </w:tc>
      </w:tr>
      <w:tr w:rsidR="00D602D4">
        <w:trPr>
          <w:trHeight w:val="91"/>
        </w:trPr>
        <w:tc>
          <w:tcPr>
            <w:tcW w:w="320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Кузбассэнерго-РЭС</w:t>
            </w:r>
          </w:p>
        </w:tc>
        <w:tc>
          <w:tcPr>
            <w:tcW w:w="115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12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137</w:t>
            </w:r>
          </w:p>
        </w:tc>
        <w:tc>
          <w:tcPr>
            <w:tcW w:w="139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0</w:t>
            </w: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-137</w:t>
            </w:r>
          </w:p>
        </w:tc>
      </w:tr>
      <w:tr w:rsidR="00D602D4">
        <w:trPr>
          <w:trHeight w:val="91"/>
        </w:trPr>
        <w:tc>
          <w:tcPr>
            <w:tcW w:w="320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Омскэнерго</w:t>
            </w:r>
          </w:p>
        </w:tc>
        <w:tc>
          <w:tcPr>
            <w:tcW w:w="115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12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139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99</w:t>
            </w: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w:t>
            </w:r>
          </w:p>
        </w:tc>
      </w:tr>
      <w:tr w:rsidR="00D602D4">
        <w:trPr>
          <w:trHeight w:val="91"/>
        </w:trPr>
        <w:tc>
          <w:tcPr>
            <w:tcW w:w="320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Хакасэнерго</w:t>
            </w:r>
          </w:p>
        </w:tc>
        <w:tc>
          <w:tcPr>
            <w:tcW w:w="115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99</w:t>
            </w:r>
          </w:p>
        </w:tc>
        <w:tc>
          <w:tcPr>
            <w:tcW w:w="12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99</w:t>
            </w:r>
          </w:p>
        </w:tc>
        <w:tc>
          <w:tcPr>
            <w:tcW w:w="139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108</w:t>
            </w: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w:t>
            </w:r>
          </w:p>
        </w:tc>
      </w:tr>
      <w:tr w:rsidR="00D602D4">
        <w:trPr>
          <w:trHeight w:val="91"/>
        </w:trPr>
        <w:tc>
          <w:tcPr>
            <w:tcW w:w="320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Читаэнерго</w:t>
            </w:r>
          </w:p>
        </w:tc>
        <w:tc>
          <w:tcPr>
            <w:tcW w:w="115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101</w:t>
            </w:r>
          </w:p>
        </w:tc>
        <w:tc>
          <w:tcPr>
            <w:tcW w:w="12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100</w:t>
            </w:r>
          </w:p>
        </w:tc>
        <w:tc>
          <w:tcPr>
            <w:tcW w:w="139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97</w:t>
            </w: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themeColor="text1"/>
                <w:highlight w:val="white"/>
              </w:rPr>
            </w:pPr>
            <w:r>
              <w:rPr>
                <w:rFonts w:ascii="Times New Roman" w:eastAsia="Times New Roman" w:hAnsi="Times New Roman" w:cs="Times New Roman"/>
                <w:color w:val="000000" w:themeColor="text1"/>
                <w:highlight w:val="white"/>
              </w:rPr>
              <w:t>-3</w:t>
            </w:r>
          </w:p>
        </w:tc>
      </w:tr>
      <w:tr w:rsidR="00D602D4">
        <w:trPr>
          <w:trHeight w:val="91"/>
        </w:trPr>
        <w:tc>
          <w:tcPr>
            <w:tcW w:w="320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Итого по ПАО "Россети Сибирь"</w:t>
            </w:r>
          </w:p>
        </w:tc>
        <w:tc>
          <w:tcPr>
            <w:tcW w:w="115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100</w:t>
            </w:r>
          </w:p>
        </w:tc>
        <w:tc>
          <w:tcPr>
            <w:tcW w:w="12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100</w:t>
            </w:r>
          </w:p>
        </w:tc>
        <w:tc>
          <w:tcPr>
            <w:tcW w:w="139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100</w:t>
            </w:r>
          </w:p>
        </w:tc>
        <w:tc>
          <w:tcPr>
            <w:tcW w:w="205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themeColor="text1"/>
                <w:highlight w:val="white"/>
              </w:rPr>
            </w:pPr>
            <w:r>
              <w:rPr>
                <w:rFonts w:ascii="Times New Roman" w:eastAsia="Times New Roman" w:hAnsi="Times New Roman" w:cs="Times New Roman"/>
                <w:b/>
                <w:bCs/>
                <w:color w:val="000000" w:themeColor="text1"/>
                <w:highlight w:val="white"/>
              </w:rPr>
              <w:t>-</w:t>
            </w:r>
          </w:p>
        </w:tc>
      </w:tr>
    </w:tbl>
    <w:p w:rsidR="00D602D4" w:rsidRDefault="00D602D4">
      <w:pPr>
        <w:spacing w:after="0" w:line="240" w:lineRule="auto"/>
        <w:ind w:firstLine="720"/>
        <w:jc w:val="both"/>
        <w:rPr>
          <w:rFonts w:ascii="Times New Roman" w:eastAsia="Times New Roman" w:hAnsi="Times New Roman" w:cs="Times New Roman"/>
          <w:color w:val="000000" w:themeColor="text1"/>
          <w:highlight w:val="white"/>
        </w:rPr>
      </w:pPr>
    </w:p>
    <w:p w:rsidR="00D602D4" w:rsidRDefault="000B4C86">
      <w:pPr>
        <w:spacing w:after="0" w:line="240" w:lineRule="auto"/>
        <w:ind w:firstLine="720"/>
        <w:jc w:val="both"/>
        <w:rPr>
          <w:rFonts w:ascii="Times New Roman" w:eastAsia="Times New Roman" w:hAnsi="Times New Roman" w:cs="Times New Roman"/>
          <w:color w:val="000000" w:themeColor="text1"/>
          <w:sz w:val="24"/>
          <w:szCs w:val="24"/>
          <w:highlight w:val="white"/>
          <w:shd w:val="clear" w:color="auto" w:fill="FFFFFF"/>
        </w:rPr>
      </w:pPr>
      <w:r>
        <w:rPr>
          <w:rFonts w:ascii="Times New Roman" w:eastAsia="Times New Roman" w:hAnsi="Times New Roman" w:cs="Times New Roman"/>
          <w:color w:val="000000" w:themeColor="text1"/>
          <w:highlight w:val="white"/>
          <w:shd w:val="clear" w:color="auto" w:fill="FFFFFF"/>
        </w:rPr>
        <w:t>В</w:t>
      </w:r>
      <w:r>
        <w:rPr>
          <w:rFonts w:ascii="Times New Roman" w:eastAsia="Times New Roman" w:hAnsi="Times New Roman" w:cs="Times New Roman"/>
          <w:color w:val="000000" w:themeColor="text1"/>
          <w:sz w:val="24"/>
          <w:szCs w:val="24"/>
          <w:highlight w:val="white"/>
          <w:shd w:val="clear" w:color="auto" w:fill="FFFFFF"/>
        </w:rPr>
        <w:t xml:space="preserve"> целом по ПАО «Россети Сибирь» уровень расчетов с ТСО по итогам 2024 года составил 100%, что соответствует уровню 2023 года.</w:t>
      </w:r>
    </w:p>
    <w:p w:rsidR="00D602D4" w:rsidRDefault="000B4C86">
      <w:pPr>
        <w:spacing w:after="0" w:line="240" w:lineRule="auto"/>
        <w:ind w:firstLine="720"/>
        <w:jc w:val="both"/>
        <w:rPr>
          <w:rFonts w:ascii="Times New Roman" w:eastAsia="Times New Roman" w:hAnsi="Times New Roman" w:cs="Times New Roman"/>
          <w:color w:val="000000" w:themeColor="text1"/>
          <w:highlight w:val="white"/>
          <w:shd w:val="clear" w:color="auto" w:fill="FFFFFF"/>
        </w:rPr>
      </w:pPr>
      <w:r>
        <w:rPr>
          <w:rFonts w:ascii="Times New Roman" w:eastAsia="Times New Roman" w:hAnsi="Times New Roman" w:cs="Times New Roman"/>
          <w:color w:val="000000" w:themeColor="text1"/>
          <w:sz w:val="24"/>
          <w:szCs w:val="24"/>
          <w:highlight w:val="white"/>
          <w:shd w:val="clear" w:color="auto" w:fill="FFFFFF"/>
        </w:rPr>
        <w:t>Отклонения по филиалу Кузбассэнерго-РЭС сложилось в связи с изменением схем взаиморасчетов с ТСО в Кемеровской области. В ТБР 2024 года отсутствуют пары сетевых организация для взаиморасчетов, в которых Общество является плательщиком.</w:t>
      </w:r>
    </w:p>
    <w:p w:rsidR="00D602D4" w:rsidRDefault="000B4C86">
      <w:pPr>
        <w:pStyle w:val="ac"/>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p>
    <w:p w:rsidR="00D602D4" w:rsidRDefault="000B4C86">
      <w:pPr>
        <w:pBdr>
          <w:top w:val="none" w:sz="4" w:space="0" w:color="000000"/>
          <w:left w:val="none" w:sz="4" w:space="0" w:color="000000"/>
          <w:bottom w:val="none" w:sz="4" w:space="0" w:color="000000"/>
          <w:right w:val="none" w:sz="4" w:space="0" w:color="000000"/>
        </w:pBdr>
        <w:spacing w:after="0"/>
        <w:ind w:firstLine="709"/>
        <w:jc w:val="both"/>
      </w:pPr>
      <w:r>
        <w:rPr>
          <w:rFonts w:ascii="Times New Roman" w:eastAsia="Times New Roman" w:hAnsi="Times New Roman" w:cs="Times New Roman"/>
          <w:color w:val="000000"/>
          <w:sz w:val="24"/>
        </w:rPr>
        <w:t xml:space="preserve">Уровень расчетов с ПАО «Россети» по договорам оказания услуг по передаче электроэнергии по ЕНЭС по итогам 2024 года составил 99,7%, оплата произведена в полном объеме. </w:t>
      </w:r>
    </w:p>
    <w:p w:rsidR="00D602D4" w:rsidRDefault="00D602D4">
      <w:pPr>
        <w:spacing w:after="0" w:line="240" w:lineRule="auto"/>
        <w:ind w:firstLine="720"/>
        <w:jc w:val="both"/>
        <w:rPr>
          <w:rFonts w:ascii="Times New Roman" w:eastAsia="Times New Roman" w:hAnsi="Times New Roman" w:cs="Times New Roman"/>
          <w:color w:val="000000" w:themeColor="text1"/>
          <w:highlight w:val="white"/>
          <w:shd w:val="clear" w:color="auto" w:fill="FFFFFF"/>
        </w:rPr>
      </w:pPr>
    </w:p>
    <w:p w:rsidR="00D602D4" w:rsidRDefault="000B4C86">
      <w:pPr>
        <w:pStyle w:val="ac"/>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0B4C86">
      <w:pPr>
        <w:pStyle w:val="13"/>
        <w:rPr>
          <w:rFonts w:ascii="Times New Roman" w:hAnsi="Times New Roman" w:cs="Times New Roman"/>
          <w:sz w:val="24"/>
          <w:szCs w:val="24"/>
        </w:rPr>
      </w:pPr>
      <w:bookmarkStart w:id="30" w:name="_Toc33"/>
      <w:r>
        <w:rPr>
          <w:rFonts w:ascii="Times New Roman" w:eastAsia="Times New Roman" w:hAnsi="Times New Roman" w:cs="Times New Roman"/>
          <w:b/>
          <w:color w:val="000000" w:themeColor="text1"/>
          <w:sz w:val="26"/>
          <w:szCs w:val="26"/>
        </w:rPr>
        <w:lastRenderedPageBreak/>
        <w:t>3.1.4. Технологическое присоединение</w:t>
      </w:r>
      <w:bookmarkEnd w:id="30"/>
    </w:p>
    <w:p w:rsidR="00D602D4" w:rsidRDefault="000B4C86">
      <w:pPr>
        <w:pStyle w:val="23"/>
        <w:spacing w:before="0" w:line="240" w:lineRule="auto"/>
        <w:ind w:firstLine="709"/>
        <w:jc w:val="center"/>
        <w:rPr>
          <w:rFonts w:ascii="Times New Roman" w:eastAsia="Times New Roman" w:hAnsi="Times New Roman" w:cs="Times New Roman"/>
          <w:b/>
          <w:color w:val="auto"/>
          <w:sz w:val="24"/>
          <w:szCs w:val="24"/>
          <w:lang w:eastAsia="ru-RU"/>
        </w:rPr>
      </w:pPr>
      <w:bookmarkStart w:id="31" w:name="_Toc34"/>
      <w:r>
        <w:rPr>
          <w:rFonts w:ascii="Times New Roman" w:eastAsia="Times New Roman" w:hAnsi="Times New Roman" w:cs="Times New Roman"/>
          <w:b/>
          <w:color w:val="auto"/>
          <w:sz w:val="24"/>
          <w:szCs w:val="24"/>
          <w:lang w:eastAsia="ru-RU"/>
        </w:rPr>
        <w:t>Основные показатели деятельности</w:t>
      </w:r>
      <w:bookmarkEnd w:id="31"/>
    </w:p>
    <w:p w:rsidR="00D602D4" w:rsidRDefault="000B4C86">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2024 году поступило 59 394 заявок на технологическое присоединение (с учетом переходящих) суммарной мощностью 4 880 МВт, в том числе на присоединение электроустановок категории «до 15 кВт» – 50 703 заявки суммарной мощностью 549 МВт, а также рассмотрено 6 заявок на присоединение объектов генерации суммарной максимальной мощностью 206 МВт.</w:t>
      </w:r>
    </w:p>
    <w:p w:rsidR="00D602D4" w:rsidRDefault="000B4C86">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2024 году заключено 38 362 договоров технологического присоединения энергопринимающих устройств суммарной мощностью 1 379 МВт, в том числе:</w:t>
      </w:r>
    </w:p>
    <w:p w:rsidR="00D602D4" w:rsidRDefault="000B4C86">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электроустановки мощностью до 15 кВт – 33 902 договоров суммарной мощностью 364 МВт;</w:t>
      </w:r>
    </w:p>
    <w:p w:rsidR="00D602D4" w:rsidRDefault="000B4C86">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электроустановки мощностью от 15 до 150 кВт – 3 931 договора суммарной мощностью 161 МВт;</w:t>
      </w:r>
    </w:p>
    <w:p w:rsidR="00D602D4" w:rsidRDefault="000B4C86">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электроустановки мощностью от 150 до 670 кВт – 338 договоров суммарной мощностью 106 МВт;</w:t>
      </w:r>
    </w:p>
    <w:p w:rsidR="00D602D4" w:rsidRDefault="000B4C86">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электроустановки мощностью более 670 кВт – 189 договора суммарной мощностью 740 МВт;</w:t>
      </w:r>
    </w:p>
    <w:p w:rsidR="00D602D4" w:rsidRDefault="000B4C86">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объекты генерации – 2 договора суммарной мощностью 9 МВт</w:t>
      </w:r>
    </w:p>
    <w:p w:rsidR="00D602D4" w:rsidRDefault="000B4C86">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Динамика показателей по технологическому присоединению за 2024 год по сравнению с 2023 годом представлена в таблице.</w:t>
      </w:r>
    </w:p>
    <w:p w:rsidR="00D602D4" w:rsidRDefault="00D602D4">
      <w:pPr>
        <w:rPr>
          <w:rFonts w:ascii="Times New Roman" w:hAnsi="Times New Roman" w:cs="Times New Roman"/>
        </w:rPr>
        <w:sectPr w:rsidR="00D602D4">
          <w:pgSz w:w="11906" w:h="16838"/>
          <w:pgMar w:top="1276" w:right="851" w:bottom="425" w:left="1276" w:header="720" w:footer="720" w:gutter="0"/>
          <w:cols w:space="720"/>
          <w:titlePg/>
          <w:docGrid w:linePitch="360"/>
        </w:sectPr>
      </w:pPr>
    </w:p>
    <w:p w:rsidR="00D602D4" w:rsidRDefault="000B4C86">
      <w:pPr>
        <w:spacing w:after="0" w:line="240" w:lineRule="auto"/>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Перечень показателей по технологическому присоединению</w:t>
      </w:r>
    </w:p>
    <w:p w:rsidR="00D602D4" w:rsidRDefault="000B4C86">
      <w:pPr>
        <w:spacing w:after="0" w:line="240" w:lineRule="auto"/>
        <w:ind w:right="536"/>
        <w:contextualSpacing/>
        <w:jc w:val="right"/>
        <w:rPr>
          <w:rFonts w:ascii="Times New Roman" w:eastAsia="Times New Roman" w:hAnsi="Times New Roman" w:cs="Times New Roman"/>
          <w:b/>
          <w:sz w:val="24"/>
          <w:szCs w:val="24"/>
        </w:rPr>
      </w:pPr>
      <w:r>
        <w:rPr>
          <w:rFonts w:ascii="Times New Roman" w:eastAsia="Times New Roman" w:hAnsi="Times New Roman" w:cs="Times New Roman"/>
          <w:sz w:val="24"/>
          <w:szCs w:val="24"/>
        </w:rPr>
        <w:t>Таблица 23</w:t>
      </w:r>
    </w:p>
    <w:tbl>
      <w:tblPr>
        <w:tblW w:w="15040" w:type="dxa"/>
        <w:tblInd w:w="552" w:type="dxa"/>
        <w:tblLook w:val="04A0" w:firstRow="1" w:lastRow="0" w:firstColumn="1" w:lastColumn="0" w:noHBand="0" w:noVBand="1"/>
      </w:tblPr>
      <w:tblGrid>
        <w:gridCol w:w="5659"/>
        <w:gridCol w:w="1292"/>
        <w:gridCol w:w="1845"/>
        <w:gridCol w:w="2128"/>
        <w:gridCol w:w="1985"/>
        <w:gridCol w:w="2131"/>
      </w:tblGrid>
      <w:tr w:rsidR="00D602D4">
        <w:trPr>
          <w:trHeight w:val="330"/>
          <w:tblHeader/>
        </w:trPr>
        <w:tc>
          <w:tcPr>
            <w:tcW w:w="5659" w:type="dxa"/>
            <w:vMerge w:val="restart"/>
            <w:tcBorders>
              <w:top w:val="single" w:sz="8" w:space="0" w:color="000000"/>
              <w:left w:val="single" w:sz="8" w:space="0" w:color="000000"/>
              <w:bottom w:val="single" w:sz="8" w:space="0" w:color="000000"/>
              <w:right w:val="single" w:sz="8" w:space="0" w:color="000000"/>
            </w:tcBorders>
            <w:shd w:val="clear" w:color="000000" w:fill="B6DDE8"/>
            <w:vAlign w:val="center"/>
          </w:tcPr>
          <w:p w:rsidR="00D602D4" w:rsidRDefault="000B4C86">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Показатели</w:t>
            </w:r>
          </w:p>
        </w:tc>
        <w:tc>
          <w:tcPr>
            <w:tcW w:w="1292" w:type="dxa"/>
            <w:vMerge w:val="restart"/>
            <w:tcBorders>
              <w:top w:val="single" w:sz="8" w:space="0" w:color="000000"/>
              <w:left w:val="single" w:sz="8" w:space="0" w:color="000000"/>
              <w:bottom w:val="single" w:sz="8" w:space="0" w:color="000000"/>
              <w:right w:val="single" w:sz="8" w:space="0" w:color="000000"/>
            </w:tcBorders>
            <w:shd w:val="clear" w:color="000000" w:fill="B6DDE8"/>
            <w:vAlign w:val="center"/>
          </w:tcPr>
          <w:p w:rsidR="00D602D4" w:rsidRDefault="000B4C86">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Единицы измерения</w:t>
            </w:r>
          </w:p>
        </w:tc>
        <w:tc>
          <w:tcPr>
            <w:tcW w:w="8085" w:type="dxa"/>
            <w:gridSpan w:val="4"/>
            <w:tcBorders>
              <w:top w:val="single" w:sz="8" w:space="0" w:color="000000"/>
              <w:left w:val="none" w:sz="4" w:space="0" w:color="000000"/>
              <w:bottom w:val="single" w:sz="8" w:space="0" w:color="000000"/>
              <w:right w:val="single" w:sz="8" w:space="0" w:color="000000"/>
            </w:tcBorders>
            <w:shd w:val="clear" w:color="000000" w:fill="B6DDE8"/>
            <w:vAlign w:val="center"/>
          </w:tcPr>
          <w:p w:rsidR="00D602D4" w:rsidRDefault="000B4C86">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Период</w:t>
            </w:r>
          </w:p>
        </w:tc>
      </w:tr>
      <w:tr w:rsidR="00D602D4">
        <w:trPr>
          <w:trHeight w:val="276"/>
          <w:tblHeader/>
        </w:trPr>
        <w:tc>
          <w:tcPr>
            <w:tcW w:w="5659"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hAnsi="Times New Roman" w:cs="Times New Roman"/>
                <w:sz w:val="24"/>
                <w:szCs w:val="24"/>
              </w:rPr>
            </w:pPr>
          </w:p>
        </w:tc>
        <w:tc>
          <w:tcPr>
            <w:tcW w:w="1292"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jc w:val="center"/>
              <w:rPr>
                <w:rFonts w:ascii="Times New Roman" w:hAnsi="Times New Roman" w:cs="Times New Roman"/>
                <w:sz w:val="24"/>
                <w:szCs w:val="24"/>
              </w:rPr>
            </w:pPr>
          </w:p>
        </w:tc>
        <w:tc>
          <w:tcPr>
            <w:tcW w:w="1845" w:type="dxa"/>
            <w:vMerge w:val="restart"/>
            <w:tcBorders>
              <w:top w:val="single" w:sz="4" w:space="0" w:color="000000"/>
              <w:left w:val="single" w:sz="4" w:space="0" w:color="000000"/>
              <w:bottom w:val="single" w:sz="4" w:space="0" w:color="000000"/>
              <w:right w:val="single" w:sz="4" w:space="0" w:color="000000"/>
            </w:tcBorders>
            <w:shd w:val="clear" w:color="000000" w:fill="B6DDE8"/>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2022 год</w:t>
            </w:r>
          </w:p>
        </w:tc>
        <w:tc>
          <w:tcPr>
            <w:tcW w:w="2128" w:type="dxa"/>
            <w:vMerge w:val="restart"/>
            <w:tcBorders>
              <w:top w:val="single" w:sz="4" w:space="0" w:color="000000"/>
              <w:left w:val="single" w:sz="4" w:space="0" w:color="000000"/>
              <w:bottom w:val="single" w:sz="4" w:space="0" w:color="000000"/>
              <w:right w:val="single" w:sz="4" w:space="0" w:color="000000"/>
            </w:tcBorders>
            <w:shd w:val="clear" w:color="000000" w:fill="B6DDE8"/>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 год</w:t>
            </w:r>
          </w:p>
        </w:tc>
        <w:tc>
          <w:tcPr>
            <w:tcW w:w="1985" w:type="dxa"/>
            <w:vMerge w:val="restart"/>
            <w:tcBorders>
              <w:top w:val="single" w:sz="4" w:space="0" w:color="000000"/>
              <w:left w:val="single" w:sz="4" w:space="0" w:color="000000"/>
              <w:bottom w:val="single" w:sz="4" w:space="0" w:color="000000"/>
              <w:right w:val="single" w:sz="4" w:space="0" w:color="000000"/>
            </w:tcBorders>
            <w:shd w:val="clear" w:color="000000" w:fill="B6DDE8"/>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2024 год</w:t>
            </w:r>
          </w:p>
        </w:tc>
        <w:tc>
          <w:tcPr>
            <w:tcW w:w="2127" w:type="dxa"/>
            <w:tcBorders>
              <w:top w:val="single" w:sz="4" w:space="0" w:color="000000"/>
              <w:left w:val="single" w:sz="4" w:space="0" w:color="000000"/>
              <w:bottom w:val="single" w:sz="4" w:space="0" w:color="000000"/>
              <w:right w:val="single" w:sz="4" w:space="0" w:color="000000"/>
            </w:tcBorders>
            <w:shd w:val="clear" w:color="000000" w:fill="B6DDE8"/>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изменение</w:t>
            </w:r>
          </w:p>
        </w:tc>
      </w:tr>
      <w:tr w:rsidR="00D602D4">
        <w:trPr>
          <w:trHeight w:val="170"/>
          <w:tblHeader/>
        </w:trPr>
        <w:tc>
          <w:tcPr>
            <w:tcW w:w="5659"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hAnsi="Times New Roman" w:cs="Times New Roman"/>
                <w:sz w:val="24"/>
                <w:szCs w:val="24"/>
              </w:rPr>
            </w:pPr>
          </w:p>
        </w:tc>
        <w:tc>
          <w:tcPr>
            <w:tcW w:w="1292"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jc w:val="center"/>
              <w:rPr>
                <w:rFonts w:ascii="Times New Roman" w:hAnsi="Times New Roman" w:cs="Times New Roman"/>
                <w:sz w:val="24"/>
                <w:szCs w:val="24"/>
              </w:rPr>
            </w:pPr>
          </w:p>
        </w:tc>
        <w:tc>
          <w:tcPr>
            <w:tcW w:w="1845"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jc w:val="center"/>
              <w:rPr>
                <w:rFonts w:ascii="Times New Roman" w:hAnsi="Times New Roman" w:cs="Times New Roman"/>
                <w:sz w:val="24"/>
                <w:szCs w:val="24"/>
              </w:rPr>
            </w:pPr>
          </w:p>
        </w:tc>
        <w:tc>
          <w:tcPr>
            <w:tcW w:w="2128"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jc w:val="center"/>
              <w:rPr>
                <w:rFonts w:ascii="Times New Roman" w:hAnsi="Times New Roman" w:cs="Times New Roman"/>
                <w:sz w:val="24"/>
                <w:szCs w:val="24"/>
              </w:rPr>
            </w:pPr>
          </w:p>
        </w:tc>
        <w:tc>
          <w:tcPr>
            <w:tcW w:w="1985"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jc w:val="center"/>
              <w:rPr>
                <w:rFonts w:ascii="Times New Roman" w:hAnsi="Times New Roman" w:cs="Times New Roman"/>
                <w:sz w:val="24"/>
                <w:szCs w:val="24"/>
              </w:rPr>
            </w:pPr>
          </w:p>
        </w:tc>
        <w:tc>
          <w:tcPr>
            <w:tcW w:w="2127" w:type="dxa"/>
            <w:tcBorders>
              <w:top w:val="single" w:sz="4" w:space="0" w:color="000000"/>
              <w:left w:val="single" w:sz="4" w:space="0" w:color="000000"/>
              <w:bottom w:val="single" w:sz="4" w:space="0" w:color="000000"/>
              <w:right w:val="single" w:sz="4" w:space="0" w:color="000000"/>
            </w:tcBorders>
            <w:shd w:val="clear" w:color="000000" w:fill="B6DDE8"/>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2023/2022 %</w:t>
            </w:r>
          </w:p>
        </w:tc>
      </w:tr>
      <w:tr w:rsidR="00D602D4">
        <w:trPr>
          <w:trHeight w:val="170"/>
          <w:tblHeader/>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84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12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98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12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r>
      <w:tr w:rsidR="00D602D4">
        <w:trPr>
          <w:trHeight w:val="486"/>
        </w:trPr>
        <w:tc>
          <w:tcPr>
            <w:tcW w:w="15040" w:type="dxa"/>
            <w:gridSpan w:val="6"/>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Технологическое присоединение</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Принято в работу заявок на ТП</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47 051</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43 338</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59 394</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37</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Принято в работу заявок на ТП</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3 466 080</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4 214 434</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4 880 268</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Заключено договоров ТП</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33 323</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28 505</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38 362</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Заключено договоров ТП</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1 625 881</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1 341 291</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1 379 096</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Исполнено договоров ТП</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21 494</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21 160</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26 884</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27</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Исполнено договоров ТП</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634 334</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536 661</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929 468</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73</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Действующие договоры ТП</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31 424</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37 538</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48 163</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Действующие договоры ТП</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2 566 342</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3 312 477</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3 681 448</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w:t>
            </w:r>
          </w:p>
        </w:tc>
      </w:tr>
      <w:tr w:rsidR="00D602D4">
        <w:trPr>
          <w:trHeight w:val="170"/>
        </w:trPr>
        <w:tc>
          <w:tcPr>
            <w:tcW w:w="15040" w:type="dxa"/>
            <w:gridSpan w:val="6"/>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Структура исполненных договоров по категориям заявителей:</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До 15 кВт включительно</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19 536</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18 992</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24 335</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Свыше 15 и до 150 кВт включительно</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1 633</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1 817</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2 197</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Свыше 150 кВт и менее 670 кВт</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238</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269</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246</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Не менее 670 кВт</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82</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106</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Генерация </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До 15 кВт включительно</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228 608</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203 612</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258 244</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27</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Свыше 15 и до 150 кВт включительно</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86 485</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83 236</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96 354</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Свыше 150 кВт и менее 670 кВт</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73 992</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79 135</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77 891</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Не менее 670 кВт</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178 484</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165 697</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365 979</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121</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Генерация </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66 765</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4 982</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131 000</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2 530</w:t>
            </w:r>
          </w:p>
        </w:tc>
      </w:tr>
      <w:tr w:rsidR="00D602D4">
        <w:trPr>
          <w:trHeight w:val="170"/>
        </w:trPr>
        <w:tc>
          <w:tcPr>
            <w:tcW w:w="15040" w:type="dxa"/>
            <w:gridSpan w:val="6"/>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i/>
                <w:sz w:val="24"/>
                <w:szCs w:val="24"/>
              </w:rPr>
              <w:t>Выручка от деятельности по ТП по категориям заявителей:</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До 15 кВт включительно</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млн руб.</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408</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668</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64</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Свыше 15 и до 150 кВт включительно</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млн руб.</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118</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160</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217</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Свыше 150 кВт и менее 670 кВт</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млн руб.</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398</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402</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499</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Не менее 670 кВт</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млн руб.</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168</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380</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1 350</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255</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Генерация </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млн руб.</w:t>
            </w:r>
          </w:p>
        </w:tc>
        <w:tc>
          <w:tcPr>
            <w:tcW w:w="184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81</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w:t>
            </w:r>
          </w:p>
        </w:tc>
      </w:tr>
      <w:tr w:rsidR="00D602D4">
        <w:trPr>
          <w:trHeight w:val="170"/>
        </w:trPr>
        <w:tc>
          <w:tcPr>
            <w:tcW w:w="15040" w:type="dxa"/>
            <w:gridSpan w:val="6"/>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i/>
                <w:sz w:val="24"/>
                <w:szCs w:val="24"/>
              </w:rPr>
              <w:t>Структура исполненных договоров по отраслям:</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Физические лица</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17 085</w:t>
            </w:r>
          </w:p>
        </w:tc>
        <w:tc>
          <w:tcPr>
            <w:tcW w:w="2128" w:type="dxa"/>
            <w:tcBorders>
              <w:top w:val="single" w:sz="8"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16 866</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22 223</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32</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A.  Сельское, лесное хозяйство, охота, рыболовство и рыбоводство</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126</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95</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64</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B.  Добыча полезных ископаемых</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C.  Обрабатывающие производства</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44</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-27</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Раздел D.  Обеспечение электрической энергией, газом и паром; кондиционирование воздуха </w:t>
            </w:r>
            <w:r>
              <w:rPr>
                <w:rFonts w:ascii="Times New Roman" w:hAnsi="Times New Roman" w:cs="Times New Roman"/>
                <w:sz w:val="24"/>
                <w:szCs w:val="24"/>
              </w:rPr>
              <w:br/>
              <w:t>(35.11 Производство электроэнергии и подразделы)</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44</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F.  Строительство</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93</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106</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72</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-32</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G.  Торговля оптовая и розничная; ремонт автотранспортных средств и мотоциклов</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143</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116</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104</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H.  Транспортировка и хранение</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25</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J. Деятельность в области информации и связи</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429</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332</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P.  Образование</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Q.  Деятельность в области здравоохранения и социальных услуг</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шт.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83</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105</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-63</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Прочее </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3 381</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3 464</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4 114</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Физические лица</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208 375</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187 646</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241 696</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29</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A.  Сельское, лесное хозяйство, охота, рыболовство и рыбоводство</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17 079</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12 886</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14 366</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B.  Добыча полезных ископаемых</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10 758</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4 250</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70 530</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1 560</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C.  Обрабатывающие производства</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28 895</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17 605</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26 652</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Раздел D.  Обеспечение электрической энергией, </w:t>
            </w:r>
            <w:r>
              <w:rPr>
                <w:rFonts w:ascii="Times New Roman" w:hAnsi="Times New Roman" w:cs="Times New Roman"/>
                <w:sz w:val="24"/>
                <w:szCs w:val="24"/>
              </w:rPr>
              <w:lastRenderedPageBreak/>
              <w:t xml:space="preserve">газом и паром; кондиционирование воздуха </w:t>
            </w:r>
            <w:r>
              <w:rPr>
                <w:rFonts w:ascii="Times New Roman" w:hAnsi="Times New Roman" w:cs="Times New Roman"/>
                <w:sz w:val="24"/>
                <w:szCs w:val="24"/>
              </w:rPr>
              <w:br/>
              <w:t>(35.11 Производство электроэнергии и подразделы)</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97 710</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33 107</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108 781</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229</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F.  Строительство</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35 254</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21 300</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31 130</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46</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G.  Торговля оптовая и розничная; ремонт автотранспортных средств и мотоциклов</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7 893</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8 952</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4 395</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H.  Транспортировка и хранение</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5 179</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1 340</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1 724</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29</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J. Деятельность в области информации и связи</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4 602</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3 515</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12 158</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246</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P.  Образование</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5 503</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2 337</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929</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Раздел Q.  Деятельность в области здравоохранения и социальных услуг</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4 682</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4 032</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1 916</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-52</w:t>
            </w:r>
          </w:p>
        </w:tc>
      </w:tr>
      <w:tr w:rsidR="00D602D4">
        <w:trPr>
          <w:trHeight w:val="170"/>
        </w:trPr>
        <w:tc>
          <w:tcPr>
            <w:tcW w:w="56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Прочее </w:t>
            </w:r>
          </w:p>
        </w:tc>
        <w:tc>
          <w:tcPr>
            <w:tcW w:w="12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4"/>
                <w:szCs w:val="24"/>
              </w:rPr>
            </w:pPr>
            <w:r>
              <w:rPr>
                <w:rFonts w:ascii="Times New Roman" w:hAnsi="Times New Roman" w:cs="Times New Roman"/>
                <w:sz w:val="24"/>
                <w:szCs w:val="24"/>
              </w:rPr>
              <w:t>кВт</w:t>
            </w:r>
          </w:p>
        </w:tc>
        <w:tc>
          <w:tcPr>
            <w:tcW w:w="1845"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208 406</w:t>
            </w:r>
          </w:p>
        </w:tc>
        <w:tc>
          <w:tcPr>
            <w:tcW w:w="2128"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239 691</w:t>
            </w:r>
          </w:p>
        </w:tc>
        <w:tc>
          <w:tcPr>
            <w:tcW w:w="198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415 190</w:t>
            </w:r>
          </w:p>
        </w:tc>
        <w:tc>
          <w:tcPr>
            <w:tcW w:w="212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73</w:t>
            </w:r>
          </w:p>
        </w:tc>
      </w:tr>
    </w:tbl>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sectPr w:rsidR="00D602D4">
          <w:headerReference w:type="default" r:id="rId51"/>
          <w:footerReference w:type="default" r:id="rId52"/>
          <w:footerReference w:type="first" r:id="rId53"/>
          <w:pgSz w:w="16838" w:h="11906" w:orient="landscape"/>
          <w:pgMar w:top="1276" w:right="567" w:bottom="851" w:left="425" w:header="720" w:footer="720" w:gutter="0"/>
          <w:cols w:space="720"/>
          <w:titlePg/>
          <w:docGrid w:linePitch="360"/>
        </w:sectPr>
      </w:pPr>
    </w:p>
    <w:p w:rsidR="00D602D4" w:rsidRDefault="00D602D4">
      <w:pPr>
        <w:tabs>
          <w:tab w:val="left" w:pos="0"/>
        </w:tabs>
        <w:spacing w:after="0" w:line="240" w:lineRule="auto"/>
        <w:ind w:firstLine="709"/>
        <w:contextualSpacing/>
        <w:jc w:val="both"/>
        <w:rPr>
          <w:rFonts w:ascii="Times New Roman" w:eastAsia="Times New Roman" w:hAnsi="Times New Roman"/>
          <w:sz w:val="24"/>
          <w:szCs w:val="24"/>
        </w:rPr>
      </w:pPr>
    </w:p>
    <w:p w:rsidR="00D602D4" w:rsidRDefault="00D602D4">
      <w:pPr>
        <w:tabs>
          <w:tab w:val="left" w:pos="0"/>
        </w:tabs>
        <w:spacing w:after="0" w:line="240" w:lineRule="auto"/>
        <w:ind w:firstLine="709"/>
        <w:contextualSpacing/>
        <w:jc w:val="both"/>
        <w:rPr>
          <w:rFonts w:ascii="Times New Roman" w:eastAsia="Times New Roman" w:hAnsi="Times New Roman"/>
          <w:sz w:val="24"/>
          <w:szCs w:val="24"/>
        </w:rPr>
      </w:pP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Количество обращений заявителей в ПАО «Россети Сибирь» в 2024 году увеличилось на 37% или на 16 056 штук, как и суммарный объем максимальной мощности поданных заявок (прирост на 16% или на 666 МВт относительно показателя 2023 года).</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Увеличение объема поступивших заявок относительно 2023 года зафиксировано на территории обслуживания в филиалах:</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Бурятэнерго на 42 %,</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 Красноярскэнерго на 9%, </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Кузбассэнерго – РЭС на 36%,</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Омскэнерго на 7%,</w:t>
      </w:r>
    </w:p>
    <w:p w:rsidR="00D602D4" w:rsidRDefault="000B4C86">
      <w:pPr>
        <w:tabs>
          <w:tab w:val="left" w:pos="0"/>
        </w:tabs>
        <w:spacing w:after="0" w:line="240" w:lineRule="auto"/>
        <w:ind w:firstLine="709"/>
        <w:contextualSpacing/>
        <w:jc w:val="both"/>
        <w:rPr>
          <w:rFonts w:ascii="Times New Roman" w:eastAsia="Times New Roman" w:hAnsi="Times New Roman"/>
          <w:color w:val="FF0000"/>
          <w:sz w:val="24"/>
          <w:szCs w:val="24"/>
        </w:rPr>
      </w:pPr>
      <w:r>
        <w:rPr>
          <w:rFonts w:ascii="Times New Roman" w:eastAsia="Times New Roman" w:hAnsi="Times New Roman"/>
          <w:sz w:val="24"/>
          <w:szCs w:val="24"/>
        </w:rPr>
        <w:t>- Хакасэнерго на 248%.</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Читаэнерго на 31%</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Существенный прирост заявок в филиале Хакасэнерго обусловлен мероприятием по вводу ограничения на потребление электрической энергии для жителей Республики Хакасия, по итогам которого в филиал поступило более 12 тысяч обращений об увеличении максимальной присоединенной мощности.</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Снижение объема поступивших заявок отмечено в филиале Алтайэнерго. На территории Алтайского края – на 6 %, в Республике Алтай – на 8 %.</w:t>
      </w:r>
    </w:p>
    <w:p w:rsidR="00D602D4" w:rsidRDefault="00D602D4">
      <w:pPr>
        <w:tabs>
          <w:tab w:val="left" w:pos="0"/>
        </w:tabs>
        <w:spacing w:after="0" w:line="240" w:lineRule="auto"/>
        <w:ind w:firstLine="709"/>
        <w:contextualSpacing/>
        <w:jc w:val="both"/>
        <w:rPr>
          <w:rFonts w:ascii="Times New Roman" w:eastAsia="Times New Roman" w:hAnsi="Times New Roman"/>
          <w:color w:val="FF0000"/>
          <w:sz w:val="24"/>
          <w:szCs w:val="24"/>
        </w:rPr>
      </w:pP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Количество заключенных договоров в 2024 году увеличилось на 35% или на 9 857 штук, суммарная мощность заключенных договоров относительно 2023 года также приросла на 3% или на 38 МВт.</w:t>
      </w:r>
    </w:p>
    <w:p w:rsidR="00D602D4" w:rsidRDefault="000B4C86">
      <w:pPr>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Увеличение объема заключенных договоров, аналогично заявкам на ТП, наблюдается на территории присутствия ПАО «Россети Сибирь» в филиалах:</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Бурятэнерго на 34%,</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Красноярскэнерго на 3%,</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Кузбассэнерго-РЭС на 17%,</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Омскэнерго на 6%,</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Хакасэнерго на 248%</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Читаэнерго на 23%</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Значительный прирост заключенных договоров в филиале Хакасэнерго обусловлен обращениями на увеличение максимальной мощности в результате введённых ограничений на потребление электрической энергии до уровня максимальной мощности, зафиксированной в документах о технологическом присоединении.</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Снижение объема заключенных договоров по итогам 2024 года зафиксировано в филиале Алтайэнерго (в Алтайском крае и в Республике Алтай - по 6%)</w:t>
      </w:r>
    </w:p>
    <w:p w:rsidR="00D602D4" w:rsidRDefault="00D602D4">
      <w:pPr>
        <w:spacing w:after="0" w:line="240" w:lineRule="auto"/>
        <w:ind w:firstLine="709"/>
        <w:contextualSpacing/>
        <w:jc w:val="both"/>
        <w:rPr>
          <w:rFonts w:ascii="Times New Roman" w:eastAsia="Times New Roman" w:hAnsi="Times New Roman"/>
          <w:color w:val="FF0000"/>
          <w:sz w:val="24"/>
          <w:szCs w:val="24"/>
        </w:rPr>
      </w:pPr>
    </w:p>
    <w:p w:rsidR="00D602D4" w:rsidRDefault="000B4C86">
      <w:pPr>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В 2024 году фактически исполнено 26 884 договора. Суммарная мощность присоединения энергопринимающих устройств составила 929 МВт, в том числе электроустановки категории заявителей «до 15 кВт» составили 258 МВт по исполненным в объеме 24 335 договорам.</w:t>
      </w: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Объем исполненных в 2024 году договоров (выполнено присоединение к электрической сети) на 27% или на 5 724 штуки больше, чем в 2023, суммарная мощность присоединенных электроустановок также увеличилась относительно показателя 2023 года на 393 МВт. </w:t>
      </w:r>
    </w:p>
    <w:p w:rsidR="00D602D4" w:rsidRDefault="000B4C86">
      <w:pPr>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Исполненные договоры на технологическое присоединение крупных промышленных объектов:</w:t>
      </w:r>
    </w:p>
    <w:p w:rsidR="00D602D4" w:rsidRDefault="000B4C86">
      <w:pPr>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по филиалу Алтайэнерго:</w:t>
      </w:r>
    </w:p>
    <w:p w:rsidR="00D602D4" w:rsidRDefault="000B4C86">
      <w:pPr>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 строительство кабельной линии 6 кВ для электроснабжения здания ткацкого производства максимальной мощностью 2,5 МВт (ООО «БТК Текстиль») </w:t>
      </w:r>
    </w:p>
    <w:p w:rsidR="00D602D4" w:rsidRDefault="000B4C86">
      <w:pPr>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 четыре ЛЭП 10 кВ для электроснабжения предприятий по выращиванию однолетних и многолетних, зерновых и зернобобовых культур, сахарной свеклы и пр. максимальной </w:t>
      </w:r>
      <w:r>
        <w:rPr>
          <w:rFonts w:ascii="Times New Roman" w:eastAsia="Times New Roman" w:hAnsi="Times New Roman"/>
          <w:sz w:val="24"/>
          <w:szCs w:val="24"/>
        </w:rPr>
        <w:lastRenderedPageBreak/>
        <w:t>мощностью 1,3 МВт (ООО «Агрофирма «Черемновская»), 1 МВт (ООО «Агромилк»), 1 МВт (ООО КХ «Партнер») и 0,9 МВт (АО «Знамя Октября»)</w:t>
      </w:r>
    </w:p>
    <w:p w:rsidR="00D602D4" w:rsidRDefault="000B4C86">
      <w:pPr>
        <w:pStyle w:val="ac"/>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по филиалу Бурятэнерго:</w:t>
      </w:r>
    </w:p>
    <w:p w:rsidR="00D602D4" w:rsidRDefault="000B4C86">
      <w:pPr>
        <w:tabs>
          <w:tab w:val="left" w:pos="993"/>
        </w:tabs>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w:t>
      </w:r>
      <w:r>
        <w:rPr>
          <w:rFonts w:ascii="Times New Roman" w:eastAsia="Times New Roman" w:hAnsi="Times New Roman"/>
          <w:sz w:val="24"/>
          <w:szCs w:val="24"/>
        </w:rPr>
        <w:tab/>
        <w:t>строительство ВЛ-110 кВт и реконструкции ПС 110 кВт для подключения электроустановок Джидинской и Новобичурской солнечных электростанций для производства электрической энергии (ООО «Юнигрин Пауэр», суммарная мощность по выполненным в 2024 году этапам 85 МВт);</w:t>
      </w:r>
    </w:p>
    <w:p w:rsidR="00D602D4" w:rsidRDefault="000B4C86">
      <w:pPr>
        <w:pStyle w:val="ac"/>
        <w:tabs>
          <w:tab w:val="left" w:pos="993"/>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w:t>
      </w:r>
      <w:r>
        <w:rPr>
          <w:rFonts w:ascii="Times New Roman" w:eastAsia="Times New Roman" w:hAnsi="Times New Roman"/>
          <w:sz w:val="24"/>
          <w:szCs w:val="24"/>
        </w:rPr>
        <w:tab/>
        <w:t>увеличение мощности на 3,4 МВт для электроснабжения сооружений производственных цехов агропромышленной компании (АО «Свинокомплекс «Восточно-Сибирский») и на 3 МВт электроустановок цементного завода (ООО «Тимлюйский цементный завод»)</w:t>
      </w:r>
    </w:p>
    <w:p w:rsidR="00D602D4" w:rsidRDefault="000B4C86">
      <w:pPr>
        <w:pStyle w:val="ac"/>
        <w:tabs>
          <w:tab w:val="left" w:pos="993"/>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по филиалу Кузбассэнерго-РЭС:</w:t>
      </w:r>
    </w:p>
    <w:p w:rsidR="00D602D4" w:rsidRDefault="000B4C86">
      <w:pPr>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 строительство отпаек для осуществления ТП угольных компаний на присоединяемую мощность 22,7 МВт (АО «УК «Кузбассразрезуголь») и 18 МВт (ПАО «Распадская») </w:t>
      </w:r>
    </w:p>
    <w:p w:rsidR="00D602D4" w:rsidRDefault="000B4C86">
      <w:pPr>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две ВЛ 110 кВ и модернизация ПС 110 кВт для осуществления деятельности предприятия по производству химических продуктов, обработки и утилизации неопасных отходов (ООО «Активные угли» - 10 МВт)</w:t>
      </w:r>
    </w:p>
    <w:p w:rsidR="00D602D4" w:rsidRDefault="000B4C86">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по филиалу Омскэнерго:</w:t>
      </w:r>
    </w:p>
    <w:p w:rsidR="00D602D4" w:rsidRDefault="000B4C86">
      <w:pPr>
        <w:pStyle w:val="ac"/>
        <w:numPr>
          <w:ilvl w:val="0"/>
          <w:numId w:val="58"/>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строительство трёх ВЛ-10 кВ для электроснабжения: асфальтобетонной установки (ООО МСК «СибАгро» - 0,6 МВт), объекта сельскохозяйственного производства (АО Племенной Конный завод «Омский» - 0,6 МВт) и дробильной установки (ООО «Стройсервис» - 0,5 МВт)</w:t>
      </w:r>
    </w:p>
    <w:p w:rsidR="00D602D4" w:rsidRDefault="000B4C86">
      <w:pPr>
        <w:pStyle w:val="ac"/>
        <w:numPr>
          <w:ilvl w:val="0"/>
          <w:numId w:val="58"/>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модернизация системы учета с установкой ПКУ 10 кВт в рамках увеличения присоединенной мощности электроустановок производственного здания завода по изготовлению пластмассовых плит, труб и профилей (ООО «Калачинский трубный завод «Звезда», увеличение на 1,5 МВт)</w:t>
      </w:r>
    </w:p>
    <w:p w:rsidR="00D602D4" w:rsidRDefault="000B4C86">
      <w:pPr>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по филиалу Хакасэнерго:</w:t>
      </w:r>
    </w:p>
    <w:p w:rsidR="00D602D4" w:rsidRDefault="000B4C86">
      <w:pPr>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 увеличение мощности на 12 МВт энергетических установок золотоизвлекательной фабрики (ПАО «Коммунаровский Рудник»)</w:t>
      </w:r>
    </w:p>
    <w:p w:rsidR="00D602D4" w:rsidRDefault="000B4C86">
      <w:pPr>
        <w:pStyle w:val="ac"/>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по филиалу Читаэнерго:</w:t>
      </w:r>
    </w:p>
    <w:p w:rsidR="00D602D4" w:rsidRDefault="000B4C86">
      <w:pPr>
        <w:pStyle w:val="ac"/>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  реконструкция ПС 110/6 кВ с установкой дополнительных батарей для подключения мельницы мощностью 4,7 МВт предприятия по добычи руд и песков драгоценных металлов (ООО «Дальцветмет»)</w:t>
      </w:r>
    </w:p>
    <w:p w:rsidR="00D602D4" w:rsidRDefault="000B4C86">
      <w:pPr>
        <w:pStyle w:val="ac"/>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 строительство ВЛ-10 кВ для присоединения электроустановок асфальтобетонного завода максимальной мощностью 0,6 МВт (ООО «Дорекс»)</w:t>
      </w:r>
    </w:p>
    <w:p w:rsidR="00D602D4" w:rsidRDefault="000B4C86">
      <w:pPr>
        <w:pStyle w:val="ac"/>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 выполнение первого этапа по подключению электроустановок Борзинской солнечной электростанции по производству электрической энергии (ООО «Юнигрин Пауэр» - 46 МВт)</w:t>
      </w:r>
    </w:p>
    <w:p w:rsidR="00D602D4" w:rsidRDefault="00D602D4">
      <w:pPr>
        <w:tabs>
          <w:tab w:val="left" w:pos="0"/>
          <w:tab w:val="left" w:pos="1134"/>
        </w:tabs>
        <w:spacing w:after="0" w:line="240" w:lineRule="auto"/>
        <w:ind w:firstLine="709"/>
        <w:contextualSpacing/>
        <w:jc w:val="both"/>
        <w:rPr>
          <w:rFonts w:ascii="Times New Roman" w:eastAsia="Times New Roman" w:hAnsi="Times New Roman"/>
          <w:color w:val="FF0000"/>
          <w:sz w:val="24"/>
          <w:szCs w:val="24"/>
        </w:rPr>
      </w:pPr>
    </w:p>
    <w:p w:rsidR="00D602D4" w:rsidRDefault="000B4C86">
      <w:pPr>
        <w:tabs>
          <w:tab w:val="left" w:pos="0"/>
        </w:tabs>
        <w:spacing w:after="0" w:line="240" w:lineRule="auto"/>
        <w:ind w:firstLine="709"/>
        <w:contextualSpacing/>
        <w:jc w:val="both"/>
        <w:rPr>
          <w:rFonts w:ascii="Times New Roman" w:eastAsia="Times New Roman" w:hAnsi="Times New Roman"/>
          <w:sz w:val="24"/>
          <w:szCs w:val="24"/>
        </w:rPr>
      </w:pPr>
      <w:r>
        <w:rPr>
          <w:rFonts w:ascii="Times New Roman" w:eastAsia="Times New Roman" w:hAnsi="Times New Roman"/>
          <w:sz w:val="24"/>
          <w:szCs w:val="24"/>
        </w:rPr>
        <w:t>В число социально-значимых проектов входят присоединенные объекты 52 образовательных учреждений: детские сады, школы, образовательные центры суммарной мощностью 2,8 МВт; 39 объектов учреждений здравоохранения и социальных услуг: больницы, поликлиники, акушерские пункты, врачебные амбулатории суммарной мощностью 2 МВт и прочие: котельные, центры культуры, парки и скверы, линии уличного освещения, объекты дорожного и жилищно-коммунального хозяйства, храмы, церкви, музеи, театры, базы отдыха, спортивные и досуговые центры и площадки – 415 МВт.</w:t>
      </w: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sectPr w:rsidR="00D602D4">
          <w:pgSz w:w="11906" w:h="16838"/>
          <w:pgMar w:top="567" w:right="851" w:bottom="425" w:left="1276" w:header="720" w:footer="720" w:gutter="0"/>
          <w:cols w:space="720"/>
          <w:titlePg/>
          <w:docGrid w:linePitch="360"/>
        </w:sectPr>
      </w:pPr>
    </w:p>
    <w:p w:rsidR="00D602D4" w:rsidRDefault="000B4C86">
      <w:pPr>
        <w:tabs>
          <w:tab w:val="left" w:pos="0"/>
        </w:tabs>
        <w:spacing w:line="240" w:lineRule="auto"/>
        <w:contextualSpacing/>
        <w:jc w:val="center"/>
        <w:rPr>
          <w:rFonts w:ascii="Times New Roman" w:eastAsia="Times New Roman" w:hAnsi="Times New Roman"/>
          <w:b/>
          <w:sz w:val="24"/>
          <w:szCs w:val="24"/>
        </w:rPr>
      </w:pPr>
      <w:r>
        <w:rPr>
          <w:rFonts w:ascii="Times New Roman" w:eastAsia="Times New Roman" w:hAnsi="Times New Roman"/>
          <w:b/>
          <w:sz w:val="24"/>
          <w:szCs w:val="24"/>
        </w:rPr>
        <w:lastRenderedPageBreak/>
        <w:t>Технологическое присоединение социально-значимых объектов за 2024 год</w:t>
      </w:r>
    </w:p>
    <w:p w:rsidR="00D602D4" w:rsidRDefault="000B4C86">
      <w:pPr>
        <w:spacing w:after="0" w:line="240" w:lineRule="auto"/>
        <w:jc w:val="right"/>
        <w:rPr>
          <w:rFonts w:ascii="Times New Roman" w:hAnsi="Times New Roman" w:cs="Times New Roman"/>
        </w:rPr>
      </w:pPr>
      <w:r>
        <w:rPr>
          <w:rFonts w:ascii="Times New Roman" w:eastAsia="Times New Roman" w:hAnsi="Times New Roman"/>
          <w:sz w:val="24"/>
          <w:szCs w:val="24"/>
        </w:rPr>
        <w:t>Таблица 24</w:t>
      </w:r>
    </w:p>
    <w:tbl>
      <w:tblPr>
        <w:tblW w:w="15168" w:type="dxa"/>
        <w:tblInd w:w="557" w:type="dxa"/>
        <w:tblLayout w:type="fixed"/>
        <w:tblLook w:val="04A0" w:firstRow="1" w:lastRow="0" w:firstColumn="1" w:lastColumn="0" w:noHBand="0" w:noVBand="1"/>
      </w:tblPr>
      <w:tblGrid>
        <w:gridCol w:w="2977"/>
        <w:gridCol w:w="6095"/>
        <w:gridCol w:w="1560"/>
        <w:gridCol w:w="4536"/>
      </w:tblGrid>
      <w:tr w:rsidR="00D602D4">
        <w:trPr>
          <w:trHeight w:val="1005"/>
          <w:tblHeader/>
        </w:trPr>
        <w:tc>
          <w:tcPr>
            <w:tcW w:w="2977" w:type="dxa"/>
            <w:tcBorders>
              <w:top w:val="single" w:sz="8" w:space="0" w:color="000000"/>
              <w:left w:val="single" w:sz="8" w:space="0" w:color="000000"/>
              <w:bottom w:val="single" w:sz="8" w:space="0" w:color="000000"/>
              <w:right w:val="single" w:sz="8" w:space="0" w:color="000000"/>
            </w:tcBorders>
            <w:shd w:val="clear" w:color="000000" w:fill="B6DDE8"/>
            <w:vAlign w:val="center"/>
          </w:tcPr>
          <w:p w:rsidR="00D602D4" w:rsidRDefault="000B4C86">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Филиал ПАО «Россети Сибирь»</w:t>
            </w:r>
          </w:p>
        </w:tc>
        <w:tc>
          <w:tcPr>
            <w:tcW w:w="6095" w:type="dxa"/>
            <w:tcBorders>
              <w:top w:val="single" w:sz="8" w:space="0" w:color="000000"/>
              <w:left w:val="none" w:sz="4" w:space="0" w:color="000000"/>
              <w:bottom w:val="single" w:sz="8" w:space="0" w:color="000000"/>
              <w:right w:val="single" w:sz="8" w:space="0" w:color="000000"/>
            </w:tcBorders>
            <w:shd w:val="clear" w:color="000000" w:fill="B6DDE8"/>
            <w:vAlign w:val="center"/>
          </w:tcPr>
          <w:p w:rsidR="00D602D4" w:rsidRDefault="000B4C86">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Заявитель</w:t>
            </w:r>
          </w:p>
        </w:tc>
        <w:tc>
          <w:tcPr>
            <w:tcW w:w="1560" w:type="dxa"/>
            <w:tcBorders>
              <w:top w:val="single" w:sz="8" w:space="0" w:color="000000"/>
              <w:left w:val="none" w:sz="4" w:space="0" w:color="000000"/>
              <w:bottom w:val="single" w:sz="8" w:space="0" w:color="000000"/>
              <w:right w:val="single" w:sz="8" w:space="0" w:color="000000"/>
            </w:tcBorders>
            <w:shd w:val="clear" w:color="000000" w:fill="B6DDE8"/>
            <w:vAlign w:val="center"/>
          </w:tcPr>
          <w:p w:rsidR="00D602D4" w:rsidRDefault="000B4C86">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Мощность, кВт</w:t>
            </w:r>
          </w:p>
        </w:tc>
        <w:tc>
          <w:tcPr>
            <w:tcW w:w="4536" w:type="dxa"/>
            <w:tcBorders>
              <w:top w:val="single" w:sz="8" w:space="0" w:color="000000"/>
              <w:left w:val="none" w:sz="4" w:space="0" w:color="000000"/>
              <w:bottom w:val="single" w:sz="8" w:space="0" w:color="000000"/>
              <w:right w:val="single" w:sz="8" w:space="0" w:color="000000"/>
            </w:tcBorders>
            <w:shd w:val="clear" w:color="000000" w:fill="B6DDE8"/>
            <w:vAlign w:val="center"/>
          </w:tcPr>
          <w:p w:rsidR="00D602D4" w:rsidRDefault="000B4C86">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Объект присоединения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Местная религиозная организация православный Приход храма в честь праведного Иоанна Кронштадтского с. Усть-Чарышская Пристань Алтайского края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Храм</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КГБУЗ «Каменская межрайонная больница»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Объект медицинского учреждения </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Новоперуновского сельсовета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Благоустройство общественной территории с. Новоперуново</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Краевое государственное бюджетное учреждение здравоохранения «Центральная районная больница с. Завьялово»</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Фельдшерский пункт с. Гилёвка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Местная религиозная организация православный приход храма святителя Иоасафа, Епископа Белгородского села Топчиха Топчихинского района Алтайского края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Храм Сергия Радонежского</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Виноградов Вячеслав Александрович</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Центр детского творчества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Целинного района Алтайского края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55</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Спортивный комплекс с плавательным бассейном</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Акционерное общество «Почта России»</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58</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Помещение почты (5 объектов)</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Табунского района Алтайского края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Дошкольная образовательная организация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Общество с ограниченной ответственностью «БТК Текстиль»</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2 500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Здания ткацкого производства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ГКУ «Управление региональных автомобильных дорог Республики Бурятия»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Светофорные объекты, объекты видео фиксации</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МКУ Администрация поселения «Читканское»</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Детская площадка с. Читкан</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Местная религиозная организация православный приход храма вознесения Господня с. Новая Брянь Заиграевского района Республики Бурятия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Храм</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МКУ «Местная Администрация сельского поселения </w:t>
            </w:r>
            <w:r>
              <w:rPr>
                <w:rFonts w:ascii="Times New Roman" w:eastAsia="Times New Roman" w:hAnsi="Times New Roman" w:cs="Times New Roman"/>
                <w:sz w:val="24"/>
                <w:szCs w:val="24"/>
                <w:lang w:eastAsia="ru-RU"/>
              </w:rPr>
              <w:lastRenderedPageBreak/>
              <w:t>«Хилганайское»»</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20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Здание библиотеки в с. Хилган</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МКУ Управление «Казна муниципального имущества Тункинского района»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Парк культуры и отдыха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Муниципальное автономное учреждение «Музей истории города Улан-Удэ»</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Музей</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Общество с ограниченной ответственностью «Национальные Технологии»</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Модульная спортивная площадка капитального типа для занятий массовыми видами спорта с цифровой инфраструктурой</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ООО «Центр волейбола Эйс»</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Физкультурно-оздоровительный комплекс</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ГКУ Республики Бурятия «Управление капитального строительства Правительства Республики Бурятия»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Поликлиника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МКУ Администрация муниципального округа «Кабанский район»</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Центр культурного развития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ГКУ Республики Бурятия «Управление капитального строительства Правительства Республики Бурятия»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246</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Детский сад на 280 мест в </w:t>
            </w:r>
          </w:p>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 Северобайкальск</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ГКУ Республики Бурятия «Управление капитального строительства Правительства Республики Бурятия»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315</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Театр кукол «Ульгэр»</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Бурятэнерго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ГКУ Республики Бурятия «Управление капитального строительства Правительства Республики Бурятия»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436</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Жилье для врачей и учителей (8 объектов на общую сумму мощности 436 кВт)</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 - ПО Горно-Алтайские электрические сети</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АМО «Улаганский район»</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Региональная автоматизированная система центрального оповещения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 - ПО Горно-Алтайские электрические сети</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Сельская администрация Кызыл-Озекского сельского поселения Майминского района Республики Алтай</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Объекты наружного освещения </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Алтайэнерго - ПО Горно-Алтайские электрические сети</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МБУ «Улаганская центральная районная библиотека»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Библиотека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 - ПО Горно-Алтайские электрические сети</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Местная православная религиозная организация церкви святителя Николая с. Усть-Кан Республики Алтай Горноалтайской Епархии Русской Православной церкви</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Церковь</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 - ПО Горно-Алтайские электрические сети</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МКОУ «Кош-Агачская средняя общеобразовательная школа имени Лидии Ильиничны Тюковой»</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Спортивный зал</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 - ПО Горно-Алтайские электрические сети</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 РА «Управление капитального строительства  Республики Алтай»</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Дом культуры на 200 мест</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 - ПО Горно-Алтайские электрические сети</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Казенное учреждение Республики Алтай "Республиканское управление  автомобильных дорог общего пользования "Горно-Алтайавтодор"</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57</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Освещение автомобильных дорог и мостовых переходов (6 объектов)</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 - ПО Горно-Алтайские электрические сети</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Сельская администрация «Усть-Коксинскогосельского поселения»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96</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Объекты наружного освещения (16 объектов на общую сумму мощности 96 кВт)</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Алтайэнерго - ПО Горно-Алтайские электрические сети</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 РА «Управление капитального строительства  Республики Алтай»</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Дом культуры</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Красноярскэнерго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Муниципальное автономное образовательное учреждение дополнительного образования "Центр Туризма" </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База отдыха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Красноярскэнерго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Михайловского сельсовета Ужурского района Красноярского края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Водонапорная башня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Красноярскэнерго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КГКУ «КРУДОР»</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45</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Интеллектуальные транспортные системы (3 объекта на общую сумму </w:t>
            </w:r>
            <w:r>
              <w:rPr>
                <w:rFonts w:ascii="Times New Roman" w:eastAsia="Times New Roman" w:hAnsi="Times New Roman" w:cs="Times New Roman"/>
                <w:sz w:val="24"/>
                <w:szCs w:val="24"/>
                <w:lang w:eastAsia="ru-RU"/>
              </w:rPr>
              <w:lastRenderedPageBreak/>
              <w:t>мощности 45 кВт)</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Красноярскэнерго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Краевое государственное бюджетное учреждение здравоохранения «Тюхтетская районная больница»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Здание для рентгена и флюорографии</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Красноярскэнерго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МБОУ «Гляденская средняя общеобразовательная школа»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55</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Детский сад </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Красноярскэнерго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КГКУ «Управление капитального строительства»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Досуговый центр в с. Вознесенка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Красноярскэнерго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КГКУ «Управление капитального строительства»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283</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Дом культуры в г. Лесосибирск</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Красноярскэнерго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КГКУ «Управление капитального строительства»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311</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Бассейн в г. Шарыпово</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Красноярскэнерго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КГКУ «Управление капитального строительства»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1 060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Врачебные амбулатории (8 объектов на общую сумму мощности 1 060 кВт)</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Кузбассэнерго-РЭС</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МКУ «Управление жизнеобеспечения»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Комплекс технических средств голосового оповещения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Кузбассэнерго-РЭС</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Управление по жизнеобеспечению и территориальному развитию Тисульского муниципального округа администрации Тисульского муниципального округа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Сквер и детская площадка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Кузбассэнерго-РЭС</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Юргинского муниципального округа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Комплекс громкоговорящего оповещения (8 объектов)</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Кузбассэнерго-РЭС</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Акционерное общество «Почта России»</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Отделение почтовой связи (2 объекта)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Кузбассэнерго-РЭС</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МБУ  «Пожарная часть с Красное»</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Система оповещения (14 объектов)</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Кузбассэнерго-РЭС</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Муниципальное учреждение культуры «Ижморская централизованная клубная система»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73</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Дом культуры</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Кузбассэнерго-РЭС</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Муниципальное бюджетное учреждение «Культурно-досуговый центр Беловского муниципального округа»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Пермяковский сельский дом культуры</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Кузбассэнерго-РЭС</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МКУ «УКС И ЖКХ Ленинск-Кузнецкого Муниципального округа»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Дом культуры</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Кузбассэнерго-РЭС</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Министерство строительства Кузбасса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Детский сад</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Кузбассэнерго-РЭС</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Министерство строительства Кузбасса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310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Начальная школа на 250 учащихся в </w:t>
            </w:r>
            <w:r>
              <w:rPr>
                <w:rFonts w:ascii="Times New Roman" w:eastAsia="Times New Roman" w:hAnsi="Times New Roman" w:cs="Times New Roman"/>
                <w:sz w:val="24"/>
                <w:szCs w:val="24"/>
                <w:lang w:eastAsia="ru-RU"/>
              </w:rPr>
              <w:lastRenderedPageBreak/>
              <w:t>поселке Загорский</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Омскэнерго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Местная религиозная организация православного Прихода храма иконы Божией Матери «Знамение» Абалакская село Знаменское Знаменского района Омской области</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Церковь</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Омскэнерго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Межпоселенческое казенное учреждение культуры «Нововаршавский районный культурно-досуговый центр»</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Дом культуры</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Омскэнерго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Казённое учреждение Омской области «Управление дорожного хозяйства Омской области»</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Штаб гражданской обороны (бомбоубежище)</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Омскэнерго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Муниципальное казенное учреждение Москаленского муниципального района Омской области «Центр хозяйственного обеспечения учреждений в сфере образования»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Водогрейная котельная для нужд МБОУ «Подбельская ООШ»</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Омскэнерго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БУЗОО «Калачинская ЦРБ» </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Фельдшерско-акушерский пункт</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Омскэнерго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Бюджетное учреждение Омской области  «Детский оздоровительный лагерь круглогодичного действия «Орленок»</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183</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Детский оздоровительный лагерь круглогодичного действия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Омскэнерго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НО МР «Фонд содействия развитию Муромцевского района» </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Корпус здания школы-интерната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Омскэнерго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Муниципальное казённое учреждение «Центр физической культуры и спорта»  Таврического муниципального района Омской области</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433</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Здание для хоккея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Хакасэнерго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Государственное казенное учреждение Республики Хакасия «Управление автомобильных дорог Республики Хакасия»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Стационарный измерительный дорожный комплекс с фотофиксацией (2 объекта)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Хакасэнерго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Селосонского сельсовета Ширинского района Республики Хакасия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Линии наружного освещения улично-дорожной сети (8 объектов)</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Хакасэнерго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МБОУ «Арбатская СОШ»</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Дошкольное образовательное учреждение</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Хакасэнерго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Советско-Хакасского сельсовета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Дом культуры</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Хакасэнерго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ГБУЗ Республики Хакасия «Аскизская межрайонная больница»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48</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Фельдшерско-акушерский пункт (2 объекта)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Хакасэнерго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Управление муниципальным имуществом Администрации Таштыпского района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Котельная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Хакасэнерго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Саралинского сельсовета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Дом культуры с. Сарала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Хакасэнерго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МБОУ ДОД Аскизская детская школа искусств</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Школа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Хакасэнерго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МАУ «Черногорский ЦКИД»</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Летний кинотеатр</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Читаэнерго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МРО Православный приход храма преподобного Амвросия Оптинского пос. Первомайский Забайкальского края Нерчинской епархии русской православной церкви</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Часовня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Читаэнерго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городского поселения Шилкинское муниципального района Шилкинский район Забайкальского края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Водонапорное сооружение</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Читаэнерго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ГП «Могойтуй»</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Общественная баня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Читаэнерго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ГУЗ «Приаргунская ЦРБ»</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Медицинские учреждения (2 объекта)</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Читаэнерго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сельского поселения «Черемховское»</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Дом культуры в селах Афонькино и Черемхово</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Читаэнерго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муниципального района «Читинский район»</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Уличное освещение (19 объектов)</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Читаэнерго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ГУЗ «Чернышевская центральная районная больница»</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Врачебная амбулатория</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Читаэнерго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муниципального района «Кыринский район»</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Физкультурно-оздоровительный комплекс</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Читаэнерго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ОАО «РЖД»</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Физкультурно-оздоровительный </w:t>
            </w:r>
            <w:r>
              <w:rPr>
                <w:rFonts w:ascii="Times New Roman" w:eastAsia="Times New Roman" w:hAnsi="Times New Roman" w:cs="Times New Roman"/>
                <w:sz w:val="24"/>
                <w:szCs w:val="24"/>
                <w:lang w:eastAsia="ru-RU"/>
              </w:rPr>
              <w:lastRenderedPageBreak/>
              <w:t>комплекс</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Читаэнерго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МДОУ детский сад №2 «Березка» село Шелопугино</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120</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Дошкольное образовательное учреждение</w:t>
            </w:r>
          </w:p>
        </w:tc>
      </w:tr>
      <w:tr w:rsidR="00D602D4">
        <w:trPr>
          <w:trHeight w:val="20"/>
        </w:trPr>
        <w:tc>
          <w:tcPr>
            <w:tcW w:w="2977" w:type="dxa"/>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Читаэнерго</w:t>
            </w:r>
          </w:p>
        </w:tc>
        <w:tc>
          <w:tcPr>
            <w:tcW w:w="6095"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Государственное казенное учреждение «Служба единого заказчика» Забайкальского края</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371</w:t>
            </w:r>
          </w:p>
        </w:tc>
        <w:tc>
          <w:tcPr>
            <w:tcW w:w="4536"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Школа</w:t>
            </w:r>
          </w:p>
        </w:tc>
      </w:tr>
    </w:tbl>
    <w:p w:rsidR="00D602D4" w:rsidRDefault="00D602D4">
      <w:pPr>
        <w:jc w:val="right"/>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sectPr w:rsidR="00D602D4">
          <w:pgSz w:w="16838" w:h="11906" w:orient="landscape"/>
          <w:pgMar w:top="1276" w:right="567" w:bottom="851" w:left="425" w:header="720" w:footer="720" w:gutter="0"/>
          <w:cols w:space="720"/>
          <w:titlePg/>
          <w:docGrid w:linePitch="360"/>
        </w:sectPr>
      </w:pPr>
    </w:p>
    <w:p w:rsidR="00D602D4" w:rsidRDefault="000B4C86">
      <w:pPr>
        <w:tabs>
          <w:tab w:val="left" w:pos="993"/>
        </w:tabs>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Выручка от реализации услуг по технологическому присоединению</w:t>
      </w:r>
    </w:p>
    <w:p w:rsidR="00D602D4" w:rsidRDefault="000B4C86">
      <w:pPr>
        <w:pStyle w:val="ac"/>
        <w:tabs>
          <w:tab w:val="left" w:pos="993"/>
        </w:tabs>
        <w:spacing w:after="0" w:line="240" w:lineRule="auto"/>
        <w:ind w:left="0"/>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Таблица 25</w:t>
      </w:r>
    </w:p>
    <w:tbl>
      <w:tblPr>
        <w:tblW w:w="9855" w:type="dxa"/>
        <w:tblInd w:w="72" w:type="dxa"/>
        <w:tblLayout w:type="fixed"/>
        <w:tblLook w:val="04A0" w:firstRow="1" w:lastRow="0" w:firstColumn="1" w:lastColumn="0" w:noHBand="0" w:noVBand="1"/>
      </w:tblPr>
      <w:tblGrid>
        <w:gridCol w:w="6312"/>
        <w:gridCol w:w="1134"/>
        <w:gridCol w:w="1134"/>
        <w:gridCol w:w="1275"/>
      </w:tblGrid>
      <w:tr w:rsidR="00D602D4">
        <w:trPr>
          <w:trHeight w:val="170"/>
        </w:trPr>
        <w:tc>
          <w:tcPr>
            <w:tcW w:w="6312" w:type="dxa"/>
            <w:tcBorders>
              <w:top w:val="single" w:sz="4" w:space="0" w:color="000000"/>
              <w:left w:val="single" w:sz="4" w:space="0" w:color="000000"/>
              <w:bottom w:val="single" w:sz="4" w:space="0" w:color="000000"/>
              <w:right w:val="single" w:sz="4" w:space="0" w:color="000000"/>
            </w:tcBorders>
            <w:shd w:val="clear" w:color="FFFFFF" w:fill="B4C6E7" w:themeFill="accent5" w:themeFillTint="66"/>
            <w:vAlign w:val="center"/>
          </w:tcPr>
          <w:p w:rsidR="00D602D4" w:rsidRDefault="000B4C86">
            <w:pPr>
              <w:pStyle w:val="ac"/>
              <w:tabs>
                <w:tab w:val="left" w:pos="0"/>
                <w:tab w:val="left" w:pos="993"/>
              </w:tabs>
              <w:spacing w:after="0" w:line="240" w:lineRule="auto"/>
              <w:ind w:left="0"/>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Основные показатели</w:t>
            </w:r>
          </w:p>
        </w:tc>
        <w:tc>
          <w:tcPr>
            <w:tcW w:w="1134" w:type="dxa"/>
            <w:tcBorders>
              <w:top w:val="single" w:sz="4" w:space="0" w:color="000000"/>
              <w:left w:val="none" w:sz="4" w:space="0" w:color="000000"/>
              <w:bottom w:val="single" w:sz="4" w:space="0" w:color="000000"/>
              <w:right w:val="single" w:sz="4" w:space="0" w:color="000000"/>
            </w:tcBorders>
            <w:shd w:val="clear" w:color="FFFFFF" w:fill="B4C6E7" w:themeFill="accent5" w:themeFillTint="66"/>
            <w:vAlign w:val="center"/>
          </w:tcPr>
          <w:p w:rsidR="00D602D4" w:rsidRDefault="000B4C86">
            <w:pPr>
              <w:pStyle w:val="ac"/>
              <w:tabs>
                <w:tab w:val="left" w:pos="0"/>
                <w:tab w:val="left" w:pos="993"/>
              </w:tabs>
              <w:spacing w:after="0" w:line="240" w:lineRule="auto"/>
              <w:ind w:left="0"/>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2022</w:t>
            </w:r>
          </w:p>
        </w:tc>
        <w:tc>
          <w:tcPr>
            <w:tcW w:w="1134" w:type="dxa"/>
            <w:tcBorders>
              <w:top w:val="single" w:sz="4" w:space="0" w:color="000000"/>
              <w:left w:val="none" w:sz="4" w:space="0" w:color="000000"/>
              <w:bottom w:val="single" w:sz="4" w:space="0" w:color="000000"/>
              <w:right w:val="single" w:sz="4" w:space="0" w:color="000000"/>
            </w:tcBorders>
            <w:shd w:val="clear" w:color="FFFFFF" w:fill="B4C6E7" w:themeFill="accent5" w:themeFillTint="66"/>
            <w:vAlign w:val="center"/>
          </w:tcPr>
          <w:p w:rsidR="00D602D4" w:rsidRDefault="000B4C86">
            <w:pPr>
              <w:pStyle w:val="ac"/>
              <w:tabs>
                <w:tab w:val="left" w:pos="0"/>
                <w:tab w:val="left" w:pos="993"/>
              </w:tabs>
              <w:spacing w:after="0" w:line="240" w:lineRule="auto"/>
              <w:ind w:left="0"/>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2023</w:t>
            </w:r>
          </w:p>
        </w:tc>
        <w:tc>
          <w:tcPr>
            <w:tcW w:w="1275" w:type="dxa"/>
            <w:tcBorders>
              <w:top w:val="single" w:sz="4" w:space="0" w:color="000000"/>
              <w:left w:val="none" w:sz="4" w:space="0" w:color="000000"/>
              <w:bottom w:val="single" w:sz="4" w:space="0" w:color="000000"/>
              <w:right w:val="single" w:sz="4" w:space="0" w:color="000000"/>
            </w:tcBorders>
            <w:shd w:val="clear" w:color="FFFFFF" w:fill="B4C6E7" w:themeFill="accent5" w:themeFillTint="66"/>
            <w:vAlign w:val="center"/>
          </w:tcPr>
          <w:p w:rsidR="00D602D4" w:rsidRDefault="000B4C86">
            <w:pPr>
              <w:pStyle w:val="ac"/>
              <w:tabs>
                <w:tab w:val="left" w:pos="0"/>
                <w:tab w:val="left" w:pos="993"/>
              </w:tabs>
              <w:spacing w:after="0" w:line="240" w:lineRule="auto"/>
              <w:ind w:left="0"/>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2024</w:t>
            </w:r>
          </w:p>
        </w:tc>
      </w:tr>
      <w:tr w:rsidR="00D602D4">
        <w:trPr>
          <w:trHeight w:val="718"/>
        </w:trPr>
        <w:tc>
          <w:tcPr>
            <w:tcW w:w="6312"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c"/>
              <w:tabs>
                <w:tab w:val="left" w:pos="0"/>
                <w:tab w:val="left" w:pos="993"/>
              </w:tabs>
              <w:spacing w:after="0" w:line="240" w:lineRule="auto"/>
              <w:ind w:left="0"/>
              <w:rPr>
                <w:rFonts w:ascii="Times New Roman" w:eastAsia="Times New Roman" w:hAnsi="Times New Roman"/>
                <w:lang w:eastAsia="ru-RU"/>
              </w:rPr>
            </w:pPr>
            <w:r>
              <w:rPr>
                <w:rFonts w:ascii="Times New Roman" w:eastAsia="Times New Roman" w:hAnsi="Times New Roman"/>
                <w:lang w:eastAsia="ru-RU"/>
              </w:rPr>
              <w:t>Выручка от реализации продукции (услуг по технологическому присоединению), млн. руб. без НДС</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tabs>
                <w:tab w:val="left" w:pos="0"/>
                <w:tab w:val="left" w:pos="993"/>
              </w:tabs>
              <w:spacing w:after="0" w:line="240" w:lineRule="auto"/>
              <w:ind w:left="0"/>
              <w:jc w:val="center"/>
              <w:rPr>
                <w:rFonts w:ascii="Times New Roman" w:eastAsia="Times New Roman" w:hAnsi="Times New Roman"/>
                <w:lang w:eastAsia="ru-RU"/>
              </w:rPr>
            </w:pPr>
            <w:r>
              <w:rPr>
                <w:rFonts w:ascii="Times New Roman" w:eastAsia="Times New Roman" w:hAnsi="Times New Roman"/>
                <w:lang w:eastAsia="ru-RU"/>
              </w:rPr>
              <w:t>785</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tabs>
                <w:tab w:val="left" w:pos="0"/>
                <w:tab w:val="left" w:pos="993"/>
              </w:tabs>
              <w:spacing w:after="0" w:line="240" w:lineRule="auto"/>
              <w:ind w:left="0"/>
              <w:jc w:val="center"/>
              <w:rPr>
                <w:rFonts w:ascii="Times New Roman" w:eastAsia="Times New Roman" w:hAnsi="Times New Roman"/>
                <w:lang w:eastAsia="ru-RU"/>
              </w:rPr>
            </w:pPr>
            <w:r>
              <w:rPr>
                <w:rFonts w:ascii="Times New Roman" w:eastAsia="Times New Roman" w:hAnsi="Times New Roman"/>
                <w:lang w:eastAsia="ru-RU"/>
              </w:rPr>
              <w:t>1 350</w:t>
            </w:r>
          </w:p>
        </w:tc>
        <w:tc>
          <w:tcPr>
            <w:tcW w:w="127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pStyle w:val="ac"/>
              <w:tabs>
                <w:tab w:val="left" w:pos="0"/>
                <w:tab w:val="left" w:pos="993"/>
              </w:tabs>
              <w:spacing w:after="0" w:line="240" w:lineRule="auto"/>
              <w:ind w:left="0"/>
              <w:jc w:val="center"/>
              <w:rPr>
                <w:rFonts w:ascii="Times New Roman" w:eastAsia="Times New Roman" w:hAnsi="Times New Roman"/>
                <w:lang w:eastAsia="ru-RU"/>
              </w:rPr>
            </w:pPr>
            <w:r>
              <w:rPr>
                <w:rFonts w:ascii="Times New Roman" w:eastAsia="Times New Roman" w:hAnsi="Times New Roman"/>
                <w:lang w:eastAsia="ru-RU"/>
              </w:rPr>
              <w:t>2 816</w:t>
            </w:r>
          </w:p>
        </w:tc>
      </w:tr>
    </w:tbl>
    <w:p w:rsidR="00D602D4" w:rsidRDefault="00D602D4">
      <w:pPr>
        <w:pStyle w:val="ac"/>
        <w:tabs>
          <w:tab w:val="left" w:pos="0"/>
          <w:tab w:val="left" w:pos="993"/>
        </w:tabs>
        <w:spacing w:after="0" w:line="240" w:lineRule="auto"/>
        <w:ind w:left="0"/>
        <w:jc w:val="both"/>
        <w:rPr>
          <w:rFonts w:ascii="Times New Roman" w:eastAsia="Times New Roman" w:hAnsi="Times New Roman"/>
          <w:b/>
          <w:color w:val="FF0000"/>
          <w:sz w:val="24"/>
          <w:szCs w:val="24"/>
          <w:lang w:eastAsia="ru-RU"/>
        </w:rPr>
      </w:pPr>
    </w:p>
    <w:p w:rsidR="00D602D4" w:rsidRDefault="000B4C86">
      <w:pPr>
        <w:pStyle w:val="ac"/>
        <w:tabs>
          <w:tab w:val="left" w:pos="0"/>
          <w:tab w:val="left" w:pos="993"/>
        </w:tabs>
        <w:spacing w:after="0" w:line="240" w:lineRule="auto"/>
        <w:ind w:left="0" w:firstLine="709"/>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Выручка от услуг по технологическому присоединению ПАО «Россети Сибирь» в 2024 году составила 2 816 млн руб. без НДС, в том числе по исполненным на 31.12.2024 договорам - 1 620 млн. руб. без НДС, по действующим на 31.12.2024 договорам заактировано в 2024 году (акт ТП на этап) и компенсация затрат при расторжении договоров ТП всего - 1 196 млн руб. без НДС.</w:t>
      </w:r>
    </w:p>
    <w:p w:rsidR="00D602D4" w:rsidRDefault="00D602D4">
      <w:pPr>
        <w:pStyle w:val="ac"/>
        <w:tabs>
          <w:tab w:val="left" w:pos="0"/>
          <w:tab w:val="left" w:pos="993"/>
        </w:tabs>
        <w:spacing w:after="0" w:line="240" w:lineRule="auto"/>
        <w:ind w:left="0" w:firstLine="709"/>
        <w:jc w:val="both"/>
        <w:rPr>
          <w:rFonts w:ascii="Times New Roman" w:eastAsia="Times New Roman" w:hAnsi="Times New Roman" w:cs="Times New Roman"/>
          <w:b/>
          <w:sz w:val="24"/>
          <w:szCs w:val="24"/>
          <w:lang w:eastAsia="ru-RU"/>
        </w:rPr>
      </w:pPr>
    </w:p>
    <w:p w:rsidR="00D602D4" w:rsidRDefault="000B4C86">
      <w:pPr>
        <w:pStyle w:val="ac"/>
        <w:spacing w:after="0" w:line="240" w:lineRule="auto"/>
        <w:ind w:left="0"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Реализация целевой модели «Подключение (технологическое присоединение) к электрическим сетям», утвержденной распоряжением Правительства Российской Федерации от 31.01.2017 № 147-р.</w:t>
      </w:r>
    </w:p>
    <w:p w:rsidR="00D602D4" w:rsidRDefault="000B4C86">
      <w:pPr>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Во исполнение распоряжения Правительства Российской Федерации от 31.01.2017 № 147-р по регионам присутствия ПАО «Россети Сибирь» утверждены целевые модели упрощения процедур ведения бизнеса и повышения инвестиционной привлекательности субъектов Российской Федерации.</w:t>
      </w:r>
    </w:p>
    <w:p w:rsidR="00D602D4" w:rsidRDefault="000B4C86">
      <w:pPr>
        <w:spacing w:after="0"/>
        <w:ind w:firstLine="708"/>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Для достижения целевой модели "Технологическое присоединение к электрическим сетям" в целях повышения качества и доступности услуг и обеспечения выполнения требований Единых стандартов качества обслуживания сетевыми организациями потребителей услуг (приказ Минэнерго России от 15.04.2014 № 186) с 01.07.2020 реализован и введен в эксплуатацию единый для всех ДЗО ПАО «Россети» интернет портал электросетевых услуг группы компаний «Россети» на сайте </w:t>
      </w:r>
      <w:hyperlink r:id="rId54" w:tooltip="http://www.портал-тп.рф/" w:history="1">
        <w:r>
          <w:rPr>
            <w:rFonts w:ascii="Times New Roman" w:hAnsi="Times New Roman" w:cs="Times New Roman"/>
            <w:sz w:val="24"/>
            <w:szCs w:val="24"/>
            <w:lang w:eastAsia="ru-RU"/>
          </w:rPr>
          <w:t>http://www.портал-тп.рф/</w:t>
        </w:r>
      </w:hyperlink>
      <w:r>
        <w:rPr>
          <w:rFonts w:ascii="Times New Roman" w:hAnsi="Times New Roman" w:cs="Times New Roman"/>
          <w:sz w:val="24"/>
          <w:szCs w:val="24"/>
          <w:lang w:eastAsia="ru-RU"/>
        </w:rPr>
        <w:t>, который обеспечивает следующие основные факторы оптимизации процесса технологического присоединения к электрическим сетям:</w:t>
      </w:r>
    </w:p>
    <w:p w:rsidR="00D602D4" w:rsidRDefault="000B4C86">
      <w:pPr>
        <w:numPr>
          <w:ilvl w:val="0"/>
          <w:numId w:val="59"/>
        </w:numPr>
        <w:tabs>
          <w:tab w:val="left" w:pos="993"/>
          <w:tab w:val="left" w:pos="1134"/>
        </w:tabs>
        <w:spacing w:after="0" w:line="240" w:lineRule="auto"/>
        <w:ind w:left="0"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Удобство подачи заявки на технологическое присоединение и наличие "личного кабинета" заявителя. На едином портале ПАО «Россети» </w:t>
      </w:r>
      <w:hyperlink r:id="rId55" w:tooltip="https://портал-тп.рф/" w:history="1">
        <w:r>
          <w:rPr>
            <w:rFonts w:ascii="Times New Roman" w:eastAsia="Times New Roman" w:hAnsi="Times New Roman" w:cs="Times New Roman"/>
            <w:sz w:val="24"/>
            <w:szCs w:val="24"/>
            <w:lang w:eastAsia="ru-RU"/>
          </w:rPr>
          <w:t>https://портал-тп.рф/</w:t>
        </w:r>
      </w:hyperlink>
      <w:r>
        <w:rPr>
          <w:rFonts w:ascii="Times New Roman" w:eastAsia="Times New Roman" w:hAnsi="Times New Roman" w:cs="Times New Roman"/>
          <w:sz w:val="24"/>
          <w:szCs w:val="24"/>
          <w:lang w:eastAsia="ru-RU"/>
        </w:rPr>
        <w:t>, в том числе на едином портале реализован функционал «Карта центров питания» для оценки заявителями существующих резервов мощности на центрах питания 35-110 кВ.</w:t>
      </w:r>
    </w:p>
    <w:p w:rsidR="00D602D4" w:rsidRDefault="000B4C86">
      <w:pPr>
        <w:numPr>
          <w:ilvl w:val="0"/>
          <w:numId w:val="59"/>
        </w:numPr>
        <w:tabs>
          <w:tab w:val="left" w:pos="993"/>
          <w:tab w:val="left" w:pos="1134"/>
        </w:tabs>
        <w:spacing w:after="0" w:line="240" w:lineRule="auto"/>
        <w:ind w:left="0"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Прозрачность расчета платы за технологическое присоединение для заявителя. На едином портале ПАО «Россети» </w:t>
      </w:r>
      <w:hyperlink r:id="rId56" w:tooltip="https://портал-тп.рф/" w:history="1">
        <w:r>
          <w:rPr>
            <w:rFonts w:ascii="Times New Roman" w:eastAsia="Times New Roman" w:hAnsi="Times New Roman" w:cs="Times New Roman"/>
            <w:sz w:val="24"/>
            <w:szCs w:val="24"/>
            <w:lang w:eastAsia="ru-RU"/>
          </w:rPr>
          <w:t>https://портал-тп.рф/</w:t>
        </w:r>
      </w:hyperlink>
      <w:r>
        <w:rPr>
          <w:rFonts w:ascii="Times New Roman" w:eastAsia="Times New Roman" w:hAnsi="Times New Roman" w:cs="Times New Roman"/>
          <w:sz w:val="24"/>
          <w:szCs w:val="24"/>
          <w:lang w:eastAsia="ru-RU"/>
        </w:rPr>
        <w:t xml:space="preserve"> реализована возможность для предварительного и контрольного расчета заявителем платы за технологическое присоединение по видам ставок и составу мероприятий в технических условиях (простой и инженерный калькуляторы).</w:t>
      </w:r>
    </w:p>
    <w:p w:rsidR="00D602D4" w:rsidRDefault="000B4C86">
      <w:pPr>
        <w:numPr>
          <w:ilvl w:val="0"/>
          <w:numId w:val="59"/>
        </w:numPr>
        <w:tabs>
          <w:tab w:val="left" w:pos="993"/>
          <w:tab w:val="left" w:pos="1134"/>
        </w:tabs>
        <w:spacing w:after="0" w:line="240" w:lineRule="auto"/>
        <w:ind w:left="0"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Ускоренная процедура выдачи документов об осуществлении технологического присоединения посредством "личного кабинета" заявителя.</w:t>
      </w:r>
    </w:p>
    <w:p w:rsidR="00D602D4" w:rsidRDefault="00D602D4">
      <w:pPr>
        <w:tabs>
          <w:tab w:val="left" w:pos="993"/>
          <w:tab w:val="left" w:pos="1134"/>
        </w:tabs>
        <w:spacing w:after="0" w:line="240" w:lineRule="auto"/>
        <w:ind w:left="709"/>
        <w:contextualSpacing/>
        <w:jc w:val="both"/>
        <w:rPr>
          <w:rFonts w:ascii="Times New Roman" w:eastAsia="Times New Roman" w:hAnsi="Times New Roman" w:cs="Times New Roman"/>
          <w:sz w:val="24"/>
          <w:szCs w:val="24"/>
          <w:lang w:eastAsia="ru-RU"/>
        </w:rPr>
      </w:pPr>
    </w:p>
    <w:p w:rsidR="00D602D4" w:rsidRDefault="00D602D4">
      <w:pPr>
        <w:tabs>
          <w:tab w:val="left" w:pos="993"/>
          <w:tab w:val="left" w:pos="1134"/>
        </w:tabs>
        <w:spacing w:after="0" w:line="240" w:lineRule="auto"/>
        <w:ind w:left="709"/>
        <w:contextualSpacing/>
        <w:jc w:val="both"/>
        <w:rPr>
          <w:rFonts w:ascii="Times New Roman" w:eastAsia="Times New Roman" w:hAnsi="Times New Roman" w:cs="Times New Roman"/>
          <w:sz w:val="24"/>
          <w:szCs w:val="24"/>
          <w:lang w:eastAsia="ru-RU"/>
        </w:rPr>
      </w:pPr>
    </w:p>
    <w:p w:rsidR="00D602D4" w:rsidRDefault="00D602D4">
      <w:pPr>
        <w:tabs>
          <w:tab w:val="left" w:pos="993"/>
          <w:tab w:val="left" w:pos="1134"/>
        </w:tabs>
        <w:spacing w:after="0" w:line="240" w:lineRule="auto"/>
        <w:ind w:left="709"/>
        <w:contextualSpacing/>
        <w:jc w:val="both"/>
        <w:rPr>
          <w:rFonts w:ascii="Times New Roman" w:eastAsia="Times New Roman" w:hAnsi="Times New Roman" w:cs="Times New Roman"/>
          <w:sz w:val="24"/>
          <w:szCs w:val="24"/>
          <w:lang w:eastAsia="ru-RU"/>
        </w:rPr>
      </w:pPr>
    </w:p>
    <w:p w:rsidR="00D602D4" w:rsidRDefault="00D602D4">
      <w:pPr>
        <w:tabs>
          <w:tab w:val="left" w:pos="993"/>
          <w:tab w:val="left" w:pos="1134"/>
        </w:tabs>
        <w:spacing w:after="0" w:line="240" w:lineRule="auto"/>
        <w:ind w:left="709"/>
        <w:contextualSpacing/>
        <w:jc w:val="both"/>
        <w:rPr>
          <w:rFonts w:ascii="Times New Roman" w:eastAsia="Times New Roman" w:hAnsi="Times New Roman" w:cs="Times New Roman"/>
          <w:sz w:val="24"/>
          <w:szCs w:val="24"/>
          <w:lang w:eastAsia="ru-RU"/>
        </w:rPr>
      </w:pPr>
    </w:p>
    <w:p w:rsidR="00D602D4" w:rsidRDefault="00D602D4">
      <w:pPr>
        <w:tabs>
          <w:tab w:val="left" w:pos="993"/>
          <w:tab w:val="left" w:pos="1134"/>
        </w:tabs>
        <w:spacing w:after="0" w:line="240" w:lineRule="auto"/>
        <w:ind w:left="709"/>
        <w:contextualSpacing/>
        <w:jc w:val="both"/>
        <w:rPr>
          <w:rFonts w:ascii="Times New Roman" w:eastAsia="Times New Roman" w:hAnsi="Times New Roman" w:cs="Times New Roman"/>
          <w:sz w:val="24"/>
          <w:szCs w:val="24"/>
          <w:lang w:eastAsia="ru-RU"/>
        </w:rPr>
      </w:pPr>
    </w:p>
    <w:p w:rsidR="00D602D4" w:rsidRDefault="00D602D4">
      <w:pPr>
        <w:tabs>
          <w:tab w:val="left" w:pos="993"/>
          <w:tab w:val="left" w:pos="1134"/>
        </w:tabs>
        <w:spacing w:after="0" w:line="240" w:lineRule="auto"/>
        <w:ind w:left="709"/>
        <w:contextualSpacing/>
        <w:jc w:val="both"/>
        <w:rPr>
          <w:rFonts w:ascii="Times New Roman" w:eastAsia="Times New Roman" w:hAnsi="Times New Roman" w:cs="Times New Roman"/>
          <w:sz w:val="24"/>
          <w:szCs w:val="24"/>
          <w:lang w:eastAsia="ru-RU"/>
        </w:rPr>
      </w:pPr>
    </w:p>
    <w:p w:rsidR="00D602D4" w:rsidRDefault="00D602D4">
      <w:pPr>
        <w:tabs>
          <w:tab w:val="left" w:pos="993"/>
          <w:tab w:val="left" w:pos="1134"/>
        </w:tabs>
        <w:spacing w:after="0" w:line="240" w:lineRule="auto"/>
        <w:ind w:left="709"/>
        <w:contextualSpacing/>
        <w:jc w:val="both"/>
        <w:rPr>
          <w:rFonts w:ascii="Times New Roman" w:eastAsia="Times New Roman" w:hAnsi="Times New Roman" w:cs="Times New Roman"/>
          <w:sz w:val="24"/>
          <w:szCs w:val="24"/>
          <w:lang w:eastAsia="ru-RU"/>
        </w:rPr>
      </w:pPr>
    </w:p>
    <w:p w:rsidR="00D602D4" w:rsidRDefault="00D602D4">
      <w:pPr>
        <w:tabs>
          <w:tab w:val="left" w:pos="993"/>
          <w:tab w:val="left" w:pos="1134"/>
        </w:tabs>
        <w:spacing w:after="0" w:line="240" w:lineRule="auto"/>
        <w:ind w:left="709"/>
        <w:contextualSpacing/>
        <w:jc w:val="both"/>
        <w:rPr>
          <w:rFonts w:ascii="Times New Roman" w:eastAsia="Times New Roman" w:hAnsi="Times New Roman" w:cs="Times New Roman"/>
          <w:sz w:val="24"/>
          <w:szCs w:val="24"/>
          <w:lang w:eastAsia="ru-RU"/>
        </w:rPr>
      </w:pPr>
    </w:p>
    <w:p w:rsidR="00D602D4" w:rsidRDefault="00D602D4">
      <w:pPr>
        <w:tabs>
          <w:tab w:val="left" w:pos="993"/>
          <w:tab w:val="left" w:pos="1134"/>
        </w:tabs>
        <w:spacing w:after="0" w:line="240" w:lineRule="auto"/>
        <w:ind w:left="709"/>
        <w:contextualSpacing/>
        <w:jc w:val="both"/>
        <w:rPr>
          <w:rFonts w:ascii="Times New Roman" w:eastAsia="Times New Roman" w:hAnsi="Times New Roman" w:cs="Times New Roman"/>
          <w:sz w:val="24"/>
          <w:szCs w:val="24"/>
          <w:lang w:eastAsia="ru-RU"/>
        </w:rPr>
      </w:pPr>
    </w:p>
    <w:p w:rsidR="00D602D4" w:rsidRDefault="00D602D4">
      <w:pPr>
        <w:tabs>
          <w:tab w:val="left" w:pos="993"/>
          <w:tab w:val="left" w:pos="1134"/>
        </w:tabs>
        <w:spacing w:after="0" w:line="240" w:lineRule="auto"/>
        <w:ind w:left="709"/>
        <w:contextualSpacing/>
        <w:jc w:val="both"/>
        <w:rPr>
          <w:rFonts w:ascii="Times New Roman" w:eastAsia="Times New Roman" w:hAnsi="Times New Roman" w:cs="Times New Roman"/>
          <w:sz w:val="24"/>
          <w:szCs w:val="24"/>
          <w:lang w:eastAsia="ru-RU"/>
        </w:rPr>
      </w:pPr>
    </w:p>
    <w:p w:rsidR="00D602D4" w:rsidRDefault="000B4C86">
      <w:pPr>
        <w:tabs>
          <w:tab w:val="left" w:pos="993"/>
          <w:tab w:val="left" w:pos="1134"/>
        </w:tabs>
        <w:spacing w:after="0" w:line="240" w:lineRule="auto"/>
        <w:ind w:left="709"/>
        <w:contextualSpacing/>
        <w:jc w:val="both"/>
        <w:rPr>
          <w:rFonts w:ascii="Times New Roman" w:eastAsia="Times New Roman" w:hAnsi="Times New Roman" w:cs="Times New Roman"/>
          <w:sz w:val="24"/>
          <w:szCs w:val="24"/>
          <w:lang w:eastAsia="ru-RU"/>
        </w:rPr>
      </w:pPr>
      <w:bookmarkStart w:id="32" w:name="_Toc35"/>
      <w:r>
        <w:rPr>
          <w:rFonts w:ascii="Times New Roman" w:eastAsia="Times New Roman" w:hAnsi="Times New Roman" w:cs="Times New Roman"/>
          <w:b/>
          <w:color w:val="000000" w:themeColor="text1"/>
          <w:sz w:val="26"/>
          <w:szCs w:val="26"/>
        </w:rPr>
        <w:lastRenderedPageBreak/>
        <w:t>3.1.5. Консолидация электросетевых активов</w:t>
      </w:r>
      <w:bookmarkEnd w:id="32"/>
    </w:p>
    <w:p w:rsidR="00D602D4" w:rsidRDefault="00D602D4">
      <w:pPr>
        <w:spacing w:after="0" w:line="240" w:lineRule="auto"/>
        <w:ind w:left="709"/>
        <w:jc w:val="both"/>
        <w:rPr>
          <w:rFonts w:ascii="Times New Roman" w:hAnsi="Times New Roman" w:cs="Times New Roman"/>
          <w:b/>
          <w:bCs/>
          <w:color w:val="000000"/>
          <w:sz w:val="26"/>
          <w:szCs w:val="26"/>
        </w:rPr>
      </w:pPr>
    </w:p>
    <w:p w:rsidR="00D602D4" w:rsidRDefault="000B4C86">
      <w:pPr>
        <w:spacing w:after="0" w:line="240" w:lineRule="auto"/>
        <w:ind w:firstLine="709"/>
        <w:jc w:val="both"/>
        <w:rPr>
          <w:rFonts w:ascii="Times New Roman" w:hAnsi="Times New Roman" w:cs="Times New Roman"/>
          <w:b/>
          <w:color w:val="000000"/>
          <w:sz w:val="26"/>
          <w:szCs w:val="26"/>
          <w:highlight w:val="white"/>
        </w:rPr>
      </w:pPr>
      <w:r>
        <w:rPr>
          <w:rFonts w:ascii="Times New Roman" w:eastAsia="Times New Roman" w:hAnsi="Times New Roman" w:cs="Times New Roman"/>
          <w:b/>
          <w:color w:val="000000"/>
          <w:sz w:val="24"/>
          <w:szCs w:val="24"/>
          <w:highlight w:val="white"/>
        </w:rPr>
        <w:t>Описание общих принципов построения работы:</w:t>
      </w:r>
    </w:p>
    <w:p w:rsidR="00D602D4" w:rsidRDefault="000B4C86">
      <w:pPr>
        <w:spacing w:after="0" w:line="240" w:lineRule="auto"/>
        <w:ind w:firstLine="709"/>
        <w:jc w:val="both"/>
        <w:rPr>
          <w:rFonts w:ascii="Times New Roman" w:hAnsi="Times New Roman" w:cs="Times New Roman"/>
          <w:color w:val="000000"/>
          <w:sz w:val="26"/>
          <w:szCs w:val="26"/>
          <w:highlight w:val="white"/>
        </w:rPr>
      </w:pPr>
      <w:r>
        <w:rPr>
          <w:rFonts w:ascii="Times New Roman" w:eastAsia="Times New Roman" w:hAnsi="Times New Roman" w:cs="Times New Roman"/>
          <w:color w:val="000000"/>
          <w:sz w:val="24"/>
          <w:szCs w:val="24"/>
          <w:highlight w:val="white"/>
        </w:rPr>
        <w:t>Порядок консолидации электросетевых активов определяется нормами действующего законодательства, организационно-распорядительными документами ПАО «Россети» и Общества.</w:t>
      </w:r>
    </w:p>
    <w:p w:rsidR="00D602D4" w:rsidRDefault="000B4C86">
      <w:pPr>
        <w:spacing w:after="0" w:line="240" w:lineRule="auto"/>
        <w:ind w:firstLine="709"/>
        <w:jc w:val="both"/>
        <w:rPr>
          <w:rFonts w:ascii="Times New Roman" w:hAnsi="Times New Roman" w:cs="Times New Roman"/>
          <w:sz w:val="26"/>
          <w:szCs w:val="26"/>
          <w:highlight w:val="white"/>
        </w:rPr>
      </w:pPr>
      <w:r>
        <w:rPr>
          <w:rFonts w:ascii="Times New Roman" w:eastAsia="Times New Roman" w:hAnsi="Times New Roman" w:cs="Times New Roman"/>
          <w:sz w:val="24"/>
          <w:szCs w:val="24"/>
          <w:highlight w:val="white"/>
        </w:rPr>
        <w:t>С целью выполнения мероприятий по консолидации ЭСА осуществляется:</w:t>
      </w:r>
    </w:p>
    <w:p w:rsidR="00D602D4" w:rsidRDefault="000B4C86">
      <w:pPr>
        <w:pStyle w:val="ac"/>
        <w:numPr>
          <w:ilvl w:val="0"/>
          <w:numId w:val="60"/>
        </w:numPr>
        <w:spacing w:after="0" w:line="240" w:lineRule="auto"/>
        <w:jc w:val="both"/>
        <w:rPr>
          <w:rFonts w:ascii="Times New Roman" w:hAnsi="Times New Roman" w:cs="Times New Roman"/>
          <w:sz w:val="26"/>
          <w:szCs w:val="26"/>
          <w:highlight w:val="white"/>
        </w:rPr>
      </w:pPr>
      <w:r>
        <w:rPr>
          <w:rFonts w:ascii="Times New Roman" w:eastAsia="Times New Roman" w:hAnsi="Times New Roman" w:cs="Times New Roman"/>
          <w:sz w:val="24"/>
          <w:szCs w:val="24"/>
          <w:highlight w:val="white"/>
        </w:rPr>
        <w:t>постоянный мониторинг извещений об объявлении торгов на право заключения договоров по приобретению в собственность, аренду (пользование) ЭСА, размещаемых на электронных торговых площадках;</w:t>
      </w:r>
    </w:p>
    <w:p w:rsidR="00D602D4" w:rsidRDefault="000B4C86">
      <w:pPr>
        <w:pStyle w:val="ac"/>
        <w:numPr>
          <w:ilvl w:val="0"/>
          <w:numId w:val="60"/>
        </w:numPr>
        <w:spacing w:after="0" w:line="240" w:lineRule="auto"/>
        <w:jc w:val="both"/>
        <w:rPr>
          <w:rFonts w:ascii="Times New Roman" w:hAnsi="Times New Roman" w:cs="Times New Roman"/>
          <w:sz w:val="26"/>
          <w:szCs w:val="26"/>
          <w:highlight w:val="white"/>
        </w:rPr>
      </w:pPr>
      <w:r>
        <w:rPr>
          <w:rFonts w:ascii="Times New Roman" w:eastAsia="Times New Roman" w:hAnsi="Times New Roman" w:cs="Times New Roman"/>
          <w:sz w:val="24"/>
          <w:szCs w:val="24"/>
          <w:highlight w:val="white"/>
        </w:rPr>
        <w:t>работа с муниципальными образованиями, имеющими в собственности ЭСА, по получению информации о бесхозяйных ЭСА и информации о предстоящих торгах;</w:t>
      </w:r>
    </w:p>
    <w:p w:rsidR="00D602D4" w:rsidRDefault="000B4C86">
      <w:pPr>
        <w:pStyle w:val="ac"/>
        <w:numPr>
          <w:ilvl w:val="0"/>
          <w:numId w:val="60"/>
        </w:numPr>
        <w:spacing w:after="0" w:line="240" w:lineRule="auto"/>
        <w:jc w:val="both"/>
        <w:rPr>
          <w:rFonts w:ascii="Times New Roman" w:hAnsi="Times New Roman" w:cs="Times New Roman"/>
          <w:sz w:val="26"/>
          <w:szCs w:val="26"/>
          <w:highlight w:val="white"/>
        </w:rPr>
      </w:pPr>
      <w:r>
        <w:rPr>
          <w:rFonts w:ascii="Times New Roman" w:eastAsia="Times New Roman" w:hAnsi="Times New Roman" w:cs="Times New Roman"/>
          <w:sz w:val="24"/>
          <w:szCs w:val="24"/>
          <w:highlight w:val="white"/>
        </w:rPr>
        <w:t>анализ предложений иных собственников о приобретении в собственность, аренду (пользование) Общества ЭСА;</w:t>
      </w:r>
    </w:p>
    <w:p w:rsidR="00D602D4" w:rsidRDefault="000B4C86">
      <w:pPr>
        <w:pStyle w:val="ac"/>
        <w:numPr>
          <w:ilvl w:val="0"/>
          <w:numId w:val="60"/>
        </w:numPr>
        <w:spacing w:after="0" w:line="240" w:lineRule="auto"/>
        <w:jc w:val="both"/>
        <w:rPr>
          <w:rFonts w:ascii="Times New Roman" w:hAnsi="Times New Roman" w:cs="Times New Roman"/>
          <w:sz w:val="26"/>
          <w:szCs w:val="26"/>
          <w:highlight w:val="white"/>
        </w:rPr>
      </w:pPr>
      <w:r>
        <w:rPr>
          <w:rFonts w:ascii="Times New Roman" w:eastAsia="Times New Roman" w:hAnsi="Times New Roman" w:cs="Times New Roman"/>
          <w:sz w:val="24"/>
          <w:szCs w:val="24"/>
          <w:highlight w:val="white"/>
        </w:rPr>
        <w:t>взаимодействие с руководством субъектов Российской Федерации по консолидации ЭСА на базе ПАО «Россети Сибирь»;</w:t>
      </w:r>
    </w:p>
    <w:p w:rsidR="00D602D4" w:rsidRDefault="000B4C86">
      <w:pPr>
        <w:pStyle w:val="ac"/>
        <w:numPr>
          <w:ilvl w:val="0"/>
          <w:numId w:val="60"/>
        </w:numPr>
        <w:spacing w:after="0" w:line="240" w:lineRule="auto"/>
        <w:jc w:val="both"/>
        <w:rPr>
          <w:rFonts w:ascii="Times New Roman" w:hAnsi="Times New Roman" w:cs="Times New Roman"/>
          <w:sz w:val="26"/>
          <w:szCs w:val="26"/>
          <w:highlight w:val="white"/>
        </w:rPr>
      </w:pPr>
      <w:r>
        <w:rPr>
          <w:rFonts w:ascii="Times New Roman" w:eastAsia="Times New Roman" w:hAnsi="Times New Roman" w:cs="Times New Roman"/>
          <w:sz w:val="24"/>
          <w:szCs w:val="24"/>
          <w:highlight w:val="white"/>
        </w:rPr>
        <w:t xml:space="preserve">взаимодействие с ТСО, иными владельцами/собственниками ЭСА по консолидации ЭСА. </w:t>
      </w:r>
    </w:p>
    <w:p w:rsidR="00D602D4" w:rsidRDefault="000B4C86">
      <w:pPr>
        <w:spacing w:after="0" w:line="240" w:lineRule="auto"/>
        <w:ind w:firstLine="709"/>
        <w:jc w:val="both"/>
        <w:rPr>
          <w:rFonts w:ascii="Times New Roman" w:hAnsi="Times New Roman" w:cs="Times New Roman"/>
          <w:color w:val="000000"/>
          <w:sz w:val="26"/>
          <w:szCs w:val="26"/>
          <w:highlight w:val="white"/>
        </w:rPr>
      </w:pPr>
      <w:r>
        <w:rPr>
          <w:rFonts w:ascii="Times New Roman" w:eastAsia="Times New Roman" w:hAnsi="Times New Roman" w:cs="Times New Roman"/>
          <w:color w:val="000000"/>
          <w:sz w:val="24"/>
          <w:szCs w:val="24"/>
          <w:highlight w:val="white"/>
        </w:rPr>
        <w:t>В соответствии с постановлением Правительства Российской Федерации от 28.08.2024 № 1159 «Об утверждении критериев отнесения территориальных сетевых организаций к системообразующим территориальным сетевым организациям и Правил определения системообразующих территориальных сетевых организаций» статус системообразующей территориальной сетевой организации (далее - СТСО) с 01.01.2025 установлен за ПАО «Россети Сибирь» на территории:</w:t>
      </w:r>
    </w:p>
    <w:p w:rsidR="00D602D4" w:rsidRDefault="000B4C86">
      <w:pPr>
        <w:spacing w:after="0" w:line="240" w:lineRule="auto"/>
        <w:ind w:firstLine="709"/>
        <w:jc w:val="both"/>
        <w:rPr>
          <w:rFonts w:ascii="Times New Roman" w:hAnsi="Times New Roman" w:cs="Times New Roman"/>
          <w:color w:val="000000"/>
          <w:sz w:val="26"/>
          <w:szCs w:val="26"/>
          <w:highlight w:val="white"/>
        </w:rPr>
      </w:pPr>
      <w:r>
        <w:rPr>
          <w:rFonts w:ascii="Times New Roman" w:eastAsia="Times New Roman" w:hAnsi="Times New Roman" w:cs="Times New Roman"/>
          <w:color w:val="000000"/>
          <w:sz w:val="24"/>
          <w:szCs w:val="24"/>
          <w:highlight w:val="white"/>
        </w:rPr>
        <w:t>Алтайский край – указ Губернатора Алтайского края от 02.09.2024 № 134;</w:t>
      </w:r>
    </w:p>
    <w:p w:rsidR="00D602D4" w:rsidRDefault="000B4C86">
      <w:pPr>
        <w:spacing w:after="0" w:line="240" w:lineRule="auto"/>
        <w:ind w:firstLine="709"/>
        <w:jc w:val="both"/>
        <w:rPr>
          <w:rFonts w:ascii="Times New Roman" w:hAnsi="Times New Roman" w:cs="Times New Roman"/>
          <w:color w:val="000000"/>
          <w:sz w:val="26"/>
          <w:szCs w:val="26"/>
          <w:highlight w:val="white"/>
        </w:rPr>
      </w:pPr>
      <w:r>
        <w:rPr>
          <w:rFonts w:ascii="Times New Roman" w:eastAsia="Times New Roman" w:hAnsi="Times New Roman" w:cs="Times New Roman"/>
          <w:color w:val="000000"/>
          <w:sz w:val="24"/>
          <w:szCs w:val="24"/>
          <w:highlight w:val="white"/>
        </w:rPr>
        <w:t>Республика Алтай – распоряжение Главы Республики Алтай, Председателя Правительства Республики Алтай от 05.09.2024 № 645-рГ;</w:t>
      </w:r>
    </w:p>
    <w:p w:rsidR="00D602D4" w:rsidRDefault="000B4C86">
      <w:pPr>
        <w:spacing w:after="0" w:line="240" w:lineRule="auto"/>
        <w:ind w:firstLine="709"/>
        <w:jc w:val="both"/>
        <w:rPr>
          <w:rFonts w:ascii="Times New Roman" w:hAnsi="Times New Roman" w:cs="Times New Roman"/>
          <w:color w:val="000000"/>
          <w:sz w:val="26"/>
          <w:szCs w:val="26"/>
          <w:highlight w:val="white"/>
        </w:rPr>
      </w:pPr>
      <w:r>
        <w:rPr>
          <w:rFonts w:ascii="Times New Roman" w:eastAsia="Times New Roman" w:hAnsi="Times New Roman" w:cs="Times New Roman"/>
          <w:color w:val="000000"/>
          <w:sz w:val="24"/>
          <w:szCs w:val="24"/>
          <w:highlight w:val="white"/>
        </w:rPr>
        <w:t>Республика Бурятия – указ Главы Республики Бурятия от 05.09.2024 № 150;</w:t>
      </w:r>
    </w:p>
    <w:p w:rsidR="00D602D4" w:rsidRDefault="000B4C86">
      <w:pPr>
        <w:spacing w:after="0" w:line="240" w:lineRule="auto"/>
        <w:ind w:firstLine="709"/>
        <w:jc w:val="both"/>
        <w:rPr>
          <w:rFonts w:ascii="Times New Roman" w:hAnsi="Times New Roman" w:cs="Times New Roman"/>
          <w:color w:val="000000"/>
          <w:sz w:val="26"/>
          <w:szCs w:val="26"/>
          <w:highlight w:val="white"/>
        </w:rPr>
      </w:pPr>
      <w:r>
        <w:rPr>
          <w:rFonts w:ascii="Times New Roman" w:eastAsia="Times New Roman" w:hAnsi="Times New Roman" w:cs="Times New Roman"/>
          <w:color w:val="000000"/>
          <w:sz w:val="24"/>
          <w:szCs w:val="24"/>
          <w:highlight w:val="white"/>
        </w:rPr>
        <w:t>Красноярский край – указ Губернатора Красноярского края от 05.09.2024 № 273-уг;</w:t>
      </w:r>
    </w:p>
    <w:p w:rsidR="00D602D4" w:rsidRDefault="000B4C86">
      <w:pPr>
        <w:spacing w:after="0" w:line="240" w:lineRule="auto"/>
        <w:ind w:firstLine="709"/>
        <w:jc w:val="both"/>
        <w:rPr>
          <w:rFonts w:ascii="Times New Roman" w:hAnsi="Times New Roman" w:cs="Times New Roman"/>
          <w:color w:val="000000"/>
          <w:sz w:val="26"/>
          <w:szCs w:val="26"/>
          <w:highlight w:val="white"/>
        </w:rPr>
      </w:pPr>
      <w:r>
        <w:rPr>
          <w:rFonts w:ascii="Times New Roman" w:eastAsia="Times New Roman" w:hAnsi="Times New Roman" w:cs="Times New Roman"/>
          <w:color w:val="000000"/>
          <w:sz w:val="24"/>
          <w:szCs w:val="24"/>
          <w:highlight w:val="white"/>
        </w:rPr>
        <w:t>Кемеровская область – распоряжение Губернатора Кемеровской области – Кузбасса от 05.09.2024 № 118-рг;</w:t>
      </w:r>
    </w:p>
    <w:p w:rsidR="00D602D4" w:rsidRDefault="000B4C86">
      <w:pPr>
        <w:spacing w:after="0" w:line="240" w:lineRule="auto"/>
        <w:ind w:firstLine="709"/>
        <w:jc w:val="both"/>
        <w:rPr>
          <w:rFonts w:ascii="Times New Roman" w:hAnsi="Times New Roman" w:cs="Times New Roman"/>
          <w:color w:val="000000"/>
          <w:sz w:val="26"/>
          <w:szCs w:val="26"/>
          <w:highlight w:val="white"/>
        </w:rPr>
      </w:pPr>
      <w:r>
        <w:rPr>
          <w:rFonts w:ascii="Times New Roman" w:eastAsia="Times New Roman" w:hAnsi="Times New Roman" w:cs="Times New Roman"/>
          <w:color w:val="000000"/>
          <w:sz w:val="24"/>
          <w:szCs w:val="24"/>
          <w:highlight w:val="white"/>
        </w:rPr>
        <w:t>Омская область- распоряжение Губернатора Омской области от 05.09.2024 № 164-р;</w:t>
      </w:r>
    </w:p>
    <w:p w:rsidR="00D602D4" w:rsidRDefault="000B4C86">
      <w:pPr>
        <w:spacing w:after="0" w:line="240" w:lineRule="auto"/>
        <w:ind w:firstLine="709"/>
        <w:jc w:val="both"/>
        <w:rPr>
          <w:rFonts w:ascii="Times New Roman" w:hAnsi="Times New Roman" w:cs="Times New Roman"/>
          <w:color w:val="000000"/>
          <w:sz w:val="26"/>
          <w:szCs w:val="26"/>
          <w:highlight w:val="white"/>
        </w:rPr>
      </w:pPr>
      <w:r>
        <w:rPr>
          <w:rFonts w:ascii="Times New Roman" w:eastAsia="Times New Roman" w:hAnsi="Times New Roman" w:cs="Times New Roman"/>
          <w:color w:val="000000"/>
          <w:sz w:val="24"/>
          <w:szCs w:val="24"/>
          <w:highlight w:val="white"/>
        </w:rPr>
        <w:t>Республика Хакасия – постановление Главы Республики Хакасия – Председателя Правительства Республики Хакасия от 05.09.2024 № 68-ПП;</w:t>
      </w:r>
    </w:p>
    <w:p w:rsidR="00D602D4" w:rsidRDefault="000B4C86">
      <w:pPr>
        <w:spacing w:after="0" w:line="240" w:lineRule="auto"/>
        <w:ind w:firstLine="709"/>
        <w:jc w:val="both"/>
        <w:rPr>
          <w:rFonts w:ascii="Times New Roman" w:hAnsi="Times New Roman" w:cs="Times New Roman"/>
          <w:color w:val="000000"/>
          <w:sz w:val="26"/>
          <w:szCs w:val="26"/>
          <w:highlight w:val="white"/>
        </w:rPr>
      </w:pPr>
      <w:r>
        <w:rPr>
          <w:rFonts w:ascii="Times New Roman" w:eastAsia="Times New Roman" w:hAnsi="Times New Roman" w:cs="Times New Roman"/>
          <w:color w:val="000000"/>
          <w:sz w:val="24"/>
          <w:szCs w:val="24"/>
          <w:highlight w:val="white"/>
        </w:rPr>
        <w:t>Забайкальский край – распоряжение Губернатора Забайкальского края от 05.09.2024 № 644-р.</w:t>
      </w:r>
    </w:p>
    <w:p w:rsidR="00D602D4" w:rsidRDefault="000B4C86">
      <w:pPr>
        <w:widowControl w:val="0"/>
        <w:tabs>
          <w:tab w:val="left" w:pos="709"/>
          <w:tab w:val="left" w:pos="993"/>
          <w:tab w:val="left" w:pos="1418"/>
          <w:tab w:val="left" w:pos="1843"/>
          <w:tab w:val="left" w:pos="3119"/>
          <w:tab w:val="left" w:pos="3402"/>
        </w:tabs>
        <w:spacing w:after="0" w:line="240" w:lineRule="auto"/>
        <w:ind w:firstLine="709"/>
        <w:jc w:val="both"/>
        <w:rPr>
          <w:rFonts w:ascii="Times New Roman" w:hAnsi="Times New Roman" w:cs="Times New Roman"/>
          <w:sz w:val="26"/>
          <w:szCs w:val="26"/>
          <w:highlight w:val="white"/>
        </w:rPr>
      </w:pPr>
      <w:r>
        <w:rPr>
          <w:rFonts w:ascii="Times New Roman" w:eastAsia="Times New Roman" w:hAnsi="Times New Roman" w:cs="Times New Roman"/>
          <w:sz w:val="24"/>
          <w:szCs w:val="24"/>
          <w:highlight w:val="white"/>
        </w:rPr>
        <w:tab/>
      </w:r>
      <w:r>
        <w:rPr>
          <w:rFonts w:ascii="Times New Roman" w:eastAsia="Times New Roman" w:hAnsi="Times New Roman" w:cs="Times New Roman"/>
          <w:color w:val="333333"/>
          <w:sz w:val="24"/>
          <w:szCs w:val="24"/>
          <w:highlight w:val="white"/>
          <w:shd w:val="clear" w:color="auto" w:fill="FFFFFF"/>
        </w:rPr>
        <w:t xml:space="preserve">В течение </w:t>
      </w:r>
      <w:r>
        <w:rPr>
          <w:rFonts w:ascii="Times New Roman" w:eastAsia="Times New Roman" w:hAnsi="Times New Roman" w:cs="Times New Roman"/>
          <w:sz w:val="24"/>
          <w:szCs w:val="24"/>
          <w:highlight w:val="white"/>
        </w:rPr>
        <w:t xml:space="preserve">2024 Обществом </w:t>
      </w:r>
      <w:r>
        <w:rPr>
          <w:rFonts w:ascii="Times New Roman" w:eastAsia="Times New Roman" w:hAnsi="Times New Roman" w:cs="Times New Roman"/>
          <w:color w:val="000000" w:themeColor="text1"/>
          <w:sz w:val="24"/>
          <w:szCs w:val="24"/>
          <w:highlight w:val="white"/>
        </w:rPr>
        <w:t>заключено 3 крупные  сделки приобретения в собственность электросетевого имущества</w:t>
      </w:r>
      <w:r>
        <w:rPr>
          <w:rFonts w:ascii="Times New Roman" w:eastAsia="Times New Roman" w:hAnsi="Times New Roman" w:cs="Times New Roman"/>
          <w:sz w:val="24"/>
          <w:szCs w:val="24"/>
          <w:highlight w:val="white"/>
        </w:rPr>
        <w:t>:</w:t>
      </w:r>
    </w:p>
    <w:p w:rsidR="00D602D4" w:rsidRDefault="000B4C86">
      <w:pPr>
        <w:pStyle w:val="ac"/>
        <w:widowControl w:val="0"/>
        <w:numPr>
          <w:ilvl w:val="0"/>
          <w:numId w:val="61"/>
        </w:numPr>
        <w:tabs>
          <w:tab w:val="left" w:pos="709"/>
          <w:tab w:val="left" w:pos="1069"/>
        </w:tabs>
        <w:spacing w:after="0" w:line="240" w:lineRule="auto"/>
        <w:ind w:left="0" w:firstLine="709"/>
        <w:jc w:val="both"/>
        <w:rPr>
          <w:rFonts w:ascii="Times New Roman" w:hAnsi="Times New Roman" w:cs="Times New Roman"/>
          <w:sz w:val="26"/>
          <w:szCs w:val="26"/>
          <w:highlight w:val="white"/>
        </w:rPr>
      </w:pPr>
      <w:r>
        <w:rPr>
          <w:rFonts w:ascii="Times New Roman" w:eastAsia="Times New Roman" w:hAnsi="Times New Roman" w:cs="Times New Roman"/>
          <w:sz w:val="24"/>
          <w:szCs w:val="24"/>
          <w:highlight w:val="white"/>
        </w:rPr>
        <w:t>АО «Улан-Удэ Энерго» (10 593 у.е., 696 км, 620 МВА);</w:t>
      </w:r>
    </w:p>
    <w:p w:rsidR="00D602D4" w:rsidRDefault="000B4C86">
      <w:pPr>
        <w:pStyle w:val="ac"/>
        <w:widowControl w:val="0"/>
        <w:numPr>
          <w:ilvl w:val="0"/>
          <w:numId w:val="61"/>
        </w:numPr>
        <w:tabs>
          <w:tab w:val="left" w:pos="709"/>
          <w:tab w:val="left" w:pos="1069"/>
        </w:tabs>
        <w:spacing w:after="0" w:line="240" w:lineRule="auto"/>
        <w:ind w:left="0" w:firstLine="709"/>
        <w:jc w:val="both"/>
        <w:rPr>
          <w:rFonts w:ascii="Times New Roman" w:hAnsi="Times New Roman" w:cs="Times New Roman"/>
          <w:sz w:val="26"/>
          <w:szCs w:val="26"/>
          <w:highlight w:val="white"/>
        </w:rPr>
      </w:pPr>
      <w:r>
        <w:rPr>
          <w:rFonts w:ascii="Times New Roman" w:eastAsia="Times New Roman" w:hAnsi="Times New Roman" w:cs="Times New Roman"/>
          <w:sz w:val="24"/>
          <w:szCs w:val="24"/>
          <w:highlight w:val="white"/>
        </w:rPr>
        <w:t>Муниципального образования «город Северобайкальск» Республики Бурятия (1394 у.е., 269 км, 94 МВА);</w:t>
      </w:r>
    </w:p>
    <w:p w:rsidR="00D602D4" w:rsidRDefault="000B4C86">
      <w:pPr>
        <w:pStyle w:val="ac"/>
        <w:widowControl w:val="0"/>
        <w:numPr>
          <w:ilvl w:val="0"/>
          <w:numId w:val="61"/>
        </w:numPr>
        <w:tabs>
          <w:tab w:val="left" w:pos="709"/>
          <w:tab w:val="left" w:pos="1069"/>
        </w:tabs>
        <w:spacing w:after="0" w:line="240" w:lineRule="auto"/>
        <w:ind w:left="0"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ПАО «РусГидро» (54,3 у.е, 4,0 км, 4,4 МВА).</w:t>
      </w:r>
    </w:p>
    <w:p w:rsidR="00D602D4" w:rsidRDefault="00D602D4">
      <w:pPr>
        <w:widowControl w:val="0"/>
        <w:tabs>
          <w:tab w:val="left" w:pos="709"/>
          <w:tab w:val="left" w:pos="1069"/>
        </w:tabs>
        <w:spacing w:after="0" w:line="240" w:lineRule="auto"/>
        <w:ind w:left="709"/>
        <w:jc w:val="both"/>
        <w:rPr>
          <w:rFonts w:ascii="Times New Roman" w:hAnsi="Times New Roman" w:cs="Times New Roman"/>
          <w:sz w:val="26"/>
          <w:szCs w:val="26"/>
          <w:highlight w:val="white"/>
        </w:rPr>
      </w:pPr>
    </w:p>
    <w:p w:rsidR="00D602D4" w:rsidRDefault="00D602D4">
      <w:pPr>
        <w:widowControl w:val="0"/>
        <w:tabs>
          <w:tab w:val="left" w:pos="709"/>
          <w:tab w:val="left" w:pos="1069"/>
        </w:tabs>
        <w:spacing w:after="0" w:line="240" w:lineRule="auto"/>
        <w:ind w:left="709"/>
        <w:jc w:val="both"/>
        <w:rPr>
          <w:rFonts w:ascii="Times New Roman" w:hAnsi="Times New Roman" w:cs="Times New Roman"/>
          <w:sz w:val="26"/>
          <w:szCs w:val="26"/>
          <w:highlight w:val="white"/>
        </w:rPr>
      </w:pPr>
    </w:p>
    <w:p w:rsidR="00D602D4" w:rsidRDefault="00D602D4">
      <w:pPr>
        <w:widowControl w:val="0"/>
        <w:tabs>
          <w:tab w:val="left" w:pos="709"/>
          <w:tab w:val="left" w:pos="1069"/>
        </w:tabs>
        <w:spacing w:after="0" w:line="240" w:lineRule="auto"/>
        <w:ind w:left="709"/>
        <w:jc w:val="both"/>
        <w:rPr>
          <w:rFonts w:ascii="Times New Roman" w:hAnsi="Times New Roman" w:cs="Times New Roman"/>
          <w:sz w:val="26"/>
          <w:szCs w:val="26"/>
          <w:highlight w:val="white"/>
        </w:rPr>
      </w:pPr>
    </w:p>
    <w:p w:rsidR="00D602D4" w:rsidRDefault="00D602D4">
      <w:pPr>
        <w:widowControl w:val="0"/>
        <w:tabs>
          <w:tab w:val="left" w:pos="709"/>
          <w:tab w:val="left" w:pos="1069"/>
        </w:tabs>
        <w:spacing w:after="0" w:line="240" w:lineRule="auto"/>
        <w:ind w:left="709"/>
        <w:jc w:val="right"/>
        <w:rPr>
          <w:rFonts w:ascii="Times New Roman" w:hAnsi="Times New Roman" w:cs="Times New Roman"/>
          <w:sz w:val="26"/>
          <w:szCs w:val="26"/>
          <w:highlight w:val="white"/>
        </w:rPr>
      </w:pPr>
    </w:p>
    <w:p w:rsidR="00D602D4" w:rsidRDefault="00D602D4">
      <w:pPr>
        <w:widowControl w:val="0"/>
        <w:tabs>
          <w:tab w:val="left" w:pos="709"/>
          <w:tab w:val="left" w:pos="1069"/>
        </w:tabs>
        <w:spacing w:after="0" w:line="240" w:lineRule="auto"/>
        <w:ind w:left="709"/>
        <w:jc w:val="right"/>
      </w:pPr>
    </w:p>
    <w:p w:rsidR="00D602D4" w:rsidRDefault="00D602D4">
      <w:pPr>
        <w:widowControl w:val="0"/>
        <w:tabs>
          <w:tab w:val="left" w:pos="709"/>
          <w:tab w:val="left" w:pos="1069"/>
        </w:tabs>
        <w:spacing w:after="0" w:line="240" w:lineRule="auto"/>
        <w:ind w:left="709"/>
        <w:jc w:val="right"/>
      </w:pPr>
    </w:p>
    <w:p w:rsidR="00D602D4" w:rsidRDefault="000B4C86">
      <w:pPr>
        <w:widowControl w:val="0"/>
        <w:tabs>
          <w:tab w:val="left" w:pos="709"/>
          <w:tab w:val="left" w:pos="1069"/>
        </w:tabs>
        <w:spacing w:after="0" w:line="240" w:lineRule="auto"/>
        <w:ind w:left="709"/>
        <w:jc w:val="right"/>
        <w:rPr>
          <w:rFonts w:ascii="Times New Roman" w:hAnsi="Times New Roman" w:cs="Times New Roman"/>
          <w:sz w:val="24"/>
          <w:szCs w:val="24"/>
        </w:rPr>
      </w:pPr>
      <w:r>
        <w:rPr>
          <w:rFonts w:ascii="Times New Roman" w:eastAsia="Times New Roman" w:hAnsi="Times New Roman" w:cs="Times New Roman"/>
          <w:sz w:val="24"/>
          <w:szCs w:val="24"/>
        </w:rPr>
        <w:lastRenderedPageBreak/>
        <w:t>Таблица 26</w:t>
      </w:r>
    </w:p>
    <w:p w:rsidR="00D602D4" w:rsidRDefault="000B4C86">
      <w:pPr>
        <w:pStyle w:val="afa"/>
        <w:keepNext/>
        <w:widowControl w:val="0"/>
        <w:spacing w:after="0"/>
        <w:ind w:firstLine="709"/>
        <w:rPr>
          <w:i w:val="0"/>
        </w:rPr>
      </w:pPr>
      <w:r>
        <w:rPr>
          <w:i w:val="0"/>
          <w:szCs w:val="24"/>
        </w:rPr>
        <w:t>Мониторинг объемов консолидации электросетевых активов</w:t>
      </w:r>
    </w:p>
    <w:tbl>
      <w:tblPr>
        <w:tblW w:w="5244" w:type="pct"/>
        <w:tblInd w:w="-459" w:type="dxa"/>
        <w:tblLayout w:type="fixed"/>
        <w:tblLook w:val="04A0" w:firstRow="1" w:lastRow="0" w:firstColumn="1" w:lastColumn="0" w:noHBand="0" w:noVBand="1"/>
      </w:tblPr>
      <w:tblGrid>
        <w:gridCol w:w="2516"/>
        <w:gridCol w:w="837"/>
        <w:gridCol w:w="841"/>
        <w:gridCol w:w="977"/>
        <w:gridCol w:w="839"/>
        <w:gridCol w:w="881"/>
        <w:gridCol w:w="935"/>
        <w:gridCol w:w="839"/>
        <w:gridCol w:w="841"/>
        <w:gridCol w:w="977"/>
      </w:tblGrid>
      <w:tr w:rsidR="00D602D4">
        <w:trPr>
          <w:trHeight w:val="136"/>
        </w:trPr>
        <w:tc>
          <w:tcPr>
            <w:tcW w:w="1200" w:type="pct"/>
            <w:vMerge w:val="restart"/>
            <w:tcBorders>
              <w:top w:val="single" w:sz="4" w:space="0" w:color="000000"/>
              <w:left w:val="singl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ПАО «Россети Сибирь»</w:t>
            </w:r>
          </w:p>
        </w:tc>
        <w:tc>
          <w:tcPr>
            <w:tcW w:w="1266" w:type="pct"/>
            <w:gridSpan w:val="3"/>
            <w:tcBorders>
              <w:top w:val="singl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2022 год</w:t>
            </w:r>
          </w:p>
        </w:tc>
        <w:tc>
          <w:tcPr>
            <w:tcW w:w="1266" w:type="pct"/>
            <w:gridSpan w:val="3"/>
            <w:tcBorders>
              <w:top w:val="singl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2023 год</w:t>
            </w:r>
          </w:p>
        </w:tc>
        <w:tc>
          <w:tcPr>
            <w:tcW w:w="1267" w:type="pct"/>
            <w:gridSpan w:val="3"/>
            <w:tcBorders>
              <w:top w:val="singl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2024 год</w:t>
            </w:r>
          </w:p>
        </w:tc>
      </w:tr>
      <w:tr w:rsidR="00D602D4">
        <w:trPr>
          <w:trHeight w:val="494"/>
        </w:trPr>
        <w:tc>
          <w:tcPr>
            <w:tcW w:w="1200" w:type="pct"/>
            <w:vMerge/>
            <w:tcBorders>
              <w:top w:val="single" w:sz="4" w:space="0" w:color="000000"/>
              <w:left w:val="single" w:sz="4" w:space="0" w:color="000000"/>
              <w:bottom w:val="single" w:sz="4" w:space="0" w:color="000000"/>
              <w:right w:val="single" w:sz="4" w:space="0" w:color="000000"/>
            </w:tcBorders>
            <w:vAlign w:val="center"/>
          </w:tcPr>
          <w:p w:rsidR="00D602D4" w:rsidRDefault="00D602D4">
            <w:pPr>
              <w:tabs>
                <w:tab w:val="left" w:pos="993"/>
                <w:tab w:val="left" w:pos="1418"/>
                <w:tab w:val="left" w:pos="1843"/>
                <w:tab w:val="left" w:pos="3119"/>
                <w:tab w:val="left" w:pos="3402"/>
              </w:tabs>
              <w:jc w:val="center"/>
              <w:rPr>
                <w:b/>
                <w:bCs/>
              </w:rPr>
            </w:pPr>
          </w:p>
        </w:tc>
        <w:tc>
          <w:tcPr>
            <w:tcW w:w="1266" w:type="pct"/>
            <w:gridSpan w:val="3"/>
            <w:tcBorders>
              <w:top w:val="singl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Объем консолидации электросетевых активов за период</w:t>
            </w:r>
          </w:p>
        </w:tc>
        <w:tc>
          <w:tcPr>
            <w:tcW w:w="1266" w:type="pct"/>
            <w:gridSpan w:val="3"/>
            <w:tcBorders>
              <w:top w:val="singl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Объем консолидации электросетевых активов за период</w:t>
            </w:r>
          </w:p>
        </w:tc>
        <w:tc>
          <w:tcPr>
            <w:tcW w:w="1267" w:type="pct"/>
            <w:gridSpan w:val="3"/>
            <w:tcBorders>
              <w:top w:val="singl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Объем консолидации электросетевых активов за период</w:t>
            </w:r>
          </w:p>
        </w:tc>
      </w:tr>
      <w:tr w:rsidR="00D602D4">
        <w:trPr>
          <w:trHeight w:val="278"/>
        </w:trPr>
        <w:tc>
          <w:tcPr>
            <w:tcW w:w="1200" w:type="pct"/>
            <w:vMerge/>
            <w:tcBorders>
              <w:top w:val="single" w:sz="4" w:space="0" w:color="000000"/>
              <w:left w:val="single" w:sz="4" w:space="0" w:color="000000"/>
              <w:bottom w:val="single" w:sz="4" w:space="0" w:color="000000"/>
              <w:right w:val="single" w:sz="4" w:space="0" w:color="000000"/>
            </w:tcBorders>
            <w:vAlign w:val="center"/>
          </w:tcPr>
          <w:p w:rsidR="00D602D4" w:rsidRDefault="00D602D4">
            <w:pPr>
              <w:tabs>
                <w:tab w:val="left" w:pos="993"/>
                <w:tab w:val="left" w:pos="1418"/>
                <w:tab w:val="left" w:pos="1843"/>
                <w:tab w:val="left" w:pos="3119"/>
                <w:tab w:val="left" w:pos="3402"/>
              </w:tabs>
              <w:jc w:val="center"/>
              <w:rPr>
                <w:b/>
                <w:bCs/>
              </w:rPr>
            </w:pPr>
          </w:p>
        </w:tc>
        <w:tc>
          <w:tcPr>
            <w:tcW w:w="399"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МВА</w:t>
            </w:r>
          </w:p>
        </w:tc>
        <w:tc>
          <w:tcPr>
            <w:tcW w:w="401"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Км</w:t>
            </w:r>
          </w:p>
        </w:tc>
        <w:tc>
          <w:tcPr>
            <w:tcW w:w="466"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У.е.</w:t>
            </w:r>
          </w:p>
        </w:tc>
        <w:tc>
          <w:tcPr>
            <w:tcW w:w="400"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МВА</w:t>
            </w:r>
          </w:p>
        </w:tc>
        <w:tc>
          <w:tcPr>
            <w:tcW w:w="420"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Км</w:t>
            </w:r>
          </w:p>
        </w:tc>
        <w:tc>
          <w:tcPr>
            <w:tcW w:w="446"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У.е.</w:t>
            </w:r>
          </w:p>
        </w:tc>
        <w:tc>
          <w:tcPr>
            <w:tcW w:w="400"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МВА</w:t>
            </w:r>
          </w:p>
        </w:tc>
        <w:tc>
          <w:tcPr>
            <w:tcW w:w="401"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Км</w:t>
            </w:r>
          </w:p>
        </w:tc>
        <w:tc>
          <w:tcPr>
            <w:tcW w:w="466"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У.е.</w:t>
            </w:r>
          </w:p>
        </w:tc>
      </w:tr>
      <w:tr w:rsidR="00D602D4">
        <w:trPr>
          <w:trHeight w:val="255"/>
        </w:trPr>
        <w:tc>
          <w:tcPr>
            <w:tcW w:w="1200" w:type="pct"/>
            <w:tcBorders>
              <w:top w:val="none" w:sz="4" w:space="0" w:color="000000"/>
              <w:left w:val="singl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Cs/>
              </w:rPr>
            </w:pPr>
            <w:r>
              <w:rPr>
                <w:rFonts w:ascii="Times New Roman" w:eastAsia="Times New Roman" w:hAnsi="Times New Roman" w:cs="Times New Roman"/>
                <w:bCs/>
                <w:sz w:val="20"/>
                <w:szCs w:val="20"/>
              </w:rPr>
              <w:t>1</w:t>
            </w:r>
          </w:p>
        </w:tc>
        <w:tc>
          <w:tcPr>
            <w:tcW w:w="399"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2</w:t>
            </w:r>
          </w:p>
        </w:tc>
        <w:tc>
          <w:tcPr>
            <w:tcW w:w="401"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3</w:t>
            </w:r>
          </w:p>
        </w:tc>
        <w:tc>
          <w:tcPr>
            <w:tcW w:w="466"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4</w:t>
            </w:r>
          </w:p>
        </w:tc>
        <w:tc>
          <w:tcPr>
            <w:tcW w:w="400"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6</w:t>
            </w:r>
          </w:p>
        </w:tc>
        <w:tc>
          <w:tcPr>
            <w:tcW w:w="420"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7</w:t>
            </w:r>
          </w:p>
        </w:tc>
        <w:tc>
          <w:tcPr>
            <w:tcW w:w="446"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8</w:t>
            </w:r>
          </w:p>
        </w:tc>
        <w:tc>
          <w:tcPr>
            <w:tcW w:w="400"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10</w:t>
            </w:r>
          </w:p>
        </w:tc>
        <w:tc>
          <w:tcPr>
            <w:tcW w:w="401"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11</w:t>
            </w:r>
          </w:p>
        </w:tc>
        <w:tc>
          <w:tcPr>
            <w:tcW w:w="466" w:type="pct"/>
            <w:tcBorders>
              <w:top w:val="none" w:sz="4" w:space="0" w:color="000000"/>
              <w:left w:val="none" w:sz="4" w:space="0" w:color="000000"/>
              <w:bottom w:val="single" w:sz="4" w:space="0" w:color="000000"/>
              <w:right w:val="single" w:sz="4" w:space="0" w:color="000000"/>
            </w:tcBorders>
            <w:shd w:val="clear" w:color="000000" w:fill="C5D9F1"/>
            <w:vAlign w:val="center"/>
          </w:tcPr>
          <w:p w:rsidR="00D602D4" w:rsidRDefault="000B4C86">
            <w:pPr>
              <w:tabs>
                <w:tab w:val="left" w:pos="993"/>
                <w:tab w:val="left" w:pos="1418"/>
                <w:tab w:val="left" w:pos="1843"/>
                <w:tab w:val="left" w:pos="3119"/>
                <w:tab w:val="left" w:pos="3402"/>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12</w:t>
            </w:r>
          </w:p>
        </w:tc>
      </w:tr>
      <w:tr w:rsidR="00D602D4">
        <w:trPr>
          <w:trHeight w:val="363"/>
        </w:trPr>
        <w:tc>
          <w:tcPr>
            <w:tcW w:w="1200" w:type="pct"/>
            <w:tcBorders>
              <w:top w:val="non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ИТОГО ПАО «Россети Сибирь»</w:t>
            </w:r>
          </w:p>
        </w:tc>
        <w:tc>
          <w:tcPr>
            <w:tcW w:w="39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rPr>
            </w:pPr>
            <w:r>
              <w:rPr>
                <w:rFonts w:ascii="Times New Roman" w:eastAsia="Times New Roman" w:hAnsi="Times New Roman" w:cs="Times New Roman"/>
                <w:b/>
                <w:sz w:val="20"/>
                <w:szCs w:val="20"/>
              </w:rPr>
              <w:t>2397</w:t>
            </w:r>
          </w:p>
        </w:tc>
        <w:tc>
          <w:tcPr>
            <w:tcW w:w="401"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rPr>
            </w:pPr>
            <w:r>
              <w:rPr>
                <w:rFonts w:ascii="Times New Roman" w:eastAsia="Times New Roman" w:hAnsi="Times New Roman" w:cs="Times New Roman"/>
                <w:b/>
                <w:sz w:val="20"/>
                <w:szCs w:val="20"/>
              </w:rPr>
              <w:t>10410</w:t>
            </w:r>
          </w:p>
        </w:tc>
        <w:tc>
          <w:tcPr>
            <w:tcW w:w="46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rPr>
            </w:pPr>
            <w:r>
              <w:rPr>
                <w:rFonts w:ascii="Times New Roman" w:eastAsia="Times New Roman" w:hAnsi="Times New Roman" w:cs="Times New Roman"/>
                <w:b/>
                <w:sz w:val="20"/>
                <w:szCs w:val="20"/>
              </w:rPr>
              <w:t>59078</w:t>
            </w:r>
          </w:p>
        </w:tc>
        <w:tc>
          <w:tcPr>
            <w:tcW w:w="40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rPr>
            </w:pPr>
            <w:r>
              <w:rPr>
                <w:rFonts w:ascii="Times New Roman" w:eastAsia="Times New Roman" w:hAnsi="Times New Roman" w:cs="Times New Roman"/>
                <w:b/>
                <w:sz w:val="20"/>
                <w:szCs w:val="20"/>
              </w:rPr>
              <w:t>2 536</w:t>
            </w:r>
          </w:p>
        </w:tc>
        <w:tc>
          <w:tcPr>
            <w:tcW w:w="42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rPr>
            </w:pPr>
            <w:r>
              <w:rPr>
                <w:rFonts w:ascii="Times New Roman" w:eastAsia="Times New Roman" w:hAnsi="Times New Roman" w:cs="Times New Roman"/>
                <w:b/>
                <w:sz w:val="20"/>
                <w:szCs w:val="20"/>
              </w:rPr>
              <w:t>10 629</w:t>
            </w:r>
          </w:p>
        </w:tc>
        <w:tc>
          <w:tcPr>
            <w:tcW w:w="44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rPr>
            </w:pPr>
            <w:r>
              <w:rPr>
                <w:rFonts w:ascii="Times New Roman" w:eastAsia="Times New Roman" w:hAnsi="Times New Roman" w:cs="Times New Roman"/>
                <w:b/>
                <w:sz w:val="20"/>
                <w:szCs w:val="20"/>
              </w:rPr>
              <w:t>63 106</w:t>
            </w:r>
          </w:p>
        </w:tc>
        <w:tc>
          <w:tcPr>
            <w:tcW w:w="40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2 474</w:t>
            </w:r>
          </w:p>
        </w:tc>
        <w:tc>
          <w:tcPr>
            <w:tcW w:w="401"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10 478</w:t>
            </w:r>
          </w:p>
        </w:tc>
        <w:tc>
          <w:tcPr>
            <w:tcW w:w="46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63 425</w:t>
            </w:r>
          </w:p>
        </w:tc>
      </w:tr>
      <w:tr w:rsidR="00D602D4">
        <w:trPr>
          <w:trHeight w:val="255"/>
        </w:trPr>
        <w:tc>
          <w:tcPr>
            <w:tcW w:w="1200" w:type="pct"/>
            <w:tcBorders>
              <w:top w:val="non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Приобретение электросетевых объектов</w:t>
            </w:r>
          </w:p>
        </w:tc>
        <w:tc>
          <w:tcPr>
            <w:tcW w:w="39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2</w:t>
            </w:r>
          </w:p>
        </w:tc>
        <w:tc>
          <w:tcPr>
            <w:tcW w:w="401"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90</w:t>
            </w:r>
          </w:p>
        </w:tc>
        <w:tc>
          <w:tcPr>
            <w:tcW w:w="46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132</w:t>
            </w:r>
          </w:p>
        </w:tc>
        <w:tc>
          <w:tcPr>
            <w:tcW w:w="40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0</w:t>
            </w:r>
          </w:p>
        </w:tc>
        <w:tc>
          <w:tcPr>
            <w:tcW w:w="42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0</w:t>
            </w:r>
          </w:p>
        </w:tc>
        <w:tc>
          <w:tcPr>
            <w:tcW w:w="44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0</w:t>
            </w:r>
          </w:p>
        </w:tc>
        <w:tc>
          <w:tcPr>
            <w:tcW w:w="40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719</w:t>
            </w:r>
          </w:p>
        </w:tc>
        <w:tc>
          <w:tcPr>
            <w:tcW w:w="401"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969</w:t>
            </w:r>
          </w:p>
        </w:tc>
        <w:tc>
          <w:tcPr>
            <w:tcW w:w="46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12 041</w:t>
            </w:r>
          </w:p>
        </w:tc>
      </w:tr>
      <w:tr w:rsidR="00D602D4">
        <w:trPr>
          <w:trHeight w:val="255"/>
        </w:trPr>
        <w:tc>
          <w:tcPr>
            <w:tcW w:w="1200" w:type="pct"/>
            <w:tcBorders>
              <w:top w:val="non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Аренда электросетевых объектов</w:t>
            </w:r>
          </w:p>
        </w:tc>
        <w:tc>
          <w:tcPr>
            <w:tcW w:w="39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1698</w:t>
            </w:r>
          </w:p>
        </w:tc>
        <w:tc>
          <w:tcPr>
            <w:tcW w:w="401"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4518</w:t>
            </w:r>
          </w:p>
        </w:tc>
        <w:tc>
          <w:tcPr>
            <w:tcW w:w="46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30343</w:t>
            </w:r>
          </w:p>
        </w:tc>
        <w:tc>
          <w:tcPr>
            <w:tcW w:w="40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1 836</w:t>
            </w:r>
          </w:p>
        </w:tc>
        <w:tc>
          <w:tcPr>
            <w:tcW w:w="42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4 961</w:t>
            </w:r>
          </w:p>
        </w:tc>
        <w:tc>
          <w:tcPr>
            <w:tcW w:w="44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34 751</w:t>
            </w:r>
          </w:p>
        </w:tc>
        <w:tc>
          <w:tcPr>
            <w:tcW w:w="40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929</w:t>
            </w:r>
          </w:p>
        </w:tc>
        <w:tc>
          <w:tcPr>
            <w:tcW w:w="401"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3 602</w:t>
            </w:r>
          </w:p>
        </w:tc>
        <w:tc>
          <w:tcPr>
            <w:tcW w:w="46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21 171</w:t>
            </w:r>
          </w:p>
        </w:tc>
      </w:tr>
      <w:tr w:rsidR="00D602D4">
        <w:trPr>
          <w:trHeight w:val="255"/>
        </w:trPr>
        <w:tc>
          <w:tcPr>
            <w:tcW w:w="1200" w:type="pct"/>
            <w:tcBorders>
              <w:top w:val="non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Прочее (постоянные права владения и пользования)</w:t>
            </w:r>
          </w:p>
        </w:tc>
        <w:tc>
          <w:tcPr>
            <w:tcW w:w="39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29</w:t>
            </w:r>
          </w:p>
        </w:tc>
        <w:tc>
          <w:tcPr>
            <w:tcW w:w="401"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405</w:t>
            </w:r>
          </w:p>
        </w:tc>
        <w:tc>
          <w:tcPr>
            <w:tcW w:w="46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963</w:t>
            </w:r>
          </w:p>
        </w:tc>
        <w:tc>
          <w:tcPr>
            <w:tcW w:w="40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80</w:t>
            </w:r>
          </w:p>
        </w:tc>
        <w:tc>
          <w:tcPr>
            <w:tcW w:w="42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638</w:t>
            </w:r>
          </w:p>
        </w:tc>
        <w:tc>
          <w:tcPr>
            <w:tcW w:w="44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1 806</w:t>
            </w:r>
          </w:p>
        </w:tc>
        <w:tc>
          <w:tcPr>
            <w:tcW w:w="40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41</w:t>
            </w:r>
          </w:p>
        </w:tc>
        <w:tc>
          <w:tcPr>
            <w:tcW w:w="401"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295</w:t>
            </w:r>
          </w:p>
        </w:tc>
        <w:tc>
          <w:tcPr>
            <w:tcW w:w="46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1 701</w:t>
            </w:r>
          </w:p>
        </w:tc>
      </w:tr>
      <w:tr w:rsidR="00D602D4">
        <w:trPr>
          <w:trHeight w:val="255"/>
        </w:trPr>
        <w:tc>
          <w:tcPr>
            <w:tcW w:w="1200" w:type="pct"/>
            <w:tcBorders>
              <w:top w:val="non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Прочее (временные права владения и пользования)</w:t>
            </w:r>
          </w:p>
        </w:tc>
        <w:tc>
          <w:tcPr>
            <w:tcW w:w="39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668</w:t>
            </w:r>
          </w:p>
        </w:tc>
        <w:tc>
          <w:tcPr>
            <w:tcW w:w="401"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5397</w:t>
            </w:r>
          </w:p>
        </w:tc>
        <w:tc>
          <w:tcPr>
            <w:tcW w:w="46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27640</w:t>
            </w:r>
          </w:p>
        </w:tc>
        <w:tc>
          <w:tcPr>
            <w:tcW w:w="40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620</w:t>
            </w:r>
          </w:p>
        </w:tc>
        <w:tc>
          <w:tcPr>
            <w:tcW w:w="42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5 030</w:t>
            </w:r>
          </w:p>
        </w:tc>
        <w:tc>
          <w:tcPr>
            <w:tcW w:w="44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26 549</w:t>
            </w:r>
          </w:p>
        </w:tc>
        <w:tc>
          <w:tcPr>
            <w:tcW w:w="400"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784</w:t>
            </w:r>
          </w:p>
        </w:tc>
        <w:tc>
          <w:tcPr>
            <w:tcW w:w="401"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5 612</w:t>
            </w:r>
          </w:p>
        </w:tc>
        <w:tc>
          <w:tcPr>
            <w:tcW w:w="466"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eastAsia="Times New Roman" w:hAnsi="Times New Roman" w:cs="Times New Roman"/>
                <w:sz w:val="20"/>
                <w:szCs w:val="20"/>
              </w:rPr>
              <w:t>28 513</w:t>
            </w:r>
          </w:p>
        </w:tc>
      </w:tr>
    </w:tbl>
    <w:p w:rsidR="00D602D4" w:rsidRDefault="00D602D4">
      <w:pPr>
        <w:pStyle w:val="ac"/>
        <w:widowControl w:val="0"/>
        <w:tabs>
          <w:tab w:val="left" w:pos="993"/>
          <w:tab w:val="left" w:pos="1418"/>
          <w:tab w:val="left" w:pos="1843"/>
          <w:tab w:val="left" w:pos="3119"/>
          <w:tab w:val="left" w:pos="3402"/>
        </w:tabs>
        <w:spacing w:after="0" w:line="240" w:lineRule="auto"/>
        <w:ind w:left="709"/>
        <w:jc w:val="center"/>
        <w:rPr>
          <w:rFonts w:ascii="Times New Roman" w:hAnsi="Times New Roman" w:cs="Times New Roman"/>
          <w:sz w:val="26"/>
          <w:szCs w:val="26"/>
        </w:rPr>
      </w:pPr>
    </w:p>
    <w:p w:rsidR="00D602D4" w:rsidRDefault="00D602D4">
      <w:pPr>
        <w:pStyle w:val="ac"/>
        <w:widowControl w:val="0"/>
        <w:tabs>
          <w:tab w:val="left" w:pos="993"/>
          <w:tab w:val="left" w:pos="1418"/>
          <w:tab w:val="left" w:pos="1843"/>
          <w:tab w:val="left" w:pos="3119"/>
          <w:tab w:val="left" w:pos="3402"/>
        </w:tabs>
        <w:spacing w:after="0" w:line="240" w:lineRule="auto"/>
        <w:ind w:left="709"/>
        <w:jc w:val="both"/>
        <w:rPr>
          <w:rFonts w:ascii="Times New Roman" w:hAnsi="Times New Roman" w:cs="Times New Roman"/>
          <w:sz w:val="26"/>
          <w:szCs w:val="26"/>
        </w:rPr>
      </w:pPr>
    </w:p>
    <w:p w:rsidR="00D602D4" w:rsidRDefault="000B4C86">
      <w:pPr>
        <w:spacing w:after="0" w:line="240" w:lineRule="auto"/>
        <w:ind w:firstLine="709"/>
        <w:jc w:val="both"/>
        <w:rPr>
          <w:rFonts w:ascii="Times New Roman" w:hAnsi="Times New Roman" w:cs="Times New Roman"/>
          <w:b/>
          <w:sz w:val="26"/>
          <w:szCs w:val="26"/>
        </w:rPr>
      </w:pPr>
      <w:r>
        <w:rPr>
          <w:rFonts w:ascii="Times New Roman" w:eastAsia="Times New Roman" w:hAnsi="Times New Roman" w:cs="Times New Roman"/>
          <w:b/>
          <w:sz w:val="24"/>
          <w:szCs w:val="24"/>
        </w:rPr>
        <w:t>Оценка доли ПАО «Россети Сибирь» в необходимой валовой выручке (далее – НВВ) регионов обслуживания за последние 3 года и факторы, повлиявшие на изменение</w:t>
      </w:r>
    </w:p>
    <w:p w:rsidR="00D602D4" w:rsidRDefault="000B4C86">
      <w:r>
        <w:rPr>
          <w:noProof/>
          <w:lang w:eastAsia="ru-RU"/>
        </w:rPr>
        <w:drawing>
          <wp:inline distT="0" distB="0" distL="0" distR="0">
            <wp:extent cx="1841955" cy="1934209"/>
            <wp:effectExtent l="3175" t="3175" r="3175" b="3175"/>
            <wp:docPr id="2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Pr>
          <w:noProof/>
          <w:lang w:eastAsia="ru-RU"/>
        </w:rPr>
        <w:drawing>
          <wp:inline distT="0" distB="0" distL="0" distR="0">
            <wp:extent cx="1841955" cy="1934209"/>
            <wp:effectExtent l="0" t="0" r="6350" b="0"/>
            <wp:docPr id="23"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Pr>
          <w:noProof/>
          <w:lang w:eastAsia="ru-RU"/>
        </w:rPr>
        <w:drawing>
          <wp:inline distT="0" distB="0" distL="0" distR="0">
            <wp:extent cx="1841954" cy="1934208"/>
            <wp:effectExtent l="3175" t="3175" r="3175" b="3175"/>
            <wp:docPr id="2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D602D4" w:rsidRDefault="000B4C8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Рис 13. - Оценка доли ПАО «Россети Сибирь» в НВВ регионов обслуживания за последние 3 года</w:t>
      </w:r>
    </w:p>
    <w:p w:rsidR="00D602D4" w:rsidRDefault="00D602D4">
      <w:pPr>
        <w:jc w:val="center"/>
        <w:rPr>
          <w:rFonts w:ascii="Times New Roman" w:eastAsia="Times New Roman" w:hAnsi="Times New Roman" w:cs="Times New Roman"/>
          <w:sz w:val="24"/>
          <w:szCs w:val="24"/>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0B4C86">
      <w:bookmarkStart w:id="33" w:name="_Toc36"/>
      <w:r>
        <w:rPr>
          <w:rFonts w:ascii="Times New Roman" w:eastAsia="Times New Roman" w:hAnsi="Times New Roman" w:cs="Times New Roman"/>
          <w:b/>
          <w:color w:val="000000" w:themeColor="text1"/>
          <w:sz w:val="26"/>
          <w:szCs w:val="26"/>
        </w:rPr>
        <w:lastRenderedPageBreak/>
        <w:t>3.1.6. Дополнительные (нетарифные) услуги</w:t>
      </w:r>
      <w:bookmarkEnd w:id="33"/>
    </w:p>
    <w:p w:rsidR="00D602D4" w:rsidRDefault="000B4C86">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Развитие дополнительных (нетарифных) услуг является приоритетным направлением деятельности Общества. В условиях умеренного роста полезного отпуска электроэнергии и постоянного спроса на услуги по технологическому присоединению за последние 5 лет оказание нетарифных услуг является драйвером роста и повышения производительности ПАО «Россети Сибирь».</w:t>
      </w:r>
    </w:p>
    <w:p w:rsidR="00D602D4" w:rsidRDefault="000B4C86">
      <w:pPr>
        <w:pStyle w:val="aff5"/>
        <w:spacing w:before="0" w:after="0" w:line="240" w:lineRule="auto"/>
        <w:contextualSpacing w:val="0"/>
      </w:pPr>
      <w:r>
        <w:t>Цели развития дополнительных (нетарифных) услуг Общества включают:</w:t>
      </w:r>
    </w:p>
    <w:p w:rsidR="00D602D4" w:rsidRDefault="000B4C86">
      <w:pPr>
        <w:pStyle w:val="aff5"/>
        <w:spacing w:before="0" w:after="0" w:line="240" w:lineRule="auto"/>
      </w:pPr>
      <w:r>
        <w:t>- повышение эффективности и финансовой устойчивости Общества;</w:t>
      </w:r>
    </w:p>
    <w:p w:rsidR="00D602D4" w:rsidRDefault="000B4C86">
      <w:pPr>
        <w:pStyle w:val="aff5"/>
        <w:spacing w:before="0" w:after="0" w:line="240" w:lineRule="auto"/>
      </w:pPr>
      <w:r>
        <w:t>- увеличение доли рынка дополнительных (нетарифных) услуг Общества за счет представления на рынке во всех регионах присутствия основных дополнительных (нетарифных) услуг и вывод новых перспективных услуг;</w:t>
      </w:r>
    </w:p>
    <w:p w:rsidR="00D602D4" w:rsidRDefault="000B4C86">
      <w:pPr>
        <w:pStyle w:val="aff5"/>
        <w:spacing w:before="0" w:after="0" w:line="240" w:lineRule="auto"/>
      </w:pPr>
      <w:r>
        <w:t>- увеличение нетарифной выручки от реализации дополнительных услуг;</w:t>
      </w:r>
    </w:p>
    <w:p w:rsidR="00D602D4" w:rsidRDefault="000B4C86">
      <w:pPr>
        <w:pStyle w:val="aff5"/>
        <w:spacing w:before="0" w:after="0" w:line="240" w:lineRule="auto"/>
      </w:pPr>
      <w:r>
        <w:t>- повышение доступности дополнительных услуг Общества;</w:t>
      </w:r>
    </w:p>
    <w:p w:rsidR="00D602D4" w:rsidRDefault="000B4C86">
      <w:pPr>
        <w:pStyle w:val="aff5"/>
        <w:spacing w:before="0" w:after="0" w:line="240" w:lineRule="auto"/>
      </w:pPr>
      <w:r>
        <w:t>- коммерциализацию процессов взаимодействия с потребителями.</w:t>
      </w:r>
    </w:p>
    <w:p w:rsidR="00D602D4" w:rsidRDefault="000B4C86">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В соответствии со Стратегией развития электросетевого комплекса и Долгосрочной программой развития ПАО «Россети», а также с целью увеличения доли рынка дополнительных (нетарифных) услуг на территории присутствия Общества, повышения их доступности была разработана «Дорожная карта по развитию дополнительных (нетарифных) услуг ПАО «Россети Сибирь» на 2023-2024 годы. Дорожная карта утверждена Советом директоров ПАО «Россети Сибирь» (протокол №506/23 от 23.11.2023), все мероприятия выполнены.</w:t>
      </w:r>
    </w:p>
    <w:p w:rsidR="00D602D4" w:rsidRDefault="000B4C86">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По итогам 2024 года выручка от реализации дополнительных (нетарифных) услуг составила 1 342,8 млн руб. при плановых значениях 1 716,1 млн руб., что составляет 78,25% от утвержденных значений бизнес-плана, при этом относительно 2023 года выручка от дополнительных услуг в 2024 году выросла на 52%.</w:t>
      </w:r>
    </w:p>
    <w:p w:rsidR="00D602D4" w:rsidRDefault="000B4C86">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Основными причинами невыполнения показателей бизнес-плана по выручке от дополнительных услуг послужили: </w:t>
      </w:r>
    </w:p>
    <w:p w:rsidR="00D602D4" w:rsidRDefault="000B4C86">
      <w:pPr>
        <w:pStyle w:val="ac"/>
        <w:numPr>
          <w:ilvl w:val="0"/>
          <w:numId w:val="62"/>
        </w:numPr>
        <w:tabs>
          <w:tab w:val="left" w:pos="851"/>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перенос части крупных сделок клиентами на следующие периоды по инициативе заказчиков;</w:t>
      </w:r>
    </w:p>
    <w:p w:rsidR="00D602D4" w:rsidRDefault="000B4C86">
      <w:pPr>
        <w:pStyle w:val="ac"/>
        <w:numPr>
          <w:ilvl w:val="0"/>
          <w:numId w:val="62"/>
        </w:numPr>
        <w:tabs>
          <w:tab w:val="left" w:pos="851"/>
        </w:tabs>
        <w:spacing w:after="0" w:line="240" w:lineRule="auto"/>
        <w:ind w:left="0" w:firstLine="567"/>
        <w:jc w:val="both"/>
        <w:rPr>
          <w:rFonts w:ascii="Times New Roman" w:hAnsi="Times New Roman" w:cs="Times New Roman"/>
          <w:highlight w:val="white"/>
        </w:rPr>
      </w:pPr>
      <w:r>
        <w:rPr>
          <w:rFonts w:ascii="Times New Roman" w:hAnsi="Times New Roman" w:cs="Times New Roman"/>
          <w:sz w:val="24"/>
          <w:szCs w:val="24"/>
          <w:highlight w:val="white"/>
        </w:rPr>
        <w:t xml:space="preserve">перенос сроков  сдачи  объектов  из-за  несвоевременного  исполнения обязательств со стороны поставщиков и подрядчиков; </w:t>
      </w:r>
    </w:p>
    <w:p w:rsidR="00D602D4" w:rsidRDefault="000B4C86">
      <w:pPr>
        <w:pStyle w:val="ac"/>
        <w:numPr>
          <w:ilvl w:val="0"/>
          <w:numId w:val="62"/>
        </w:numPr>
        <w:tabs>
          <w:tab w:val="left" w:pos="851"/>
        </w:tabs>
        <w:spacing w:after="0" w:line="240" w:lineRule="auto"/>
        <w:ind w:left="0" w:firstLine="567"/>
        <w:jc w:val="both"/>
        <w:rPr>
          <w:rFonts w:ascii="Times New Roman" w:hAnsi="Times New Roman" w:cs="Times New Roman"/>
          <w:sz w:val="24"/>
          <w:szCs w:val="24"/>
          <w:highlight w:val="white"/>
        </w:rPr>
      </w:pPr>
      <w:r>
        <w:rPr>
          <w:rFonts w:ascii="Times New Roman" w:hAnsi="Times New Roman" w:cs="Times New Roman"/>
          <w:sz w:val="24"/>
          <w:szCs w:val="24"/>
          <w:highlight w:val="white"/>
        </w:rPr>
        <w:t>отказ клиентов от сделок в связи со сменой приоритетов и из-за общей социально-экономической ситуацией в стране.</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Валовая прибыль от реализации дополнительных услуг составила 333 млн руб. при плановых значениях 260 млн руб., что составляет 128% от утвержденных значений бизнес-плана. Относительно 2023 года валовая прибыль увеличилась на 10,6%. Рентабельность затрат</w:t>
      </w:r>
      <w:r>
        <w:rPr>
          <w:rFonts w:ascii="Times New Roman" w:hAnsi="Times New Roman"/>
          <w:sz w:val="24"/>
          <w:szCs w:val="24"/>
          <w:highlight w:val="white"/>
          <w:vertAlign w:val="superscript"/>
        </w:rPr>
        <w:footnoteReference w:id="18"/>
      </w:r>
      <w:r>
        <w:rPr>
          <w:rFonts w:ascii="Times New Roman" w:hAnsi="Times New Roman" w:cs="Times New Roman"/>
          <w:sz w:val="24"/>
          <w:szCs w:val="24"/>
          <w:highlight w:val="white"/>
        </w:rPr>
        <w:t xml:space="preserve"> за 2024 год составила 32,98% при плановой 17,85 %, что на 15,13 п.п. выше плановой. Относительно 2023 года рентабельность затрат снизилась на 25,84 п.п. (рентабельность в 2023 году - 58,82%), что обусловлено ростом уровня затрат в связи с общей экономической ситуацией в стране.</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Наибольшая доля выручки по оказанию дополнительных услуг приходится на следующие услуги:</w:t>
      </w:r>
    </w:p>
    <w:p w:rsidR="00D602D4" w:rsidRDefault="000B4C86">
      <w:pPr>
        <w:pStyle w:val="ac"/>
        <w:numPr>
          <w:ilvl w:val="2"/>
          <w:numId w:val="63"/>
        </w:numPr>
        <w:tabs>
          <w:tab w:val="left" w:pos="851"/>
          <w:tab w:val="left" w:pos="1276"/>
        </w:tabs>
        <w:spacing w:after="0" w:line="240" w:lineRule="auto"/>
        <w:ind w:left="142" w:firstLine="425"/>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Услуги по выполнению строительно-монтажных работ составили 45,4% в общем объеме полученной выручки по дополнительным услугам или 610 млн руб., из них наиболее значимые: </w:t>
      </w:r>
    </w:p>
    <w:p w:rsidR="00D602D4" w:rsidRDefault="00D602D4">
      <w:pPr>
        <w:tabs>
          <w:tab w:val="left" w:pos="851"/>
          <w:tab w:val="left" w:pos="1276"/>
        </w:tabs>
        <w:spacing w:after="0" w:line="240" w:lineRule="auto"/>
        <w:ind w:left="1429"/>
        <w:jc w:val="both"/>
        <w:rPr>
          <w:rFonts w:ascii="Times New Roman" w:hAnsi="Times New Roman" w:cs="Times New Roman"/>
          <w:sz w:val="24"/>
          <w:szCs w:val="24"/>
          <w:highlight w:val="white"/>
        </w:rPr>
      </w:pPr>
    </w:p>
    <w:p w:rsidR="00D602D4" w:rsidRDefault="000B4C86">
      <w:pPr>
        <w:spacing w:after="0" w:line="240" w:lineRule="auto"/>
        <w:ind w:firstLine="567"/>
        <w:jc w:val="both"/>
        <w:rPr>
          <w:rFonts w:ascii="Times New Roman" w:hAnsi="Times New Roman" w:cs="Times New Roman"/>
          <w:sz w:val="24"/>
          <w:szCs w:val="24"/>
          <w:highlight w:val="white"/>
        </w:rPr>
      </w:pPr>
      <w:r>
        <w:rPr>
          <w:rFonts w:ascii="Times New Roman" w:hAnsi="Times New Roman" w:cs="Times New Roman"/>
          <w:sz w:val="24"/>
          <w:szCs w:val="24"/>
          <w:highlight w:val="white"/>
        </w:rPr>
        <w:lastRenderedPageBreak/>
        <w:t>- услуги по строительно-монтажным работам, реконструкции и перевооружению электросетевых объектов потребителя –  288,4 млн руб.</w:t>
      </w:r>
    </w:p>
    <w:p w:rsidR="00D602D4" w:rsidRDefault="000B4C86">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услуги по выполнению работ, отнесенных к компетенции заявителя, при осуществлении технологического присоединения («ТП под ключ», пакетная услуга) –  244,2 млн руб.</w:t>
      </w:r>
    </w:p>
    <w:p w:rsidR="00D602D4" w:rsidRDefault="000B4C86">
      <w:pPr>
        <w:pStyle w:val="ac"/>
        <w:numPr>
          <w:ilvl w:val="2"/>
          <w:numId w:val="64"/>
        </w:numPr>
        <w:tabs>
          <w:tab w:val="left" w:pos="851"/>
        </w:tabs>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Предоставление в аренду объектов Общества и услуг по размещению объектов (обоПредоставление в аренду объектов Общества и услуг по размещению объектов (оборудования) электросетевого хозяйства (зданий, помещений, сооружений, размещение рекламных конструкций, волоконно-оптического кабеля связи на ВЛ, предоставление автономных источников электроснабжения и пр.) составило 36% в общем объеме полученной выручки по дополнительным услугам или 483,4 млн руб., из них наиболее значимые:</w:t>
      </w:r>
    </w:p>
    <w:p w:rsidR="00D602D4" w:rsidRDefault="000B4C86">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услуги по размещению телекоммуникационного оборудования связи, в том числе волоконно-оптических линий связи – 451,7 млн руб., в том числе:</w:t>
      </w:r>
    </w:p>
    <w:p w:rsidR="00D602D4" w:rsidRDefault="000B4C86">
      <w:pPr>
        <w:pStyle w:val="ac"/>
        <w:numPr>
          <w:ilvl w:val="0"/>
          <w:numId w:val="65"/>
        </w:numPr>
        <w:spacing w:after="0" w:line="240" w:lineRule="auto"/>
        <w:jc w:val="both"/>
        <w:rPr>
          <w:rFonts w:ascii="Times New Roman" w:hAnsi="Times New Roman" w:cs="Times New Roman"/>
          <w:color w:val="000000" w:themeColor="text1"/>
        </w:rPr>
      </w:pPr>
      <w:r>
        <w:rPr>
          <w:rFonts w:ascii="Times New Roman" w:eastAsia="Times New Roman" w:hAnsi="Times New Roman" w:cs="Times New Roman"/>
          <w:color w:val="000000" w:themeColor="text1"/>
          <w:sz w:val="24"/>
          <w:szCs w:val="24"/>
        </w:rPr>
        <w:t>321,3 млн руб. по договорам на предоставление доступа и размещения ВОЛС на электросетевых объектах;</w:t>
      </w:r>
    </w:p>
    <w:p w:rsidR="00D602D4" w:rsidRDefault="000B4C86">
      <w:pPr>
        <w:pStyle w:val="ac"/>
        <w:numPr>
          <w:ilvl w:val="0"/>
          <w:numId w:val="65"/>
        </w:numPr>
        <w:spacing w:after="0" w:line="240" w:lineRule="auto"/>
        <w:jc w:val="both"/>
        <w:rPr>
          <w:rFonts w:ascii="Times New Roman" w:hAnsi="Times New Roman" w:cs="Times New Roman"/>
          <w:color w:val="000000" w:themeColor="text1"/>
        </w:rPr>
      </w:pPr>
      <w:r>
        <w:rPr>
          <w:rFonts w:ascii="Times New Roman" w:eastAsia="Times New Roman" w:hAnsi="Times New Roman" w:cs="Times New Roman"/>
          <w:color w:val="000000" w:themeColor="text1"/>
          <w:sz w:val="24"/>
          <w:szCs w:val="24"/>
        </w:rPr>
        <w:t>79,3 млн руб. по договорам прочей аренды;</w:t>
      </w:r>
    </w:p>
    <w:p w:rsidR="00D602D4" w:rsidRDefault="000B4C86">
      <w:pPr>
        <w:pStyle w:val="ac"/>
        <w:numPr>
          <w:ilvl w:val="0"/>
          <w:numId w:val="65"/>
        </w:numPr>
        <w:spacing w:after="0" w:line="240" w:lineRule="auto"/>
        <w:jc w:val="both"/>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51,1</w:t>
      </w:r>
      <w:r>
        <w:rPr>
          <w:rStyle w:val="af1"/>
          <w:rFonts w:ascii="Times New Roman" w:eastAsia="Times New Roman" w:hAnsi="Times New Roman" w:cs="Times New Roman"/>
          <w:color w:val="000000" w:themeColor="text1"/>
          <w:sz w:val="24"/>
          <w:szCs w:val="24"/>
        </w:rPr>
        <w:footnoteReference w:id="19"/>
      </w:r>
      <w:r>
        <w:rPr>
          <w:rFonts w:ascii="Times New Roman" w:eastAsia="Times New Roman" w:hAnsi="Times New Roman" w:cs="Times New Roman"/>
          <w:color w:val="000000" w:themeColor="text1"/>
          <w:sz w:val="24"/>
          <w:szCs w:val="24"/>
        </w:rPr>
        <w:t xml:space="preserve"> млн руб. доходов прошлых периодов от размещения ВОЛС.</w:t>
      </w:r>
    </w:p>
    <w:p w:rsidR="00D602D4" w:rsidRDefault="000B4C86">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услуги по аренде зданий, помещений, сооружений, кроме объектов электросетевого хозяйства – 40,6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Для увеличения выручки от дополнительных (нетарифных) услуг в 2024 году Общество развивало следующие направления: участие в торгах на электронных торговых площадках, проведение переговоров и прямых продаж клиентам, выявление и последующая легализация самовольного размещения волоконно-оптических линий связи сторонними лицами на объектах Общества, развитие новых проектов по реализации нетарифных услуг.</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части участия в торгах на электронных торговых площадках на ежедневной основе осуществляются: централизованный мониторинг тендеров с помощью агрегатора тендерных площадок, помощь и контроль деятельности филиалов в части размещения заявок на участие, анализ проигрышей и причин отказов от участия в регионах присутствия Общества, что позволило Обществу в 2024 году увеличить сумму выигранных тендеров в 5,6 раза (2023 год - 88,6 млн руб., 2024 год - 495,8 млн руб.).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2024 году Обществу присвоен третий уровень ответственности члена саморегулируемой организации «Енисейский альянс строителей» по обязательствам по договорам строительного подряда и по договорам подряда на осуществление сноса с предельным размером 3 000 млн руб., что позволило Обществу принимать участие в тендерных процедурах на крупные суммы. </w:t>
      </w:r>
    </w:p>
    <w:p w:rsidR="00D602D4" w:rsidRDefault="000B4C86">
      <w:pPr>
        <w:spacing w:before="57"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rPr>
        <w:t xml:space="preserve">В 2024 году Обществом продолжала проводиться масштабная инвентаризация объектов электросетевого хозяйства с целью выявления самовольного размещения волоконно-оптических линий связи сторонними лицами с последующим проведением мероприятий по заключению договора и оплатой услуги за размещение согласно установленным тарифам. Прирост выручки по итогам данных мероприятий относительно </w:t>
      </w:r>
      <w:r>
        <w:rPr>
          <w:rFonts w:ascii="Times New Roman" w:hAnsi="Times New Roman" w:cs="Times New Roman"/>
          <w:sz w:val="24"/>
          <w:szCs w:val="24"/>
          <w:highlight w:val="white"/>
          <w:shd w:val="clear" w:color="FFFFFF" w:themeColor="background1" w:fill="FFFFFF" w:themeFill="background1"/>
        </w:rPr>
        <w:t>2023 года составил 242% (выручка в 2023 году - 165,3 млн руб.).</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Для популяризации дополнительных услуг среди потребителей в ЦОП, ПО и РЭС на стендах, а также, на Портале-ТП.рф и сайте Общества на регулярной основе размещается информация об оказываемых дополнительных услугах и их стоимости. Кроме того, на площадках ЦОП на постоянной основе осуществлялось устное информирование потребителей, подающих заявку на технологическое присоединение, о возможности </w:t>
      </w:r>
      <w:r>
        <w:rPr>
          <w:rFonts w:ascii="Times New Roman" w:hAnsi="Times New Roman" w:cs="Times New Roman"/>
          <w:sz w:val="24"/>
          <w:szCs w:val="24"/>
        </w:rPr>
        <w:lastRenderedPageBreak/>
        <w:t>получения услуг, сопутствующих технологическому присоединению, и прочих видов дополнительных услуг, реализуемых филиалами и Обществом под управлением.</w:t>
      </w:r>
    </w:p>
    <w:p w:rsidR="00D602D4" w:rsidRDefault="00D602D4">
      <w:pPr>
        <w:spacing w:line="240" w:lineRule="auto"/>
        <w:contextualSpacing/>
        <w:jc w:val="both"/>
        <w:rPr>
          <w:rFonts w:ascii="Times New Roman" w:hAnsi="Times New Roman" w:cs="Times New Roman"/>
          <w:sz w:val="24"/>
          <w:szCs w:val="24"/>
        </w:rPr>
      </w:pPr>
    </w:p>
    <w:p w:rsidR="00D602D4" w:rsidRDefault="000B4C86">
      <w:pPr>
        <w:spacing w:line="240" w:lineRule="auto"/>
        <w:contextualSpacing/>
        <w:jc w:val="center"/>
        <w:rPr>
          <w:rFonts w:ascii="Times New Roman" w:hAnsi="Times New Roman" w:cs="Times New Roman"/>
          <w:sz w:val="24"/>
          <w:szCs w:val="24"/>
        </w:rPr>
      </w:pPr>
      <w:r>
        <w:rPr>
          <w:noProof/>
          <w:lang w:eastAsia="ru-RU"/>
        </w:rPr>
        <w:drawing>
          <wp:inline distT="0" distB="0" distL="0" distR="0">
            <wp:extent cx="5644660" cy="2296794"/>
            <wp:effectExtent l="4762" t="4762" r="4762" b="4762"/>
            <wp:docPr id="25"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Рис. 14 - Реализация нетарифных услуг</w:t>
      </w:r>
    </w:p>
    <w:p w:rsidR="00D602D4" w:rsidRDefault="00D602D4">
      <w:pPr>
        <w:spacing w:after="0" w:line="240" w:lineRule="auto"/>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рамках предоставления дополнительных услуг, работниками филиалов обеспечено заключение договоров и сопровождение выполнения следующих сделок:</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на поставку и монтаж 7-и ЭЗС в Республике Алтай для ООО "Газойл" (6 шт.) и ООО "Катунь-М" (1 шт.) — обеспечена поставка «под ключ» (поставка, установка, подключение к электросетям, подключение к программному обеспечению</w:t>
      </w:r>
      <w:r>
        <w:rPr>
          <w:rStyle w:val="af1"/>
          <w:rFonts w:ascii="Times New Roman" w:eastAsia="Times New Roman" w:hAnsi="Times New Roman" w:cs="Times New Roman"/>
          <w:sz w:val="24"/>
          <w:szCs w:val="24"/>
        </w:rPr>
        <w:footnoteReference w:id="20"/>
      </w:r>
      <w:r>
        <w:rPr>
          <w:rFonts w:ascii="Times New Roman" w:eastAsia="Times New Roman" w:hAnsi="Times New Roman" w:cs="Times New Roman"/>
          <w:sz w:val="24"/>
          <w:szCs w:val="24"/>
        </w:rPr>
        <w:t xml:space="preserve"> и подготовка документов для участия в программе субсидирования). Заказчики установили ЭЗС для собственных нужд в рамках Федерального проекта «Электроавтомобиль и водородный автомобиль»;</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с ООО «ФАРЕН» на выполнение работ по строительству ЛЭП-6 кВ, монтажу КТП-6/0,4 кВ для электроснабжения тепличного комплекса;</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с ООО «Компания Чикен Дак» на выполнение работ по строительству (монтажу) ВЛЗ-10 кВ Л-52-3, КТП 10/04 кВ 2*2500 кВА для электроснабжения сельскохозяйственного производства;</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с АО «Индейка Алтая» на выполнение работ по строительству ВЛ-10 кВ, КЛ-10 кВ для электроснабжения электроустановки объекта по адресу: Алтайский край, Целинский район, 6 км на северо-запад от с. Воеводское;</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Договор с АО «ОЭЗ «Байкальская гавань»», выполнение работ по строительству объекта КТП блочного исполнения на напряжение 10/0,4 кВ, мощностью 2*1250, расположенная на территории ОЭЗ ТРТ "Байкальская гавань". Строительство объекта реализовывалось в рамках проекта по созданию федеральных морских круглогодичных курортов «Пять морей и озеро Байкал», который является частью национального проекта «Туризм и индустрия гостеприимства»;</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с ООО «Космос отель Байкал», строительно-монтажные работы ЛЭП-10кВ, КЛ-10кВ, ТП-10кВ для электроснабжения площадки на объекте «Строительство природно-оздоровительного комплекса категории 5* на участке «Бухта Безымянная»» ОЭЗ ТРТ «Байкальская гавань»;</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с АО «ОЭЗ «Байкальская гавань»» на выполнение работ по объекту: Строительство распределительного пункта на участке «Бухта Безымянная» ОЭЗ ТРТ «Байкальская гавань», включая разработку проектной документации и поставку оборудования;</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lastRenderedPageBreak/>
        <w:t>Договор с АО «ТЗ-Регион» на выполнение строительно-монтажных работ КЛ-6 кВ, ТП-6/0,4 кВ, в целях электроснабжения строительной площадки (ООО «Пик Байкал»);</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с ООО «МЦУУ» на выполнение строительно-монтажных работ КЛ-6 кВ, ТП-6/0,4 кВ в целях электроснабжения строительной площадки национального музея Республики Бурятия (ООО «Музейный центр Улан-Удэ»);</w:t>
      </w:r>
    </w:p>
    <w:p w:rsidR="00D602D4" w:rsidRDefault="000B4C86">
      <w:pPr>
        <w:pStyle w:val="ac"/>
        <w:numPr>
          <w:ilvl w:val="2"/>
          <w:numId w:val="66"/>
        </w:numPr>
        <w:tabs>
          <w:tab w:val="left" w:pos="992"/>
        </w:tabs>
        <w:spacing w:after="0" w:line="240" w:lineRule="auto"/>
        <w:ind w:left="0" w:firstLine="709"/>
        <w:jc w:val="both"/>
        <w:rPr>
          <w:rFonts w:ascii="Times New Roman" w:hAnsi="Times New Roman" w:cs="Times New Roman"/>
          <w:szCs w:val="26"/>
        </w:rPr>
      </w:pPr>
      <w:r>
        <w:rPr>
          <w:rFonts w:ascii="Times New Roman" w:eastAsia="Times New Roman" w:hAnsi="Times New Roman" w:cs="Times New Roman"/>
          <w:sz w:val="24"/>
          <w:szCs w:val="24"/>
        </w:rPr>
        <w:t>Договор с ИП Шагдарова И.В. строительно-монтажные работы КЛ-10 кВ, ВЛ-10 кВ, ТП-10/0,4 кВ для электроснабжения магазина ТЦ Абсолют в г. Улан-Удэ;.</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szCs w:val="26"/>
        </w:rPr>
      </w:pPr>
      <w:r>
        <w:rPr>
          <w:rFonts w:ascii="Times New Roman" w:eastAsia="Times New Roman" w:hAnsi="Times New Roman" w:cs="Times New Roman"/>
          <w:sz w:val="24"/>
          <w:szCs w:val="24"/>
        </w:rPr>
        <w:t>Договор на замену кабельной линии с АО «РУСАЛ Менеджмент» в г. Красноярске;</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на замену кабельной линии с АО «СУЭК-Красноярск»;</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с ООО ПЛК «Емельяновский» на выполнение работ на стороне заявителя;</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 xml:space="preserve">Договора на расчистку просеки с МУП УККР, Красноярский край. </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с ООО «Забайкальский Цементный Завод» на выполнение работ по строительству линейного объекта «Строительство низковольтной ЛЭП 10 кВ и главной понизительной подстанции 10-0,4 кВ»;</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с ООО «Забайкальский Известковый Завод» на выполнение работ по строительству линейного объекта «Строительство низковольтной ЛЭП 10 кВ и главной понизительной подстанции 10-0,4 кВ»;.</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строительно-монтажных работ с ИП Забелин В.А. по объекту «Строительство КЛ 0,4-6 кВ объекта «Стоматологическая клиника»»</w:t>
      </w:r>
      <w:r>
        <w:rPr>
          <w:rFonts w:ascii="Times New Roman" w:hAnsi="Times New Roman" w:cs="Times New Roman"/>
          <w:sz w:val="24"/>
          <w:szCs w:val="24"/>
        </w:rPr>
        <w:t>;</w:t>
      </w:r>
    </w:p>
    <w:p w:rsidR="00D602D4" w:rsidRDefault="000B4C86">
      <w:pPr>
        <w:pStyle w:val="ac"/>
        <w:numPr>
          <w:ilvl w:val="0"/>
          <w:numId w:val="67"/>
        </w:numPr>
        <w:tabs>
          <w:tab w:val="left" w:pos="992"/>
        </w:tabs>
        <w:spacing w:after="0" w:line="240" w:lineRule="auto"/>
        <w:ind w:left="0" w:firstLine="709"/>
        <w:jc w:val="both"/>
        <w:rPr>
          <w:rFonts w:ascii="Times New Roman" w:hAnsi="Times New Roman" w:cs="Times New Roman"/>
        </w:rPr>
      </w:pPr>
      <w:r>
        <w:rPr>
          <w:rFonts w:ascii="Times New Roman" w:eastAsia="Times New Roman" w:hAnsi="Times New Roman" w:cs="Times New Roman"/>
          <w:sz w:val="24"/>
          <w:szCs w:val="24"/>
        </w:rPr>
        <w:t>Договор с МКУ «Архоград» на выполнение работ по строительству объекта капитального строительства в жилом районе "Полярный" в г. Абакане" в рамках реализации пилотного проекта по переводу частных землевладений с печного отопления на электрическое.</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В 2024 году в рамках федерального проекта «Чистый воздух» филиалом «Красноярскэнерго» был успешно реализован проект по переводу 106 частных домовладений с печного или угольного отопления на электроотопление. В ходе реализации соответствующего соглашения с Администрацией г. Красноярска со стороны ПАО  «Россети Сибирь» обеспечены мероприятия по переустройству отопительных систем и монтажа электроотопительного оборудования в частных домовладениях льготных категорий граждан (работы на стороне клиентов), включая разработку и согласование в КГАУ  «Красноярская краевая государственная экспертиза» рабочей и сметной документации. Были выполнены строительно-монтажные и пуско-наладочные работы.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Также, по итогам 2024 года получен доход от переустройства электросетевых объектов Общества за счет средств заявителей в размере 500,766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Наиболее значимые соглашения о компенсации затрат, реализованные в 2024 году:</w:t>
      </w:r>
    </w:p>
    <w:p w:rsidR="00D602D4" w:rsidRDefault="000B4C86">
      <w:pPr>
        <w:pStyle w:val="ac"/>
        <w:numPr>
          <w:ilvl w:val="0"/>
          <w:numId w:val="68"/>
        </w:numPr>
        <w:tabs>
          <w:tab w:val="left" w:pos="992"/>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соглашение с КГКУ «Крудор» в филиале «Красноярскэнерго» на переустройство линий электроснабжения в связи с реконструкцией автомобильной дороги «Красноярск-Элита». Работы проводились в рамках нацпроекта «Безопасные качественные дороги»;</w:t>
      </w:r>
    </w:p>
    <w:p w:rsidR="00D602D4" w:rsidRDefault="000B4C86">
      <w:pPr>
        <w:pStyle w:val="ac"/>
        <w:numPr>
          <w:ilvl w:val="0"/>
          <w:numId w:val="68"/>
        </w:numPr>
        <w:tabs>
          <w:tab w:val="left" w:pos="992"/>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соглашение с ООО СЗ «Арбан» в филиале «Красноярскэнерго»;</w:t>
      </w:r>
    </w:p>
    <w:p w:rsidR="00D602D4" w:rsidRDefault="000B4C86">
      <w:pPr>
        <w:pStyle w:val="ac"/>
        <w:numPr>
          <w:ilvl w:val="0"/>
          <w:numId w:val="68"/>
        </w:numPr>
        <w:tabs>
          <w:tab w:val="left" w:pos="992"/>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соглашение с ООО «УК Сибирская» в филиале «Кузбассэнерго – РЭС»;</w:t>
      </w:r>
    </w:p>
    <w:p w:rsidR="00D602D4" w:rsidRDefault="000B4C86">
      <w:pPr>
        <w:pStyle w:val="ac"/>
        <w:numPr>
          <w:ilvl w:val="0"/>
          <w:numId w:val="68"/>
        </w:numPr>
        <w:tabs>
          <w:tab w:val="left" w:pos="992"/>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соглашение с ООО «Горнорудная компания Дархан» в филиале «Читаэнерго»;</w:t>
      </w:r>
    </w:p>
    <w:p w:rsidR="00D602D4" w:rsidRDefault="000B4C86">
      <w:pPr>
        <w:pStyle w:val="ac"/>
        <w:numPr>
          <w:ilvl w:val="0"/>
          <w:numId w:val="68"/>
        </w:numPr>
        <w:tabs>
          <w:tab w:val="left" w:pos="992"/>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соглашение с Публичным акционерным обществом  «Федеральная сетевая компания – Россети» (имущественная форма) в филиале «Читаэнерго».</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части развития электрозарядной инфраструктуры в течение 2024 года на территориях присутствия ПАО «Россети Сибирь» установлено 3 «быстрых» зарядных станций постоянного тока мощностью 150 кВт в Кемеровской области. Текущий парк зарядных станций Общества в общем насчитывает 48 ЭЗС, в том числе 31 «быстрых» станций постоянного тока, 17 «медленных» - переменного тока. Также, к объектам Общества подключено 75 зарядных станций в рамках реализации партнерских проектов.</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lastRenderedPageBreak/>
        <w:t>Таблица 27</w:t>
      </w:r>
    </w:p>
    <w:tbl>
      <w:tblPr>
        <w:tblW w:w="97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75"/>
        <w:gridCol w:w="744"/>
        <w:gridCol w:w="936"/>
        <w:gridCol w:w="937"/>
        <w:gridCol w:w="937"/>
        <w:gridCol w:w="2954"/>
      </w:tblGrid>
      <w:tr w:rsidR="00D602D4">
        <w:trPr>
          <w:gridAfter w:val="4"/>
          <w:wAfter w:w="5732" w:type="dxa"/>
          <w:cantSplit/>
          <w:trHeight w:val="235"/>
          <w:tblHeader/>
          <w:jc w:val="center"/>
        </w:trPr>
        <w:tc>
          <w:tcPr>
            <w:tcW w:w="3255" w:type="dxa"/>
            <w:vMerge w:val="restart"/>
            <w:vAlign w:val="center"/>
          </w:tcPr>
          <w:p w:rsidR="00D602D4" w:rsidRDefault="000B4C86">
            <w:pPr>
              <w:widowControl w:val="0"/>
              <w:spacing w:after="5"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Показатели</w:t>
            </w:r>
          </w:p>
        </w:tc>
        <w:tc>
          <w:tcPr>
            <w:tcW w:w="739" w:type="dxa"/>
            <w:vMerge w:val="restart"/>
            <w:vAlign w:val="center"/>
          </w:tcPr>
          <w:p w:rsidR="00D602D4" w:rsidRDefault="000B4C86">
            <w:pPr>
              <w:widowControl w:val="0"/>
              <w:tabs>
                <w:tab w:val="left" w:pos="34"/>
              </w:tabs>
              <w:spacing w:after="5" w:line="240" w:lineRule="auto"/>
              <w:ind w:right="-143"/>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Ед. изм.</w:t>
            </w:r>
          </w:p>
        </w:tc>
      </w:tr>
      <w:tr w:rsidR="00D602D4">
        <w:trPr>
          <w:cantSplit/>
          <w:trHeight w:val="170"/>
          <w:tblHeader/>
          <w:jc w:val="center"/>
        </w:trPr>
        <w:tc>
          <w:tcPr>
            <w:tcW w:w="3255" w:type="dxa"/>
            <w:vMerge/>
            <w:vAlign w:val="center"/>
          </w:tcPr>
          <w:p w:rsidR="00D602D4" w:rsidRDefault="00D602D4">
            <w:pPr>
              <w:widowControl w:val="0"/>
              <w:spacing w:after="5" w:line="240" w:lineRule="auto"/>
              <w:jc w:val="center"/>
              <w:rPr>
                <w:rFonts w:ascii="Times New Roman" w:eastAsia="Times New Roman" w:hAnsi="Times New Roman" w:cs="Times New Roman"/>
                <w:b/>
                <w:bCs/>
                <w:color w:val="000000"/>
                <w:sz w:val="20"/>
                <w:szCs w:val="20"/>
                <w:lang w:eastAsia="ru-RU"/>
              </w:rPr>
            </w:pPr>
          </w:p>
        </w:tc>
        <w:tc>
          <w:tcPr>
            <w:tcW w:w="739" w:type="dxa"/>
            <w:vMerge/>
            <w:vAlign w:val="center"/>
          </w:tcPr>
          <w:p w:rsidR="00D602D4" w:rsidRDefault="00D602D4">
            <w:pPr>
              <w:widowControl w:val="0"/>
              <w:tabs>
                <w:tab w:val="left" w:pos="34"/>
              </w:tabs>
              <w:spacing w:after="5" w:line="240" w:lineRule="auto"/>
              <w:ind w:right="-143"/>
              <w:jc w:val="center"/>
              <w:rPr>
                <w:rFonts w:ascii="Times New Roman" w:eastAsia="Times New Roman" w:hAnsi="Times New Roman" w:cs="Times New Roman"/>
                <w:b/>
                <w:bCs/>
                <w:color w:val="000000"/>
                <w:sz w:val="20"/>
                <w:szCs w:val="20"/>
                <w:lang w:eastAsia="ru-RU"/>
              </w:rPr>
            </w:pPr>
          </w:p>
        </w:tc>
        <w:tc>
          <w:tcPr>
            <w:tcW w:w="931" w:type="dxa"/>
            <w:vAlign w:val="center"/>
          </w:tcPr>
          <w:p w:rsidR="00D602D4" w:rsidRDefault="000B4C86">
            <w:pPr>
              <w:widowControl w:val="0"/>
              <w:spacing w:after="5" w:line="240" w:lineRule="auto"/>
              <w:ind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Факт </w:t>
            </w:r>
          </w:p>
          <w:p w:rsidR="00D602D4" w:rsidRDefault="000B4C86">
            <w:pPr>
              <w:widowControl w:val="0"/>
              <w:spacing w:after="5" w:line="240" w:lineRule="auto"/>
              <w:ind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2022 г</w:t>
            </w:r>
          </w:p>
        </w:tc>
        <w:tc>
          <w:tcPr>
            <w:tcW w:w="932" w:type="dxa"/>
            <w:shd w:val="clear" w:color="FFFFFF" w:fill="FFFFFF"/>
            <w:vAlign w:val="center"/>
          </w:tcPr>
          <w:p w:rsidR="00D602D4" w:rsidRDefault="000B4C86">
            <w:pPr>
              <w:widowControl w:val="0"/>
              <w:tabs>
                <w:tab w:val="left" w:pos="24"/>
              </w:tabs>
              <w:spacing w:after="5" w:line="240" w:lineRule="auto"/>
              <w:ind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Факт </w:t>
            </w:r>
          </w:p>
          <w:p w:rsidR="00D602D4" w:rsidRDefault="000B4C86">
            <w:pPr>
              <w:widowControl w:val="0"/>
              <w:tabs>
                <w:tab w:val="left" w:pos="24"/>
              </w:tabs>
              <w:spacing w:after="5" w:line="240" w:lineRule="auto"/>
              <w:ind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Факт </w:t>
            </w:r>
          </w:p>
          <w:p w:rsidR="00D602D4" w:rsidRDefault="000B4C86">
            <w:pPr>
              <w:widowControl w:val="0"/>
              <w:spacing w:after="5" w:line="240" w:lineRule="auto"/>
              <w:ind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 г</w:t>
            </w:r>
          </w:p>
        </w:tc>
        <w:tc>
          <w:tcPr>
            <w:tcW w:w="1478" w:type="dxa"/>
            <w:vAlign w:val="center"/>
          </w:tcPr>
          <w:p w:rsidR="00D602D4" w:rsidRDefault="000B4C86">
            <w:pPr>
              <w:widowControl w:val="0"/>
              <w:tabs>
                <w:tab w:val="left" w:pos="751"/>
              </w:tabs>
              <w:spacing w:after="5" w:line="240" w:lineRule="auto"/>
              <w:ind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Изменение</w:t>
            </w:r>
          </w:p>
          <w:p w:rsidR="00D602D4" w:rsidRDefault="000B4C86">
            <w:pPr>
              <w:widowControl w:val="0"/>
              <w:spacing w:after="5" w:line="240" w:lineRule="auto"/>
              <w:ind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2024/2023, %</w:t>
            </w:r>
          </w:p>
        </w:tc>
      </w:tr>
      <w:tr w:rsidR="00D602D4">
        <w:trPr>
          <w:cantSplit/>
          <w:trHeight w:val="170"/>
          <w:tblHeader/>
          <w:jc w:val="center"/>
        </w:trPr>
        <w:tc>
          <w:tcPr>
            <w:tcW w:w="3255" w:type="dxa"/>
            <w:vAlign w:val="center"/>
          </w:tcPr>
          <w:p w:rsidR="00D602D4" w:rsidRDefault="000B4C86">
            <w:pPr>
              <w:widowControl w:val="0"/>
              <w:spacing w:after="5"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739" w:type="dxa"/>
            <w:vAlign w:val="center"/>
          </w:tcPr>
          <w:p w:rsidR="00D602D4" w:rsidRDefault="000B4C86">
            <w:pPr>
              <w:widowControl w:val="0"/>
              <w:tabs>
                <w:tab w:val="left" w:pos="34"/>
              </w:tabs>
              <w:spacing w:after="5" w:line="240"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931" w:type="dxa"/>
            <w:vAlign w:val="center"/>
          </w:tcPr>
          <w:p w:rsidR="00D602D4" w:rsidRDefault="000B4C86">
            <w:pPr>
              <w:widowControl w:val="0"/>
              <w:spacing w:after="5" w:line="240"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932" w:type="dxa"/>
            <w:shd w:val="clear" w:color="FFFFFF" w:fill="FFFFFF"/>
            <w:vAlign w:val="center"/>
          </w:tcPr>
          <w:p w:rsidR="00D602D4" w:rsidRDefault="000B4C86">
            <w:pPr>
              <w:widowControl w:val="0"/>
              <w:spacing w:after="5" w:line="240"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c>
          <w:tcPr>
            <w:tcW w:w="1478" w:type="dxa"/>
            <w:vAlign w:val="center"/>
          </w:tcPr>
          <w:p w:rsidR="00D602D4" w:rsidRDefault="000B4C86">
            <w:pPr>
              <w:widowControl w:val="0"/>
              <w:spacing w:after="5" w:line="240"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w:t>
            </w:r>
          </w:p>
        </w:tc>
      </w:tr>
      <w:tr w:rsidR="00D602D4">
        <w:trPr>
          <w:cantSplit/>
          <w:trHeight w:val="170"/>
          <w:jc w:val="center"/>
        </w:trPr>
        <w:tc>
          <w:tcPr>
            <w:tcW w:w="3255" w:type="dxa"/>
          </w:tcPr>
          <w:p w:rsidR="00D602D4" w:rsidRDefault="000B4C86">
            <w:pPr>
              <w:widowControl w:val="0"/>
              <w:spacing w:after="5"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Выручка от реализации дополнительных (нетарифных) услуг прочей деятельности</w:t>
            </w:r>
          </w:p>
        </w:tc>
        <w:tc>
          <w:tcPr>
            <w:tcW w:w="739" w:type="dxa"/>
            <w:vAlign w:val="center"/>
          </w:tcPr>
          <w:p w:rsidR="00D602D4" w:rsidRDefault="000B4C86">
            <w:pPr>
              <w:widowControl w:val="0"/>
              <w:tabs>
                <w:tab w:val="left" w:pos="34"/>
              </w:tabs>
              <w:spacing w:after="5"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млн руб.</w:t>
            </w:r>
          </w:p>
        </w:tc>
        <w:tc>
          <w:tcPr>
            <w:tcW w:w="931"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622</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883</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1 343</w:t>
            </w:r>
          </w:p>
        </w:tc>
        <w:tc>
          <w:tcPr>
            <w:tcW w:w="1478"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w:t>
            </w:r>
          </w:p>
        </w:tc>
      </w:tr>
      <w:tr w:rsidR="00D602D4">
        <w:trPr>
          <w:cantSplit/>
          <w:trHeight w:val="170"/>
          <w:jc w:val="center"/>
        </w:trPr>
        <w:tc>
          <w:tcPr>
            <w:tcW w:w="3255" w:type="dxa"/>
          </w:tcPr>
          <w:p w:rsidR="00D602D4" w:rsidRDefault="000B4C86">
            <w:pPr>
              <w:widowControl w:val="0"/>
              <w:spacing w:after="5"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Аренда и услуги по размещению</w:t>
            </w:r>
          </w:p>
        </w:tc>
        <w:tc>
          <w:tcPr>
            <w:tcW w:w="739" w:type="dxa"/>
            <w:vAlign w:val="center"/>
          </w:tcPr>
          <w:p w:rsidR="00D602D4" w:rsidRDefault="000B4C86">
            <w:pPr>
              <w:widowControl w:val="0"/>
              <w:tabs>
                <w:tab w:val="left" w:pos="34"/>
              </w:tabs>
              <w:spacing w:after="5"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млн руб.</w:t>
            </w:r>
          </w:p>
        </w:tc>
        <w:tc>
          <w:tcPr>
            <w:tcW w:w="931"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181</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322</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483</w:t>
            </w:r>
          </w:p>
        </w:tc>
        <w:tc>
          <w:tcPr>
            <w:tcW w:w="1478"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r>
      <w:tr w:rsidR="00D602D4">
        <w:trPr>
          <w:cantSplit/>
          <w:trHeight w:val="170"/>
          <w:jc w:val="center"/>
        </w:trPr>
        <w:tc>
          <w:tcPr>
            <w:tcW w:w="3255" w:type="dxa"/>
          </w:tcPr>
          <w:p w:rsidR="00D602D4" w:rsidRDefault="000B4C86">
            <w:pPr>
              <w:widowControl w:val="0"/>
              <w:spacing w:after="5"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Услуги по техническому и ремонтно-эксплуатационному обслуживанию</w:t>
            </w:r>
          </w:p>
        </w:tc>
        <w:tc>
          <w:tcPr>
            <w:tcW w:w="739" w:type="dxa"/>
            <w:vAlign w:val="center"/>
          </w:tcPr>
          <w:p w:rsidR="00D602D4" w:rsidRDefault="000B4C86">
            <w:pPr>
              <w:widowControl w:val="0"/>
              <w:tabs>
                <w:tab w:val="left" w:pos="34"/>
              </w:tabs>
              <w:spacing w:after="5"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млн руб.</w:t>
            </w:r>
          </w:p>
        </w:tc>
        <w:tc>
          <w:tcPr>
            <w:tcW w:w="931"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49</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71</w:t>
            </w:r>
          </w:p>
        </w:tc>
        <w:tc>
          <w:tcPr>
            <w:tcW w:w="1478"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w:t>
            </w:r>
          </w:p>
        </w:tc>
      </w:tr>
      <w:tr w:rsidR="00D602D4">
        <w:trPr>
          <w:cantSplit/>
          <w:trHeight w:val="170"/>
          <w:jc w:val="center"/>
        </w:trPr>
        <w:tc>
          <w:tcPr>
            <w:tcW w:w="3255" w:type="dxa"/>
          </w:tcPr>
          <w:p w:rsidR="00D602D4" w:rsidRDefault="000B4C86">
            <w:pPr>
              <w:widowControl w:val="0"/>
              <w:spacing w:after="5"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Выполнение строительно-монтажных работ</w:t>
            </w:r>
          </w:p>
        </w:tc>
        <w:tc>
          <w:tcPr>
            <w:tcW w:w="739" w:type="dxa"/>
            <w:vAlign w:val="center"/>
          </w:tcPr>
          <w:p w:rsidR="00D602D4" w:rsidRDefault="000B4C86">
            <w:pPr>
              <w:widowControl w:val="0"/>
              <w:tabs>
                <w:tab w:val="left" w:pos="34"/>
              </w:tabs>
              <w:spacing w:after="5"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млн руб.</w:t>
            </w:r>
          </w:p>
        </w:tc>
        <w:tc>
          <w:tcPr>
            <w:tcW w:w="931"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232</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251</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610</w:t>
            </w:r>
          </w:p>
        </w:tc>
        <w:tc>
          <w:tcPr>
            <w:tcW w:w="1478"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+143</w:t>
            </w:r>
          </w:p>
        </w:tc>
      </w:tr>
      <w:tr w:rsidR="00D602D4">
        <w:trPr>
          <w:cantSplit/>
          <w:trHeight w:val="170"/>
          <w:jc w:val="center"/>
        </w:trPr>
        <w:tc>
          <w:tcPr>
            <w:tcW w:w="3255" w:type="dxa"/>
          </w:tcPr>
          <w:p w:rsidR="00D602D4" w:rsidRDefault="000B4C86">
            <w:pPr>
              <w:widowControl w:val="0"/>
              <w:spacing w:after="5"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Консультационные и организационно-технические услуги</w:t>
            </w:r>
          </w:p>
        </w:tc>
        <w:tc>
          <w:tcPr>
            <w:tcW w:w="739" w:type="dxa"/>
            <w:vAlign w:val="center"/>
          </w:tcPr>
          <w:p w:rsidR="00D602D4" w:rsidRDefault="000B4C86">
            <w:pPr>
              <w:widowControl w:val="0"/>
              <w:tabs>
                <w:tab w:val="left" w:pos="34"/>
              </w:tabs>
              <w:spacing w:after="5"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млн руб.</w:t>
            </w:r>
          </w:p>
        </w:tc>
        <w:tc>
          <w:tcPr>
            <w:tcW w:w="931"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89</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86</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88</w:t>
            </w:r>
          </w:p>
        </w:tc>
        <w:tc>
          <w:tcPr>
            <w:tcW w:w="1478"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r>
      <w:tr w:rsidR="00D602D4">
        <w:trPr>
          <w:cantSplit/>
          <w:trHeight w:val="170"/>
          <w:jc w:val="center"/>
        </w:trPr>
        <w:tc>
          <w:tcPr>
            <w:tcW w:w="3255" w:type="dxa"/>
          </w:tcPr>
          <w:p w:rsidR="00D602D4" w:rsidRDefault="000B4C86">
            <w:pPr>
              <w:widowControl w:val="0"/>
              <w:spacing w:after="5"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Агентские услуги</w:t>
            </w:r>
          </w:p>
        </w:tc>
        <w:tc>
          <w:tcPr>
            <w:tcW w:w="739" w:type="dxa"/>
            <w:vAlign w:val="center"/>
          </w:tcPr>
          <w:p w:rsidR="00D602D4" w:rsidRDefault="000B4C86">
            <w:pPr>
              <w:widowControl w:val="0"/>
              <w:tabs>
                <w:tab w:val="left" w:pos="34"/>
              </w:tabs>
              <w:spacing w:after="5"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млн руб.</w:t>
            </w:r>
          </w:p>
        </w:tc>
        <w:tc>
          <w:tcPr>
            <w:tcW w:w="931"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w:t>
            </w:r>
          </w:p>
        </w:tc>
        <w:tc>
          <w:tcPr>
            <w:tcW w:w="1478"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D602D4">
        <w:trPr>
          <w:cantSplit/>
          <w:trHeight w:val="170"/>
          <w:jc w:val="center"/>
        </w:trPr>
        <w:tc>
          <w:tcPr>
            <w:tcW w:w="3255" w:type="dxa"/>
          </w:tcPr>
          <w:p w:rsidR="00D602D4" w:rsidRDefault="000B4C86">
            <w:pPr>
              <w:widowControl w:val="0"/>
              <w:spacing w:after="5"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Услуги связи и информационных технологий</w:t>
            </w:r>
          </w:p>
        </w:tc>
        <w:tc>
          <w:tcPr>
            <w:tcW w:w="739" w:type="dxa"/>
            <w:vAlign w:val="center"/>
          </w:tcPr>
          <w:p w:rsidR="00D602D4" w:rsidRDefault="000B4C86">
            <w:pPr>
              <w:widowControl w:val="0"/>
              <w:tabs>
                <w:tab w:val="left" w:pos="34"/>
              </w:tabs>
              <w:spacing w:after="5"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млн руб.</w:t>
            </w:r>
          </w:p>
        </w:tc>
        <w:tc>
          <w:tcPr>
            <w:tcW w:w="931"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3</w:t>
            </w:r>
          </w:p>
        </w:tc>
        <w:tc>
          <w:tcPr>
            <w:tcW w:w="1478"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D602D4">
        <w:trPr>
          <w:cantSplit/>
          <w:trHeight w:val="170"/>
          <w:jc w:val="center"/>
        </w:trPr>
        <w:tc>
          <w:tcPr>
            <w:tcW w:w="3255" w:type="dxa"/>
          </w:tcPr>
          <w:p w:rsidR="00D602D4" w:rsidRDefault="000B4C86">
            <w:pPr>
              <w:widowControl w:val="0"/>
              <w:spacing w:after="5"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Другие услуги прочей деятельности</w:t>
            </w:r>
          </w:p>
        </w:tc>
        <w:tc>
          <w:tcPr>
            <w:tcW w:w="739" w:type="dxa"/>
            <w:vAlign w:val="center"/>
          </w:tcPr>
          <w:p w:rsidR="00D602D4" w:rsidRDefault="000B4C86">
            <w:pPr>
              <w:widowControl w:val="0"/>
              <w:tabs>
                <w:tab w:val="left" w:pos="34"/>
              </w:tabs>
              <w:spacing w:after="5"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млн руб.</w:t>
            </w:r>
          </w:p>
        </w:tc>
        <w:tc>
          <w:tcPr>
            <w:tcW w:w="931"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60</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18</w:t>
            </w:r>
          </w:p>
        </w:tc>
        <w:tc>
          <w:tcPr>
            <w:tcW w:w="1478"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-70</w:t>
            </w:r>
          </w:p>
        </w:tc>
      </w:tr>
      <w:tr w:rsidR="00D602D4">
        <w:trPr>
          <w:cantSplit/>
          <w:trHeight w:val="170"/>
          <w:jc w:val="center"/>
        </w:trPr>
        <w:tc>
          <w:tcPr>
            <w:tcW w:w="3255" w:type="dxa"/>
          </w:tcPr>
          <w:p w:rsidR="00D602D4" w:rsidRDefault="000B4C86">
            <w:pPr>
              <w:widowControl w:val="0"/>
              <w:spacing w:after="5"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Другие прочие услуги</w:t>
            </w:r>
          </w:p>
        </w:tc>
        <w:tc>
          <w:tcPr>
            <w:tcW w:w="739" w:type="dxa"/>
            <w:vAlign w:val="center"/>
          </w:tcPr>
          <w:p w:rsidR="00D602D4" w:rsidRDefault="000B4C86">
            <w:pPr>
              <w:widowControl w:val="0"/>
              <w:tabs>
                <w:tab w:val="left" w:pos="34"/>
              </w:tabs>
              <w:spacing w:after="5"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млн руб.</w:t>
            </w:r>
          </w:p>
        </w:tc>
        <w:tc>
          <w:tcPr>
            <w:tcW w:w="931"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73</w:t>
            </w:r>
          </w:p>
        </w:tc>
        <w:tc>
          <w:tcPr>
            <w:tcW w:w="932"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68</w:t>
            </w:r>
          </w:p>
        </w:tc>
        <w:tc>
          <w:tcPr>
            <w:tcW w:w="1478" w:type="dxa"/>
            <w:vAlign w:val="center"/>
          </w:tcPr>
          <w:p w:rsidR="00D602D4" w:rsidRDefault="000B4C86">
            <w:pPr>
              <w:widowControl w:val="0"/>
              <w:spacing w:after="5"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w:t>
            </w:r>
          </w:p>
        </w:tc>
      </w:tr>
    </w:tbl>
    <w:p w:rsidR="00D602D4" w:rsidRDefault="00D602D4">
      <w:pPr>
        <w:rPr>
          <w:rFonts w:ascii="Times New Roman" w:hAnsi="Times New Roman" w:cs="Times New Roman"/>
        </w:rPr>
      </w:pPr>
    </w:p>
    <w:p w:rsidR="00D602D4" w:rsidRDefault="000B4C86">
      <w:pPr>
        <w:pStyle w:val="13"/>
        <w:rPr>
          <w:rFonts w:ascii="Times New Roman" w:hAnsi="Times New Roman" w:cs="Times New Roman"/>
        </w:rPr>
      </w:pPr>
      <w:bookmarkStart w:id="34" w:name="_Toc37"/>
      <w:r>
        <w:rPr>
          <w:rFonts w:ascii="Times New Roman" w:eastAsia="Times New Roman" w:hAnsi="Times New Roman" w:cs="Times New Roman"/>
          <w:b/>
          <w:color w:val="000000" w:themeColor="text1"/>
          <w:sz w:val="26"/>
          <w:szCs w:val="26"/>
        </w:rPr>
        <w:t>3.1.7. Взаимодействие с потребителями</w:t>
      </w:r>
      <w:bookmarkEnd w:id="34"/>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Взаимодействие с потребителями услуг в Обществе осуществляется на основе следующих принципов:</w:t>
      </w:r>
    </w:p>
    <w:p w:rsidR="00D602D4" w:rsidRDefault="000B4C86">
      <w:pPr>
        <w:pStyle w:val="ac"/>
        <w:widowControl w:val="0"/>
        <w:spacing w:after="0" w:line="240" w:lineRule="auto"/>
        <w:ind w:left="0" w:firstLine="709"/>
        <w:jc w:val="both"/>
        <w:rPr>
          <w:rFonts w:ascii="Times New Roman" w:hAnsi="Times New Roman" w:cs="Times New Roman"/>
          <w:sz w:val="24"/>
          <w:szCs w:val="24"/>
        </w:rPr>
      </w:pPr>
      <w:r>
        <w:rPr>
          <w:rFonts w:ascii="Times New Roman" w:hAnsi="Times New Roman" w:cs="Times New Roman"/>
          <w:b/>
          <w:sz w:val="24"/>
          <w:szCs w:val="24"/>
        </w:rPr>
        <w:t>Достаточная информированность потребителей о компании и услугах.</w:t>
      </w:r>
      <w:r>
        <w:rPr>
          <w:rFonts w:ascii="Times New Roman" w:hAnsi="Times New Roman" w:cs="Times New Roman"/>
          <w:sz w:val="24"/>
          <w:szCs w:val="24"/>
        </w:rPr>
        <w:t xml:space="preserve"> Полная и достоверная информация обо всех процедурах взаимодействия с ПАО «Россети Сибирь» носит публичный характер, представляется в доступной для потребителей форме.</w:t>
      </w:r>
    </w:p>
    <w:p w:rsidR="00D602D4" w:rsidRDefault="000B4C86">
      <w:pPr>
        <w:pStyle w:val="ac"/>
        <w:widowControl w:val="0"/>
        <w:spacing w:after="0" w:line="240" w:lineRule="auto"/>
        <w:ind w:left="0" w:firstLine="709"/>
        <w:jc w:val="both"/>
        <w:rPr>
          <w:rFonts w:ascii="Times New Roman" w:hAnsi="Times New Roman" w:cs="Times New Roman"/>
          <w:sz w:val="24"/>
          <w:szCs w:val="24"/>
        </w:rPr>
      </w:pPr>
      <w:r>
        <w:rPr>
          <w:rFonts w:ascii="Times New Roman" w:hAnsi="Times New Roman" w:cs="Times New Roman"/>
          <w:b/>
          <w:sz w:val="24"/>
          <w:szCs w:val="24"/>
        </w:rPr>
        <w:t>Территориальная доступность и комфортные условия очного сервиса.</w:t>
      </w:r>
      <w:r>
        <w:rPr>
          <w:rFonts w:ascii="Times New Roman" w:hAnsi="Times New Roman" w:cs="Times New Roman"/>
          <w:sz w:val="24"/>
          <w:szCs w:val="24"/>
        </w:rPr>
        <w:t xml:space="preserve"> Расположение инфраструктурных элементов очного сервиса обеспечивает покрытие зоны ответственности сетевой компании и доступность услуги для потребителей. Очный сервис компании организовывается с соблюдением единых требований к качеству оказываемых услуг на всей территории ответственности Общества и является удобным для всех групп потребителей.</w:t>
      </w:r>
    </w:p>
    <w:p w:rsidR="00D602D4" w:rsidRDefault="000B4C86">
      <w:pPr>
        <w:pStyle w:val="ac"/>
        <w:widowControl w:val="0"/>
        <w:spacing w:after="0" w:line="240" w:lineRule="auto"/>
        <w:ind w:left="0" w:firstLine="709"/>
        <w:jc w:val="both"/>
        <w:rPr>
          <w:rFonts w:ascii="Times New Roman" w:hAnsi="Times New Roman" w:cs="Times New Roman"/>
          <w:sz w:val="24"/>
          <w:szCs w:val="24"/>
        </w:rPr>
      </w:pPr>
      <w:r>
        <w:rPr>
          <w:rFonts w:ascii="Times New Roman" w:hAnsi="Times New Roman" w:cs="Times New Roman"/>
          <w:b/>
          <w:sz w:val="24"/>
          <w:szCs w:val="24"/>
        </w:rPr>
        <w:t>Доступность и оперативность заочного сервиса.</w:t>
      </w:r>
      <w:r>
        <w:rPr>
          <w:rFonts w:ascii="Times New Roman" w:hAnsi="Times New Roman" w:cs="Times New Roman"/>
          <w:sz w:val="24"/>
          <w:szCs w:val="24"/>
        </w:rPr>
        <w:t xml:space="preserve"> Каналы заочной коммуникации с потребителями обеспечивают круглосуточный доступ к заочному сервису и оперативность реакции Общества на запросы потребителей. К интерактивному сервису организован удобный и скоростной доступ, интерфейс и инструментарии интерактивного сервиса эргономичны и понятны для потребителей.</w:t>
      </w:r>
    </w:p>
    <w:p w:rsidR="00D602D4" w:rsidRDefault="000B4C86">
      <w:pPr>
        <w:pStyle w:val="ac"/>
        <w:widowControl w:val="0"/>
        <w:spacing w:after="0" w:line="240" w:lineRule="auto"/>
        <w:ind w:left="0" w:firstLine="709"/>
        <w:jc w:val="both"/>
        <w:rPr>
          <w:rFonts w:ascii="Times New Roman" w:hAnsi="Times New Roman" w:cs="Times New Roman"/>
          <w:sz w:val="24"/>
          <w:szCs w:val="24"/>
        </w:rPr>
      </w:pPr>
      <w:r>
        <w:rPr>
          <w:rFonts w:ascii="Times New Roman" w:hAnsi="Times New Roman" w:cs="Times New Roman"/>
          <w:b/>
          <w:sz w:val="24"/>
          <w:szCs w:val="24"/>
        </w:rPr>
        <w:t>Квалифицированное обслуживание.</w:t>
      </w:r>
      <w:r>
        <w:rPr>
          <w:rFonts w:ascii="Times New Roman" w:hAnsi="Times New Roman" w:cs="Times New Roman"/>
          <w:sz w:val="24"/>
          <w:szCs w:val="24"/>
        </w:rPr>
        <w:t xml:space="preserve"> Организация всех форм сервиса обеспечивает высокий уровень квалификации и компетенции сотрудников Общества.</w:t>
      </w:r>
    </w:p>
    <w:p w:rsidR="00D602D4" w:rsidRDefault="000B4C86">
      <w:pPr>
        <w:pStyle w:val="ac"/>
        <w:widowControl w:val="0"/>
        <w:spacing w:after="0" w:line="240" w:lineRule="auto"/>
        <w:ind w:left="0" w:firstLine="709"/>
        <w:jc w:val="both"/>
        <w:rPr>
          <w:rFonts w:ascii="Times New Roman" w:hAnsi="Times New Roman" w:cs="Times New Roman"/>
          <w:sz w:val="24"/>
          <w:szCs w:val="24"/>
        </w:rPr>
      </w:pPr>
      <w:r>
        <w:rPr>
          <w:rFonts w:ascii="Times New Roman" w:hAnsi="Times New Roman" w:cs="Times New Roman"/>
          <w:b/>
          <w:sz w:val="24"/>
          <w:szCs w:val="24"/>
        </w:rPr>
        <w:t>Прозрачность бизнес-процессов обслуживания потребителей.</w:t>
      </w:r>
      <w:r>
        <w:rPr>
          <w:rFonts w:ascii="Times New Roman" w:hAnsi="Times New Roman" w:cs="Times New Roman"/>
          <w:sz w:val="24"/>
          <w:szCs w:val="24"/>
        </w:rPr>
        <w:t xml:space="preserve"> Бизнес-процессы обслуживания потребителей формализованы, описаны и прозрачны для обеспечения контролируемости и управляемости процедур взаимодействия с потребителями.</w:t>
      </w:r>
    </w:p>
    <w:p w:rsidR="00D602D4" w:rsidRDefault="000B4C86">
      <w:pPr>
        <w:pStyle w:val="ac"/>
        <w:widowControl w:val="0"/>
        <w:spacing w:after="0" w:line="240" w:lineRule="auto"/>
        <w:ind w:left="0" w:firstLine="709"/>
        <w:jc w:val="both"/>
        <w:rPr>
          <w:rFonts w:ascii="Times New Roman" w:hAnsi="Times New Roman" w:cs="Times New Roman"/>
          <w:sz w:val="24"/>
          <w:szCs w:val="24"/>
        </w:rPr>
      </w:pPr>
      <w:r>
        <w:rPr>
          <w:rFonts w:ascii="Times New Roman" w:hAnsi="Times New Roman" w:cs="Times New Roman"/>
          <w:b/>
          <w:sz w:val="24"/>
          <w:szCs w:val="24"/>
        </w:rPr>
        <w:t>Объективность рассмотрения жалоб потребителей.</w:t>
      </w:r>
      <w:r>
        <w:rPr>
          <w:rFonts w:ascii="Times New Roman" w:hAnsi="Times New Roman" w:cs="Times New Roman"/>
          <w:sz w:val="24"/>
          <w:szCs w:val="24"/>
        </w:rPr>
        <w:t xml:space="preserve"> ПАО «Россети Сибирь» обеспечивает объективное и непредвзятое рассмотрение жалоб в установленные сроки.</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Взаимодействие с потребителями услуг в Обществе осуществляется:</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на уровне исполнительного аппарата ПАО «Россети Сибирь»;</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на уровне аппаратов управления филиалов ПАО «Россети Сибирь»;</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в производственных отделениях (ПО) и районах электрических сетей (РЭС).</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Политика Общества в области взаимодействия с потребителями услуг заключается в обеспечении клиентоцентричного подхода. Основная цель – формирование лояльности потребителей к компании за счет качественного обслуживания и полного удовлетворения потребностей в услугах.</w:t>
      </w:r>
    </w:p>
    <w:p w:rsidR="00D602D4" w:rsidRDefault="000B4C86">
      <w:pPr>
        <w:pStyle w:val="af9"/>
        <w:ind w:firstLine="709"/>
        <w:rPr>
          <w:rFonts w:eastAsiaTheme="minorHAnsi"/>
          <w:sz w:val="24"/>
          <w:lang w:eastAsia="en-US"/>
        </w:rPr>
      </w:pPr>
      <w:r>
        <w:rPr>
          <w:rFonts w:eastAsiaTheme="minorHAnsi"/>
          <w:sz w:val="24"/>
          <w:lang w:eastAsia="en-US"/>
        </w:rPr>
        <w:t>Задачи комплексного обслуживания потребителей услуг в Обществе реализованы в формах очного, заочного и интерактивного обслуживания потребителей.</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Очное обслуживание обеспечивается в центрах обслуживания потребителей (ЦОП) и пунктах по работе с потребителями (ПРП) в ПО и РЭС филиалов Общества. В 2024 году функционировало 15 ЦОП и 177 ПРП. </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Заочное обслуживания потребителей услуг посредством телефонной связи</w:t>
      </w:r>
      <w:r>
        <w:rPr>
          <w:rFonts w:ascii="Times New Roman" w:hAnsi="Times New Roman" w:cs="Times New Roman"/>
          <w:sz w:val="24"/>
          <w:szCs w:val="24"/>
        </w:rPr>
        <w:br/>
        <w:t xml:space="preserve"> в Обществе осуществляется в соответствии с требованиями Положения о горячей линии энергетиков «Светлая линия 220», прием звонков осуществляется круглосуточно без выходных и перерывов в формате 24х7х365.</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Звонок на горячую линию энергетиков «Светлая линия 220» бесплатный для абонента с городских и мобильных номеров телефонов в зоне эксплуатационной ответственности ПАО «Россети» и ПАО «Россети Сибирь».</w:t>
      </w:r>
    </w:p>
    <w:p w:rsidR="00D602D4" w:rsidRDefault="000B4C86">
      <w:pPr>
        <w:spacing w:after="0" w:line="240" w:lineRule="auto"/>
        <w:ind w:firstLine="709"/>
        <w:jc w:val="both"/>
        <w:rPr>
          <w:rFonts w:ascii="Times New Roman" w:eastAsia="Times New Roman" w:hAnsi="Times New Roman" w:cs="Times New Roman"/>
          <w:color w:val="000000" w:themeColor="text1"/>
          <w:sz w:val="24"/>
          <w:szCs w:val="24"/>
        </w:rPr>
      </w:pPr>
      <w:r>
        <w:rPr>
          <w:rFonts w:ascii="Times New Roman" w:hAnsi="Times New Roman" w:cs="Times New Roman"/>
          <w:sz w:val="24"/>
          <w:szCs w:val="24"/>
        </w:rPr>
        <w:t xml:space="preserve">Во исполнение требований «Единых стандартов качества обслуживания потребителей услуг группы компаний «Россети» и «Положения о горячей линии энергетиков «Светлая линия 220»», утвержденных решением Правления ПАО «Россети» (протокол от 23.05.2023 №25/3) </w:t>
      </w:r>
      <w:r>
        <w:rPr>
          <w:rFonts w:ascii="Times New Roman" w:eastAsia="Times New Roman" w:hAnsi="Times New Roman" w:cs="Times New Roman"/>
          <w:color w:val="000000" w:themeColor="text1"/>
          <w:sz w:val="24"/>
          <w:szCs w:val="24"/>
        </w:rPr>
        <w:t>заключены договоры с АО «Россети Цифра» на предоставление услуг единого контактного центра (ЕКЦ):</w:t>
      </w:r>
    </w:p>
    <w:p w:rsidR="00D602D4" w:rsidRDefault="000B4C86">
      <w:pPr>
        <w:pStyle w:val="ac"/>
        <w:numPr>
          <w:ilvl w:val="0"/>
          <w:numId w:val="19"/>
        </w:numPr>
        <w:tabs>
          <w:tab w:val="left" w:pos="993"/>
        </w:tabs>
        <w:spacing w:after="0" w:line="240" w:lineRule="auto"/>
        <w:ind w:left="0" w:firstLine="709"/>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интеллектуальный номер 8-800, короткий номер 220 и маршрутизация вызовов;</w:t>
      </w:r>
    </w:p>
    <w:p w:rsidR="00D602D4" w:rsidRDefault="000B4C86">
      <w:pPr>
        <w:pStyle w:val="ac"/>
        <w:numPr>
          <w:ilvl w:val="0"/>
          <w:numId w:val="19"/>
        </w:numPr>
        <w:tabs>
          <w:tab w:val="left" w:pos="993"/>
        </w:tabs>
        <w:spacing w:after="0" w:line="240" w:lineRule="auto"/>
        <w:ind w:left="0" w:firstLine="709"/>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мониторинг качества обслуживания потребителей услуг горячей линии «Светлая линия 220» и проведение исследований/опросов/анкетирования;</w:t>
      </w:r>
    </w:p>
    <w:p w:rsidR="00D602D4" w:rsidRDefault="000B4C86">
      <w:pPr>
        <w:pStyle w:val="ac"/>
        <w:numPr>
          <w:ilvl w:val="0"/>
          <w:numId w:val="19"/>
        </w:numPr>
        <w:tabs>
          <w:tab w:val="left" w:pos="993"/>
        </w:tabs>
        <w:spacing w:after="0" w:line="240" w:lineRule="auto"/>
        <w:ind w:left="0" w:firstLine="709"/>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нейросетевой агент.</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Интерактивное обслуживание клиентов в Обществе осуществляется посредством интернет-ресурсов: </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Портала электросетевых услуг (https://портал-тп.рф) - единого центра полной информации по процедуре технологического присоединения к электрическим сетям, где для клиентов организован сервис «Личный кабинет потребителя», «интернет-приемная», создана единая площадка раскрываемой информации, возможность поддерживать обратную связь с потребителями,</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Портала «Светлая страна» (</w:t>
      </w:r>
      <w:hyperlink r:id="rId61" w:tooltip="https://светлаястрана.рф" w:history="1">
        <w:r>
          <w:rPr>
            <w:rFonts w:ascii="Times New Roman" w:hAnsi="Times New Roman" w:cs="Times New Roman"/>
            <w:sz w:val="24"/>
            <w:szCs w:val="24"/>
          </w:rPr>
          <w:t>https://светлаястрана.рф</w:t>
        </w:r>
      </w:hyperlink>
      <w:r>
        <w:rPr>
          <w:rFonts w:ascii="Times New Roman" w:hAnsi="Times New Roman" w:cs="Times New Roman"/>
          <w:sz w:val="24"/>
          <w:szCs w:val="24"/>
        </w:rPr>
        <w:t xml:space="preserve">) - ресурса для обратной связи с потребителями электрической энергии, который позволяет потребителю максимально оперативно решать целый ряд вопросов, связанных с электроснабжением; </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сайта ПАО «Россети Сибирь» (</w:t>
      </w:r>
      <w:hyperlink r:id="rId62" w:tooltip="http://www.mrsk-sib.ru" w:history="1">
        <w:r>
          <w:rPr>
            <w:rFonts w:ascii="Times New Roman" w:hAnsi="Times New Roman" w:cs="Times New Roman"/>
            <w:sz w:val="24"/>
            <w:szCs w:val="24"/>
          </w:rPr>
          <w:t>www.rosseti-sib.ru</w:t>
        </w:r>
      </w:hyperlink>
      <w:r>
        <w:rPr>
          <w:rFonts w:ascii="Times New Roman" w:hAnsi="Times New Roman" w:cs="Times New Roman"/>
          <w:sz w:val="24"/>
          <w:szCs w:val="24"/>
        </w:rPr>
        <w:t>), на котором размещена информация по всем направлениям деятельности организаций: технологическое присоединение, тарифообразование, ремонтная программа, инвестиционная деятельность, приборы учета, энергосбережение и т.д. Представлены основные нормативные документы в сфере энергоснабжения, типовые формы договоров и заявок, а также отчеты о деятельности по работе с клиентами. На сайте Общества реализован интерактивный сервис on-line консультация для получения оперативной информации по интересующим вопросам и сервис «запись на прием».</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социальные медиа для направления обращений и получения оперативной информации по интересующим вопросам.</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Обслуживание потребителей в части организации единого окна между сетевой организацией и гарантирующим поставщиком реализован на едином Портале электросетевых </w:t>
      </w:r>
      <w:r>
        <w:rPr>
          <w:rFonts w:ascii="Times New Roman" w:hAnsi="Times New Roman" w:cs="Times New Roman"/>
          <w:sz w:val="24"/>
          <w:szCs w:val="24"/>
        </w:rPr>
        <w:lastRenderedPageBreak/>
        <w:t xml:space="preserve">услуг.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color w:val="000000" w:themeColor="text1"/>
          <w:sz w:val="24"/>
          <w:szCs w:val="24"/>
        </w:rPr>
        <w:t xml:space="preserve">В 2024 году в ПАО «Россети Сибирь» поступило 740856 обращений, что на 21,7% выше показателя предыдущего года (608690 в 2023 году). Рост показателя связан с увеличением количества консультаций (с 500406 шт. в 2023 году до 605351 шт. в 2024 году).  </w:t>
      </w:r>
      <w:r>
        <w:rPr>
          <w:rFonts w:ascii="Times New Roman" w:hAnsi="Times New Roman" w:cs="Times New Roman"/>
          <w:sz w:val="24"/>
          <w:szCs w:val="24"/>
        </w:rPr>
        <w:t>Зафиксировано увеличение количества заявок на ТП на 38% (с 41294 шт. в 2023 году до 56804 шт. в 2023 году).</w:t>
      </w:r>
    </w:p>
    <w:p w:rsidR="00D602D4" w:rsidRDefault="000B4C86">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28</w:t>
      </w:r>
    </w:p>
    <w:p w:rsidR="00D602D4" w:rsidRDefault="000B4C86">
      <w:pPr>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Распределение обращений по каналам коммуникаций</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1"/>
        <w:gridCol w:w="851"/>
        <w:gridCol w:w="992"/>
        <w:gridCol w:w="851"/>
        <w:gridCol w:w="850"/>
        <w:gridCol w:w="1384"/>
        <w:gridCol w:w="8"/>
      </w:tblGrid>
      <w:tr w:rsidR="00D602D4">
        <w:trPr>
          <w:cantSplit/>
          <w:trHeight w:val="162"/>
          <w:jc w:val="center"/>
        </w:trPr>
        <w:tc>
          <w:tcPr>
            <w:tcW w:w="4531" w:type="dxa"/>
            <w:vMerge w:val="restart"/>
            <w:vAlign w:val="center"/>
          </w:tcPr>
          <w:p w:rsidR="00D602D4" w:rsidRDefault="000B4C86">
            <w:pPr>
              <w:widowControl w:val="0"/>
              <w:spacing w:after="0" w:line="240" w:lineRule="auto"/>
              <w:ind w:left="-113" w:right="-114"/>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Показатели</w:t>
            </w:r>
          </w:p>
        </w:tc>
        <w:tc>
          <w:tcPr>
            <w:tcW w:w="851" w:type="dxa"/>
            <w:vMerge w:val="restart"/>
            <w:vAlign w:val="center"/>
          </w:tcPr>
          <w:p w:rsidR="00D602D4" w:rsidRDefault="000B4C86">
            <w:pPr>
              <w:widowControl w:val="0"/>
              <w:tabs>
                <w:tab w:val="left" w:pos="40"/>
              </w:tabs>
              <w:spacing w:after="0" w:line="240" w:lineRule="auto"/>
              <w:ind w:left="-111" w:right="-112"/>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Ед.изм.</w:t>
            </w:r>
          </w:p>
        </w:tc>
        <w:tc>
          <w:tcPr>
            <w:tcW w:w="4085" w:type="dxa"/>
            <w:gridSpan w:val="5"/>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Период</w:t>
            </w:r>
          </w:p>
        </w:tc>
      </w:tr>
      <w:tr w:rsidR="00D602D4">
        <w:trPr>
          <w:gridAfter w:val="1"/>
          <w:wAfter w:w="8" w:type="dxa"/>
          <w:cantSplit/>
          <w:jc w:val="center"/>
        </w:trPr>
        <w:tc>
          <w:tcPr>
            <w:tcW w:w="4531" w:type="dxa"/>
            <w:vMerge/>
            <w:vAlign w:val="center"/>
          </w:tcPr>
          <w:p w:rsidR="00D602D4" w:rsidRDefault="00D602D4">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851" w:type="dxa"/>
            <w:vMerge/>
            <w:vAlign w:val="center"/>
          </w:tcPr>
          <w:p w:rsidR="00D602D4" w:rsidRDefault="00D602D4">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992" w:type="dxa"/>
            <w:shd w:val="clear" w:color="FFFFFF" w:fill="FFFFFF"/>
            <w:vAlign w:val="center"/>
          </w:tcPr>
          <w:p w:rsidR="00D602D4" w:rsidRDefault="000B4C86">
            <w:pPr>
              <w:widowControl w:val="0"/>
              <w:spacing w:after="0" w:line="240" w:lineRule="auto"/>
              <w:ind w:left="-113" w:right="-138"/>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2022 год</w:t>
            </w:r>
          </w:p>
          <w:p w:rsidR="00D602D4" w:rsidRDefault="000B4C86">
            <w:pPr>
              <w:widowControl w:val="0"/>
              <w:spacing w:after="0" w:line="240" w:lineRule="auto"/>
              <w:ind w:left="-96" w:right="-122"/>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w:t>
            </w:r>
          </w:p>
        </w:tc>
        <w:tc>
          <w:tcPr>
            <w:tcW w:w="851" w:type="dxa"/>
            <w:vAlign w:val="center"/>
          </w:tcPr>
          <w:p w:rsidR="00D602D4" w:rsidRDefault="000B4C86">
            <w:pPr>
              <w:widowControl w:val="0"/>
              <w:spacing w:after="0" w:line="240" w:lineRule="auto"/>
              <w:ind w:left="-100"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год</w:t>
            </w:r>
          </w:p>
          <w:p w:rsidR="00D602D4" w:rsidRDefault="000B4C86">
            <w:pPr>
              <w:widowControl w:val="0"/>
              <w:spacing w:after="0" w:line="240" w:lineRule="auto"/>
              <w:ind w:left="-113" w:right="-138"/>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w:t>
            </w:r>
          </w:p>
        </w:tc>
        <w:tc>
          <w:tcPr>
            <w:tcW w:w="850" w:type="dxa"/>
            <w:vAlign w:val="center"/>
          </w:tcPr>
          <w:p w:rsidR="00D602D4" w:rsidRDefault="000B4C86">
            <w:pPr>
              <w:widowControl w:val="0"/>
              <w:spacing w:after="0" w:line="240" w:lineRule="auto"/>
              <w:ind w:left="-100"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 год</w:t>
            </w:r>
          </w:p>
          <w:p w:rsidR="00D602D4" w:rsidRDefault="000B4C86">
            <w:pPr>
              <w:widowControl w:val="0"/>
              <w:spacing w:after="0" w:line="240" w:lineRule="auto"/>
              <w:ind w:left="-100"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w:t>
            </w:r>
          </w:p>
        </w:tc>
        <w:tc>
          <w:tcPr>
            <w:tcW w:w="1384" w:type="dxa"/>
            <w:vAlign w:val="center"/>
          </w:tcPr>
          <w:p w:rsidR="00D602D4" w:rsidRDefault="000B4C86">
            <w:pPr>
              <w:widowControl w:val="0"/>
              <w:spacing w:after="0" w:line="240" w:lineRule="auto"/>
              <w:ind w:left="-107"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изменение 2024/2023, %</w:t>
            </w:r>
          </w:p>
        </w:tc>
      </w:tr>
      <w:tr w:rsidR="00D602D4">
        <w:trPr>
          <w:gridAfter w:val="1"/>
          <w:wAfter w:w="8" w:type="dxa"/>
          <w:cantSplit/>
          <w:jc w:val="center"/>
        </w:trPr>
        <w:tc>
          <w:tcPr>
            <w:tcW w:w="4531" w:type="dxa"/>
            <w:vAlign w:val="center"/>
          </w:tcPr>
          <w:p w:rsidR="00D602D4" w:rsidRDefault="000B4C86">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851" w:type="dxa"/>
            <w:vAlign w:val="center"/>
          </w:tcPr>
          <w:p w:rsidR="00D602D4" w:rsidRDefault="000B4C86">
            <w:pPr>
              <w:widowControl w:val="0"/>
              <w:tabs>
                <w:tab w:val="left" w:pos="40"/>
              </w:tabs>
              <w:spacing w:after="0" w:line="240" w:lineRule="auto"/>
              <w:ind w:left="-112"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992" w:type="dxa"/>
            <w:shd w:val="clear" w:color="FFFFFF" w:fill="FFFFFF"/>
            <w:vAlign w:val="center"/>
          </w:tcPr>
          <w:p w:rsidR="00D602D4" w:rsidRDefault="000B4C86">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851" w:type="dxa"/>
            <w:shd w:val="clear" w:color="FFFFFF" w:fill="FFFFFF"/>
            <w:vAlign w:val="center"/>
          </w:tcPr>
          <w:p w:rsidR="00D602D4" w:rsidRDefault="000B4C86">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850" w:type="dxa"/>
            <w:vAlign w:val="center"/>
          </w:tcPr>
          <w:p w:rsidR="00D602D4" w:rsidRDefault="000B4C86">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c>
          <w:tcPr>
            <w:tcW w:w="1384" w:type="dxa"/>
            <w:vAlign w:val="center"/>
          </w:tcPr>
          <w:p w:rsidR="00D602D4" w:rsidRDefault="000B4C86">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w:t>
            </w:r>
          </w:p>
        </w:tc>
      </w:tr>
      <w:tr w:rsidR="00D602D4">
        <w:trPr>
          <w:gridAfter w:val="1"/>
          <w:wAfter w:w="8" w:type="dxa"/>
          <w:cantSplit/>
          <w:trHeight w:val="163"/>
          <w:jc w:val="center"/>
        </w:trPr>
        <w:tc>
          <w:tcPr>
            <w:tcW w:w="4531" w:type="dxa"/>
            <w:vAlign w:val="center"/>
          </w:tcPr>
          <w:p w:rsidR="00D602D4" w:rsidRDefault="000B4C86">
            <w:pPr>
              <w:widowControl w:val="0"/>
              <w:spacing w:after="0" w:line="240" w:lineRule="auto"/>
              <w:ind w:left="426" w:right="-142" w:hanging="426"/>
              <w:rPr>
                <w:rFonts w:ascii="Times New Roman" w:hAnsi="Times New Roman" w:cs="Times New Roman"/>
                <w:sz w:val="20"/>
                <w:szCs w:val="20"/>
              </w:rPr>
            </w:pPr>
            <w:r>
              <w:rPr>
                <w:rFonts w:ascii="Times New Roman" w:hAnsi="Times New Roman" w:cs="Times New Roman"/>
                <w:sz w:val="20"/>
                <w:szCs w:val="20"/>
              </w:rPr>
              <w:t>Общее количество обращений</w:t>
            </w:r>
          </w:p>
        </w:tc>
        <w:tc>
          <w:tcPr>
            <w:tcW w:w="851"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тыс. шт.</w:t>
            </w:r>
          </w:p>
        </w:tc>
        <w:tc>
          <w:tcPr>
            <w:tcW w:w="992" w:type="dxa"/>
            <w:vAlign w:val="center"/>
          </w:tcPr>
          <w:p w:rsidR="00D602D4" w:rsidRDefault="000B4C86">
            <w:pPr>
              <w:spacing w:after="0" w:line="240" w:lineRule="auto"/>
              <w:ind w:left="426" w:hanging="426"/>
              <w:jc w:val="center"/>
              <w:rPr>
                <w:rFonts w:ascii="Times New Roman" w:hAnsi="Times New Roman" w:cs="Times New Roman"/>
                <w:sz w:val="20"/>
                <w:szCs w:val="20"/>
              </w:rPr>
            </w:pPr>
            <w:r>
              <w:rPr>
                <w:rFonts w:ascii="Times New Roman" w:hAnsi="Times New Roman" w:cs="Times New Roman"/>
                <w:sz w:val="20"/>
                <w:szCs w:val="20"/>
              </w:rPr>
              <w:t>559,6</w:t>
            </w:r>
          </w:p>
        </w:tc>
        <w:tc>
          <w:tcPr>
            <w:tcW w:w="851" w:type="dxa"/>
            <w:vAlign w:val="center"/>
          </w:tcPr>
          <w:p w:rsidR="00D602D4" w:rsidRDefault="000B4C86">
            <w:pPr>
              <w:spacing w:after="0" w:line="240" w:lineRule="auto"/>
              <w:rPr>
                <w:rFonts w:ascii="Times New Roman" w:hAnsi="Times New Roman" w:cs="Times New Roman"/>
                <w:sz w:val="20"/>
                <w:szCs w:val="20"/>
              </w:rPr>
            </w:pPr>
            <w:r>
              <w:rPr>
                <w:rFonts w:ascii="Times New Roman" w:hAnsi="Times New Roman" w:cs="Times New Roman"/>
                <w:sz w:val="20"/>
                <w:szCs w:val="20"/>
              </w:rPr>
              <w:t>608,7</w:t>
            </w:r>
          </w:p>
        </w:tc>
        <w:tc>
          <w:tcPr>
            <w:tcW w:w="850" w:type="dxa"/>
            <w:vAlign w:val="center"/>
          </w:tcPr>
          <w:p w:rsidR="00D602D4" w:rsidRDefault="000B4C86">
            <w:pPr>
              <w:spacing w:after="0" w:line="240" w:lineRule="auto"/>
              <w:ind w:left="426" w:hanging="426"/>
              <w:jc w:val="center"/>
              <w:rPr>
                <w:rFonts w:ascii="Times New Roman" w:hAnsi="Times New Roman" w:cs="Times New Roman"/>
                <w:sz w:val="20"/>
                <w:szCs w:val="20"/>
              </w:rPr>
            </w:pPr>
            <w:r>
              <w:rPr>
                <w:rFonts w:ascii="Times New Roman" w:hAnsi="Times New Roman" w:cs="Times New Roman"/>
                <w:sz w:val="20"/>
                <w:szCs w:val="20"/>
              </w:rPr>
              <w:t>740,9</w:t>
            </w:r>
          </w:p>
        </w:tc>
        <w:tc>
          <w:tcPr>
            <w:tcW w:w="1384" w:type="dxa"/>
            <w:vAlign w:val="center"/>
          </w:tcPr>
          <w:p w:rsidR="00D602D4" w:rsidRDefault="000B4C86">
            <w:pPr>
              <w:spacing w:after="0" w:line="240" w:lineRule="auto"/>
              <w:ind w:left="426" w:hanging="426"/>
              <w:jc w:val="center"/>
              <w:rPr>
                <w:rFonts w:ascii="Times New Roman" w:hAnsi="Times New Roman" w:cs="Times New Roman"/>
                <w:sz w:val="20"/>
                <w:szCs w:val="20"/>
              </w:rPr>
            </w:pPr>
            <w:r>
              <w:rPr>
                <w:rFonts w:ascii="Times New Roman" w:hAnsi="Times New Roman" w:cs="Times New Roman"/>
                <w:sz w:val="20"/>
                <w:szCs w:val="20"/>
              </w:rPr>
              <w:t>21,7</w:t>
            </w:r>
          </w:p>
        </w:tc>
      </w:tr>
      <w:tr w:rsidR="00D602D4">
        <w:trPr>
          <w:gridAfter w:val="1"/>
          <w:wAfter w:w="8" w:type="dxa"/>
          <w:cantSplit/>
          <w:trHeight w:val="311"/>
          <w:jc w:val="center"/>
        </w:trPr>
        <w:tc>
          <w:tcPr>
            <w:tcW w:w="4531" w:type="dxa"/>
            <w:vAlign w:val="center"/>
          </w:tcPr>
          <w:p w:rsidR="00D602D4" w:rsidRDefault="000B4C86">
            <w:pPr>
              <w:widowControl w:val="0"/>
              <w:spacing w:after="0" w:line="240" w:lineRule="auto"/>
              <w:ind w:left="426" w:right="-142" w:hanging="426"/>
              <w:rPr>
                <w:rFonts w:ascii="Times New Roman" w:hAnsi="Times New Roman" w:cs="Times New Roman"/>
                <w:sz w:val="20"/>
                <w:szCs w:val="20"/>
              </w:rPr>
            </w:pPr>
            <w:r>
              <w:rPr>
                <w:rFonts w:ascii="Times New Roman" w:hAnsi="Times New Roman" w:cs="Times New Roman"/>
                <w:sz w:val="20"/>
                <w:szCs w:val="20"/>
              </w:rPr>
              <w:t>Доля обращений по цифровым каналам</w:t>
            </w:r>
          </w:p>
        </w:tc>
        <w:tc>
          <w:tcPr>
            <w:tcW w:w="851"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w:t>
            </w:r>
          </w:p>
        </w:tc>
        <w:tc>
          <w:tcPr>
            <w:tcW w:w="992" w:type="dxa"/>
            <w:vAlign w:val="center"/>
          </w:tcPr>
          <w:p w:rsidR="00D602D4" w:rsidRDefault="000B4C86">
            <w:pPr>
              <w:spacing w:after="0" w:line="240" w:lineRule="auto"/>
              <w:ind w:left="426" w:hanging="426"/>
              <w:jc w:val="center"/>
              <w:rPr>
                <w:rFonts w:ascii="Times New Roman" w:hAnsi="Times New Roman" w:cs="Times New Roman"/>
                <w:sz w:val="20"/>
                <w:szCs w:val="20"/>
              </w:rPr>
            </w:pPr>
            <w:r>
              <w:rPr>
                <w:rFonts w:ascii="Times New Roman" w:hAnsi="Times New Roman" w:cs="Times New Roman"/>
                <w:sz w:val="20"/>
                <w:szCs w:val="20"/>
              </w:rPr>
              <w:t>24%</w:t>
            </w:r>
          </w:p>
        </w:tc>
        <w:tc>
          <w:tcPr>
            <w:tcW w:w="851" w:type="dxa"/>
            <w:vAlign w:val="center"/>
          </w:tcPr>
          <w:p w:rsidR="00D602D4" w:rsidRDefault="000B4C86">
            <w:pPr>
              <w:spacing w:after="0" w:line="240" w:lineRule="auto"/>
              <w:ind w:left="426" w:hanging="426"/>
              <w:jc w:val="center"/>
              <w:rPr>
                <w:rFonts w:ascii="Times New Roman" w:hAnsi="Times New Roman" w:cs="Times New Roman"/>
                <w:sz w:val="20"/>
                <w:szCs w:val="20"/>
              </w:rPr>
            </w:pPr>
            <w:r>
              <w:rPr>
                <w:rFonts w:ascii="Times New Roman" w:hAnsi="Times New Roman" w:cs="Times New Roman"/>
                <w:sz w:val="20"/>
                <w:szCs w:val="20"/>
              </w:rPr>
              <w:t>16%</w:t>
            </w:r>
          </w:p>
        </w:tc>
        <w:tc>
          <w:tcPr>
            <w:tcW w:w="850" w:type="dxa"/>
            <w:vAlign w:val="center"/>
          </w:tcPr>
          <w:p w:rsidR="00D602D4" w:rsidRDefault="000B4C86">
            <w:pPr>
              <w:spacing w:after="0" w:line="240" w:lineRule="auto"/>
              <w:ind w:left="426" w:hanging="426"/>
              <w:jc w:val="center"/>
              <w:rPr>
                <w:rFonts w:ascii="Times New Roman" w:hAnsi="Times New Roman" w:cs="Times New Roman"/>
                <w:sz w:val="20"/>
                <w:szCs w:val="20"/>
              </w:rPr>
            </w:pPr>
            <w:r>
              <w:rPr>
                <w:rFonts w:ascii="Times New Roman" w:hAnsi="Times New Roman" w:cs="Times New Roman"/>
                <w:sz w:val="20"/>
                <w:szCs w:val="20"/>
              </w:rPr>
              <w:t>17%</w:t>
            </w:r>
          </w:p>
        </w:tc>
        <w:tc>
          <w:tcPr>
            <w:tcW w:w="1384" w:type="dxa"/>
            <w:vAlign w:val="center"/>
          </w:tcPr>
          <w:p w:rsidR="00D602D4" w:rsidRDefault="000B4C86">
            <w:pPr>
              <w:spacing w:after="0" w:line="240" w:lineRule="auto"/>
              <w:ind w:left="426" w:hanging="426"/>
              <w:jc w:val="center"/>
              <w:rPr>
                <w:rFonts w:ascii="Times New Roman" w:hAnsi="Times New Roman" w:cs="Times New Roman"/>
                <w:sz w:val="20"/>
                <w:szCs w:val="20"/>
              </w:rPr>
            </w:pPr>
            <w:r>
              <w:rPr>
                <w:rFonts w:ascii="Times New Roman" w:hAnsi="Times New Roman" w:cs="Times New Roman"/>
                <w:sz w:val="20"/>
                <w:szCs w:val="20"/>
              </w:rPr>
              <w:t>33,3</w:t>
            </w:r>
          </w:p>
        </w:tc>
      </w:tr>
      <w:tr w:rsidR="00D602D4">
        <w:trPr>
          <w:gridAfter w:val="1"/>
          <w:wAfter w:w="8" w:type="dxa"/>
          <w:cantSplit/>
          <w:trHeight w:val="331"/>
          <w:jc w:val="center"/>
        </w:trPr>
        <w:tc>
          <w:tcPr>
            <w:tcW w:w="4531" w:type="dxa"/>
            <w:vAlign w:val="center"/>
          </w:tcPr>
          <w:p w:rsidR="00D602D4" w:rsidRDefault="000B4C86">
            <w:pPr>
              <w:widowControl w:val="0"/>
              <w:spacing w:after="0" w:line="240" w:lineRule="auto"/>
              <w:ind w:left="426" w:right="-142" w:hanging="426"/>
              <w:rPr>
                <w:rFonts w:ascii="Times New Roman" w:hAnsi="Times New Roman" w:cs="Times New Roman"/>
                <w:sz w:val="20"/>
                <w:szCs w:val="20"/>
              </w:rPr>
            </w:pPr>
            <w:r>
              <w:rPr>
                <w:rFonts w:ascii="Times New Roman" w:hAnsi="Times New Roman" w:cs="Times New Roman"/>
                <w:sz w:val="20"/>
                <w:szCs w:val="20"/>
              </w:rPr>
              <w:t>Доля обращений на ненадлежащее качество услуг</w:t>
            </w:r>
          </w:p>
        </w:tc>
        <w:tc>
          <w:tcPr>
            <w:tcW w:w="851"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w:t>
            </w:r>
          </w:p>
        </w:tc>
        <w:tc>
          <w:tcPr>
            <w:tcW w:w="992" w:type="dxa"/>
            <w:vAlign w:val="center"/>
          </w:tcPr>
          <w:p w:rsidR="00D602D4" w:rsidRDefault="000B4C86">
            <w:pPr>
              <w:spacing w:after="0" w:line="240" w:lineRule="auto"/>
              <w:ind w:left="426" w:hanging="426"/>
              <w:jc w:val="center"/>
              <w:rPr>
                <w:rFonts w:ascii="Times New Roman" w:hAnsi="Times New Roman" w:cs="Times New Roman"/>
                <w:sz w:val="20"/>
                <w:szCs w:val="20"/>
              </w:rPr>
            </w:pPr>
            <w:r>
              <w:rPr>
                <w:rFonts w:ascii="Times New Roman" w:hAnsi="Times New Roman" w:cs="Times New Roman"/>
                <w:sz w:val="20"/>
                <w:szCs w:val="20"/>
              </w:rPr>
              <w:t>1,02%</w:t>
            </w:r>
          </w:p>
        </w:tc>
        <w:tc>
          <w:tcPr>
            <w:tcW w:w="851" w:type="dxa"/>
            <w:vAlign w:val="center"/>
          </w:tcPr>
          <w:p w:rsidR="00D602D4" w:rsidRDefault="000B4C86">
            <w:pPr>
              <w:spacing w:after="0" w:line="240" w:lineRule="auto"/>
              <w:ind w:left="426" w:hanging="426"/>
              <w:jc w:val="center"/>
              <w:rPr>
                <w:rFonts w:ascii="Times New Roman" w:hAnsi="Times New Roman" w:cs="Times New Roman"/>
                <w:sz w:val="20"/>
                <w:szCs w:val="20"/>
              </w:rPr>
            </w:pPr>
            <w:r>
              <w:rPr>
                <w:rFonts w:ascii="Times New Roman" w:hAnsi="Times New Roman" w:cs="Times New Roman"/>
                <w:sz w:val="20"/>
                <w:szCs w:val="20"/>
              </w:rPr>
              <w:t>0,83%</w:t>
            </w:r>
          </w:p>
        </w:tc>
        <w:tc>
          <w:tcPr>
            <w:tcW w:w="850" w:type="dxa"/>
            <w:vAlign w:val="center"/>
          </w:tcPr>
          <w:p w:rsidR="00D602D4" w:rsidRDefault="000B4C86">
            <w:pPr>
              <w:spacing w:after="0" w:line="240" w:lineRule="auto"/>
              <w:ind w:left="426" w:hanging="426"/>
              <w:jc w:val="center"/>
              <w:rPr>
                <w:rFonts w:ascii="Times New Roman" w:hAnsi="Times New Roman" w:cs="Times New Roman"/>
                <w:sz w:val="20"/>
                <w:szCs w:val="20"/>
              </w:rPr>
            </w:pPr>
            <w:r>
              <w:rPr>
                <w:rFonts w:ascii="Times New Roman" w:hAnsi="Times New Roman" w:cs="Times New Roman"/>
                <w:sz w:val="20"/>
                <w:szCs w:val="20"/>
              </w:rPr>
              <w:t>0,75%</w:t>
            </w:r>
          </w:p>
        </w:tc>
        <w:tc>
          <w:tcPr>
            <w:tcW w:w="1384" w:type="dxa"/>
            <w:vAlign w:val="center"/>
          </w:tcPr>
          <w:p w:rsidR="00D602D4" w:rsidRDefault="000B4C86">
            <w:pPr>
              <w:spacing w:after="0" w:line="240" w:lineRule="auto"/>
              <w:ind w:left="426" w:hanging="426"/>
              <w:jc w:val="center"/>
              <w:rPr>
                <w:rFonts w:ascii="Times New Roman" w:hAnsi="Times New Roman" w:cs="Times New Roman"/>
                <w:sz w:val="20"/>
                <w:szCs w:val="20"/>
              </w:rPr>
            </w:pPr>
            <w:r>
              <w:rPr>
                <w:rFonts w:ascii="Times New Roman" w:hAnsi="Times New Roman" w:cs="Times New Roman"/>
                <w:sz w:val="20"/>
                <w:szCs w:val="20"/>
              </w:rPr>
              <w:t>9,9</w:t>
            </w:r>
          </w:p>
        </w:tc>
      </w:tr>
    </w:tbl>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разбивке по категориям обращений основную часть поступивших обращений составили запросы справочной информации/ консультации (82%, 605 351 шт.) и заявки на оказание услуг (14% 103 938) в состав которых вошли заявки на технологическое присоединение, заявления на переоформление мощности, о восстановлении и продлении ТУ, заявки на обслуживание приборов учета, дополнительные и прочие услуги. Доля жалоб в 2024 году составила 0,75% (5 584 шт.) от общего количества обращений, что на 9,9% выше в сравнении с прошлым периодом (5 080 шт. в 2023 году).</w:t>
      </w:r>
    </w:p>
    <w:p w:rsidR="00D602D4" w:rsidRDefault="000B4C86">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Наиболее востребованным каналом взаимодействия с компанией для потребителей в 2024 году явились обращения посредством контакт-центра: телефонные звонки, голосовые сообщения и обращения, отработанные IVR-системой. Обработано 523 337 телефонных обращений, и составляет 71% от общего количества обращений, что на 21% больше по сравнению с 2023 годом (431 021 обращений). </w:t>
      </w:r>
    </w:p>
    <w:p w:rsidR="00D602D4" w:rsidRDefault="000B4C86">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Очные обращения в центры обслуживания потребителей и пункты по работе с потребителями в ПО и РЭС филиалов Общества составили 8,6% (63 729 шт.), через интерактивные каналы – 17% (127 589 шт.), почтовые сообщения через канцелярию – 3% (26 173 шт.), прочие (книга жалоб и предложений) – 0,002 (19 шт.) </w:t>
      </w:r>
    </w:p>
    <w:p w:rsidR="00D602D4" w:rsidRDefault="000B4C86">
      <w:pPr>
        <w:tabs>
          <w:tab w:val="left" w:pos="1320"/>
          <w:tab w:val="left" w:pos="168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Общее количество очных обращений, поступивших в Общество в 2024 году, составляет 63729 шт. (63 251 шт. в 2023 году). По сравнению с прошлым годом увеличение числа очных обращений в офисы обслуживания потребителей составило 0,76%.</w:t>
      </w:r>
    </w:p>
    <w:p w:rsidR="00D602D4" w:rsidRDefault="000B4C86">
      <w:pPr>
        <w:tabs>
          <w:tab w:val="left" w:pos="1320"/>
          <w:tab w:val="left" w:pos="1680"/>
        </w:tabs>
        <w:spacing w:after="0" w:line="240" w:lineRule="auto"/>
        <w:ind w:right="-2" w:firstLine="709"/>
        <w:jc w:val="both"/>
        <w:rPr>
          <w:rFonts w:ascii="Times New Roman" w:hAnsi="Times New Roman" w:cs="Times New Roman"/>
          <w:sz w:val="24"/>
          <w:szCs w:val="24"/>
        </w:rPr>
      </w:pPr>
      <w:r>
        <w:rPr>
          <w:rFonts w:ascii="Times New Roman" w:hAnsi="Times New Roman" w:cs="Times New Roman"/>
          <w:sz w:val="24"/>
          <w:szCs w:val="24"/>
        </w:rPr>
        <w:t xml:space="preserve">Всего через интерактивные сервисы поступило 127 598 обращений (17% от общего количества), из них 3 920 обращений поступили через социальные медиа. </w:t>
      </w:r>
    </w:p>
    <w:p w:rsidR="00D602D4" w:rsidRDefault="000B4C86">
      <w:pPr>
        <w:tabs>
          <w:tab w:val="left" w:pos="1320"/>
          <w:tab w:val="left" w:pos="1680"/>
        </w:tabs>
        <w:spacing w:after="0" w:line="240" w:lineRule="auto"/>
        <w:ind w:right="-2" w:firstLine="709"/>
        <w:jc w:val="both"/>
        <w:rPr>
          <w:rFonts w:ascii="Times New Roman" w:hAnsi="Times New Roman" w:cs="Times New Roman"/>
          <w:sz w:val="24"/>
          <w:szCs w:val="24"/>
        </w:rPr>
      </w:pPr>
      <w:r>
        <w:rPr>
          <w:rFonts w:ascii="Times New Roman" w:hAnsi="Times New Roman" w:cs="Times New Roman"/>
          <w:sz w:val="24"/>
          <w:szCs w:val="24"/>
        </w:rPr>
        <w:t>Основными тематиками обращений в 2024 году по вопросам деятельности Общества явились:</w:t>
      </w:r>
    </w:p>
    <w:p w:rsidR="00D602D4" w:rsidRDefault="000B4C86">
      <w:pPr>
        <w:tabs>
          <w:tab w:val="left" w:pos="0"/>
          <w:tab w:val="left" w:pos="1276"/>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отключения электрической энергии (41% от общего количества обращений);</w:t>
      </w:r>
    </w:p>
    <w:p w:rsidR="00D602D4" w:rsidRDefault="000B4C86">
      <w:pPr>
        <w:tabs>
          <w:tab w:val="left" w:pos="0"/>
          <w:tab w:val="left" w:pos="1276"/>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технологическое присоединение (31,6 % от общего количества обращений).</w:t>
      </w:r>
    </w:p>
    <w:p w:rsidR="00D602D4" w:rsidRDefault="000B4C86">
      <w:pPr>
        <w:tabs>
          <w:tab w:val="left" w:pos="0"/>
          <w:tab w:val="left" w:pos="1276"/>
        </w:tabs>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29</w:t>
      </w:r>
    </w:p>
    <w:p w:rsidR="00D602D4" w:rsidRDefault="000B4C86">
      <w:pPr>
        <w:tabs>
          <w:tab w:val="left" w:pos="0"/>
          <w:tab w:val="left" w:pos="1276"/>
        </w:tabs>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Распределение обращений по причинам</w:t>
      </w:r>
    </w:p>
    <w:tbl>
      <w:tblPr>
        <w:tblStyle w:val="83"/>
        <w:tblW w:w="0" w:type="auto"/>
        <w:jc w:val="center"/>
        <w:tblInd w:w="0" w:type="dxa"/>
        <w:tblLayout w:type="fixed"/>
        <w:tblLook w:val="04A0" w:firstRow="1" w:lastRow="0" w:firstColumn="1" w:lastColumn="0" w:noHBand="0" w:noVBand="1"/>
      </w:tblPr>
      <w:tblGrid>
        <w:gridCol w:w="5102"/>
        <w:gridCol w:w="1748"/>
        <w:gridCol w:w="1276"/>
      </w:tblGrid>
      <w:tr w:rsidR="00D602D4">
        <w:trPr>
          <w:jc w:val="center"/>
        </w:trPr>
        <w:tc>
          <w:tcPr>
            <w:tcW w:w="5102"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b/>
                <w:sz w:val="20"/>
                <w:szCs w:val="20"/>
              </w:rPr>
            </w:pPr>
            <w:r>
              <w:rPr>
                <w:rFonts w:ascii="Times New Roman" w:hAnsi="Times New Roman" w:cs="Times New Roman"/>
                <w:b/>
                <w:sz w:val="20"/>
                <w:szCs w:val="20"/>
              </w:rPr>
              <w:t>Тематика обращений</w:t>
            </w:r>
          </w:p>
        </w:tc>
        <w:tc>
          <w:tcPr>
            <w:tcW w:w="1748"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b/>
                <w:sz w:val="20"/>
                <w:szCs w:val="20"/>
              </w:rPr>
            </w:pPr>
            <w:r>
              <w:rPr>
                <w:rFonts w:ascii="Times New Roman" w:hAnsi="Times New Roman" w:cs="Times New Roman"/>
                <w:b/>
                <w:sz w:val="20"/>
                <w:szCs w:val="20"/>
              </w:rPr>
              <w:t>Количество, шт.</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b/>
                <w:sz w:val="20"/>
                <w:szCs w:val="20"/>
              </w:rPr>
            </w:pPr>
            <w:r>
              <w:rPr>
                <w:rFonts w:ascii="Times New Roman" w:hAnsi="Times New Roman" w:cs="Times New Roman"/>
                <w:b/>
                <w:sz w:val="20"/>
                <w:szCs w:val="20"/>
              </w:rPr>
              <w:t>Доля, %</w:t>
            </w:r>
          </w:p>
        </w:tc>
      </w:tr>
      <w:tr w:rsidR="00D602D4">
        <w:trPr>
          <w:jc w:val="center"/>
        </w:trPr>
        <w:tc>
          <w:tcPr>
            <w:tcW w:w="5102"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sz w:val="20"/>
                <w:szCs w:val="20"/>
              </w:rPr>
            </w:pPr>
            <w:r>
              <w:rPr>
                <w:rFonts w:ascii="Times New Roman" w:hAnsi="Times New Roman" w:cs="Times New Roman"/>
                <w:sz w:val="20"/>
                <w:szCs w:val="20"/>
              </w:rPr>
              <w:t>Технологическое присоединение</w:t>
            </w:r>
          </w:p>
        </w:tc>
        <w:tc>
          <w:tcPr>
            <w:tcW w:w="1748"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234 482</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31,65</w:t>
            </w:r>
          </w:p>
        </w:tc>
      </w:tr>
      <w:tr w:rsidR="00D602D4">
        <w:trPr>
          <w:jc w:val="center"/>
        </w:trPr>
        <w:tc>
          <w:tcPr>
            <w:tcW w:w="5102"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sz w:val="20"/>
                <w:szCs w:val="20"/>
              </w:rPr>
            </w:pPr>
            <w:r>
              <w:rPr>
                <w:rFonts w:ascii="Times New Roman" w:hAnsi="Times New Roman" w:cs="Times New Roman"/>
                <w:sz w:val="20"/>
                <w:szCs w:val="20"/>
              </w:rPr>
              <w:t>Передача электрической энергии</w:t>
            </w:r>
          </w:p>
        </w:tc>
        <w:tc>
          <w:tcPr>
            <w:tcW w:w="1748"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22 936</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3,10</w:t>
            </w:r>
          </w:p>
        </w:tc>
      </w:tr>
      <w:tr w:rsidR="00D602D4">
        <w:trPr>
          <w:jc w:val="center"/>
        </w:trPr>
        <w:tc>
          <w:tcPr>
            <w:tcW w:w="5102"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sz w:val="20"/>
                <w:szCs w:val="20"/>
              </w:rPr>
            </w:pPr>
            <w:r>
              <w:rPr>
                <w:rFonts w:ascii="Times New Roman" w:hAnsi="Times New Roman" w:cs="Times New Roman"/>
                <w:sz w:val="20"/>
                <w:szCs w:val="20"/>
              </w:rPr>
              <w:t>Отключение электрической энергии</w:t>
            </w:r>
          </w:p>
        </w:tc>
        <w:tc>
          <w:tcPr>
            <w:tcW w:w="1748"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300 709</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40,59</w:t>
            </w:r>
          </w:p>
        </w:tc>
      </w:tr>
      <w:tr w:rsidR="00D602D4">
        <w:trPr>
          <w:jc w:val="center"/>
        </w:trPr>
        <w:tc>
          <w:tcPr>
            <w:tcW w:w="5102"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sz w:val="20"/>
                <w:szCs w:val="20"/>
              </w:rPr>
            </w:pPr>
            <w:r>
              <w:rPr>
                <w:rFonts w:ascii="Times New Roman" w:hAnsi="Times New Roman" w:cs="Times New Roman"/>
                <w:sz w:val="20"/>
                <w:szCs w:val="20"/>
              </w:rPr>
              <w:t>Техническое обслуживание электросетевых объектов</w:t>
            </w:r>
          </w:p>
        </w:tc>
        <w:tc>
          <w:tcPr>
            <w:tcW w:w="1748"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19 723</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2,66</w:t>
            </w:r>
          </w:p>
        </w:tc>
      </w:tr>
      <w:tr w:rsidR="00D602D4">
        <w:trPr>
          <w:jc w:val="center"/>
        </w:trPr>
        <w:tc>
          <w:tcPr>
            <w:tcW w:w="5102"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sz w:val="20"/>
                <w:szCs w:val="20"/>
              </w:rPr>
            </w:pPr>
            <w:r>
              <w:rPr>
                <w:rFonts w:ascii="Times New Roman" w:hAnsi="Times New Roman" w:cs="Times New Roman"/>
                <w:sz w:val="20"/>
                <w:szCs w:val="20"/>
              </w:rPr>
              <w:t>Коммерческий учет электроэнергии</w:t>
            </w:r>
          </w:p>
        </w:tc>
        <w:tc>
          <w:tcPr>
            <w:tcW w:w="1748"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50 091</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6,76</w:t>
            </w:r>
          </w:p>
        </w:tc>
      </w:tr>
      <w:tr w:rsidR="00D602D4">
        <w:trPr>
          <w:jc w:val="center"/>
        </w:trPr>
        <w:tc>
          <w:tcPr>
            <w:tcW w:w="5102"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sz w:val="20"/>
                <w:szCs w:val="20"/>
              </w:rPr>
            </w:pPr>
            <w:r>
              <w:rPr>
                <w:rFonts w:ascii="Times New Roman" w:hAnsi="Times New Roman" w:cs="Times New Roman"/>
                <w:sz w:val="20"/>
                <w:szCs w:val="20"/>
              </w:rPr>
              <w:t>Дополнительные услуги</w:t>
            </w:r>
          </w:p>
        </w:tc>
        <w:tc>
          <w:tcPr>
            <w:tcW w:w="1748"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7 777</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1,05</w:t>
            </w:r>
          </w:p>
        </w:tc>
      </w:tr>
      <w:tr w:rsidR="00D602D4">
        <w:trPr>
          <w:jc w:val="center"/>
        </w:trPr>
        <w:tc>
          <w:tcPr>
            <w:tcW w:w="5102"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sz w:val="20"/>
                <w:szCs w:val="20"/>
              </w:rPr>
            </w:pPr>
            <w:r>
              <w:rPr>
                <w:rFonts w:ascii="Times New Roman" w:hAnsi="Times New Roman" w:cs="Times New Roman"/>
                <w:sz w:val="20"/>
                <w:szCs w:val="20"/>
              </w:rPr>
              <w:t>Качество обслуживания</w:t>
            </w:r>
          </w:p>
        </w:tc>
        <w:tc>
          <w:tcPr>
            <w:tcW w:w="1748"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75 163</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10,15</w:t>
            </w:r>
          </w:p>
        </w:tc>
      </w:tr>
      <w:tr w:rsidR="00D602D4">
        <w:trPr>
          <w:jc w:val="center"/>
        </w:trPr>
        <w:tc>
          <w:tcPr>
            <w:tcW w:w="5102"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sz w:val="20"/>
                <w:szCs w:val="20"/>
              </w:rPr>
            </w:pPr>
            <w:r>
              <w:rPr>
                <w:rFonts w:ascii="Times New Roman" w:hAnsi="Times New Roman" w:cs="Times New Roman"/>
                <w:sz w:val="20"/>
                <w:szCs w:val="20"/>
              </w:rPr>
              <w:lastRenderedPageBreak/>
              <w:t>Контактная информация</w:t>
            </w:r>
          </w:p>
        </w:tc>
        <w:tc>
          <w:tcPr>
            <w:tcW w:w="1748"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8 275</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1,12</w:t>
            </w:r>
          </w:p>
        </w:tc>
      </w:tr>
      <w:tr w:rsidR="00D602D4">
        <w:trPr>
          <w:jc w:val="center"/>
        </w:trPr>
        <w:tc>
          <w:tcPr>
            <w:tcW w:w="5102"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sz w:val="20"/>
                <w:szCs w:val="20"/>
              </w:rPr>
            </w:pPr>
            <w:r>
              <w:rPr>
                <w:rFonts w:ascii="Times New Roman" w:hAnsi="Times New Roman" w:cs="Times New Roman"/>
                <w:sz w:val="20"/>
                <w:szCs w:val="20"/>
              </w:rPr>
              <w:t>Энергосбытовая деятельность</w:t>
            </w:r>
          </w:p>
        </w:tc>
        <w:tc>
          <w:tcPr>
            <w:tcW w:w="1748"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85</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0,01</w:t>
            </w:r>
          </w:p>
        </w:tc>
      </w:tr>
      <w:tr w:rsidR="00D602D4">
        <w:trPr>
          <w:jc w:val="center"/>
        </w:trPr>
        <w:tc>
          <w:tcPr>
            <w:tcW w:w="5102"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sz w:val="20"/>
                <w:szCs w:val="20"/>
              </w:rPr>
            </w:pPr>
            <w:r>
              <w:rPr>
                <w:rFonts w:ascii="Times New Roman" w:hAnsi="Times New Roman" w:cs="Times New Roman"/>
                <w:sz w:val="20"/>
                <w:szCs w:val="20"/>
              </w:rPr>
              <w:t>Прочее</w:t>
            </w:r>
          </w:p>
        </w:tc>
        <w:tc>
          <w:tcPr>
            <w:tcW w:w="1748"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21 615</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2,92</w:t>
            </w:r>
          </w:p>
        </w:tc>
      </w:tr>
    </w:tbl>
    <w:p w:rsidR="00D602D4" w:rsidRDefault="00D602D4">
      <w:pPr>
        <w:spacing w:after="0" w:line="240" w:lineRule="auto"/>
        <w:jc w:val="both"/>
        <w:rPr>
          <w:rFonts w:ascii="Times New Roman" w:hAnsi="Times New Roman" w:cs="Times New Roman"/>
          <w:sz w:val="24"/>
          <w:szCs w:val="24"/>
        </w:rPr>
      </w:pPr>
    </w:p>
    <w:p w:rsidR="00D602D4" w:rsidRDefault="000B4C86">
      <w:pPr>
        <w:tabs>
          <w:tab w:val="left" w:pos="1320"/>
          <w:tab w:val="left" w:pos="168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2024 году количество обращений, по которым были соблюдены нормативные сроки рассмотрения, составило 98,9%.</w:t>
      </w:r>
    </w:p>
    <w:p w:rsidR="00D602D4" w:rsidRDefault="000B4C86">
      <w:pPr>
        <w:tabs>
          <w:tab w:val="left" w:pos="1320"/>
          <w:tab w:val="left" w:pos="168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За счёт поддержания и развития системы интерактивного голосового меню (IVR) в 2024 году на 85 % увеличена доля звонков, обработанных с помощью интерактивного голосового меню (IVR) (255 224 в 2024 году и 137 697 в 2023 году соответственно), что позволило удержать долю пропущенных вызовов 6,9% (в 2023 году – 6,9%) без увеличения штатной численности контактного центра в условиях роста количества обращений (в 2024 году обработано 523 337 обращений, в 2023 году - 431 021 обращение).  Среднее время ответа оператора составило 129 секунд (в 2023 году – 58 секунд). Среднее время диалога оператора с потребителем составило 137 секунд, то есть снижено на 6% в сравнении с 2023 годом (145 секунд). Уровень сервиса в 2024 году составил 35,2%/20 секунд, (в 2023 году статистика по 58%/20 секунд).</w:t>
      </w:r>
    </w:p>
    <w:p w:rsidR="00D602D4" w:rsidRDefault="000B4C86">
      <w:pPr>
        <w:tabs>
          <w:tab w:val="left" w:pos="1320"/>
          <w:tab w:val="left" w:pos="168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Обслуживание потребителей ПАО «Россети Сибирь» организовано в соответствии с требованиями Единых стандартов качества обслуживания сетевыми организациями потребителей услуг сетевых организаций (приказ Минэнерго России от 15.04.2024 № 186), основными требованиями Стандарта организации «Стандарты качества обслуживания потребителей услуг», утвержденного решением Совета директоров ПАО «Россети Сибирь» от 06.12.2023 (протокол от 08.12.2023 №508/23).</w:t>
      </w:r>
    </w:p>
    <w:p w:rsidR="00D602D4" w:rsidRDefault="000B4C86">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Целевые показатели качества облуживания потребителей услуг горячей линии энергетиков «Светлая линия 220» по федеральному номеру 8-800-220-0-220, утверждённые решением Правления ПАО «Россети» (протокол от 23.05.2023 №25) за 2023 год в ПАО «Россети Сибирь» выполнены частично (выполнен показатель «Среднее время разговора»).</w:t>
      </w:r>
    </w:p>
    <w:p w:rsidR="00D602D4" w:rsidRDefault="000B4C86">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Прочие требования «Единых стандартов качества обслуживания потребителей услуг группы компаний «Россети» и «Положения о горячей линии энергетиков «Светлая линия 220»», утвержденных решением Правления ПАО «Россети» (протокол от 23.05.2023 №25) к организации обслуживания посредством телефонной связи, круглосуточному приёму и обработке обращений, технологической архитектуре, структуре горячей линии, основным процессам, задачам обслуживания и срокам предоставления услуг, а также к сведениям, предоставляемым потребителям при обращении в 2024 году выполнены. </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 целью исполнения и повышения показателей качества обслуживания потребителей услуг и обеспечения мониторинга показателей разработан ряд мероприятий, направленных на доработку и модификацию функционала основного программного обеспечения и расширение степени автоматизации процессов и процедур обслуживания потребителей:</w:t>
      </w:r>
    </w:p>
    <w:p w:rsidR="00D602D4" w:rsidRDefault="000B4C86">
      <w:pPr>
        <w:widowControl w:val="0"/>
        <w:tabs>
          <w:tab w:val="left" w:pos="992"/>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Внедрена схема распределения звонков на «горячей линии» в части дополнительных услуг и сервисов с автоматической регистрацией интереса клиента в АС ЦОК и направлением на электронную почту ответственных специалистов информационного письма о поступлении обращения;</w:t>
      </w:r>
    </w:p>
    <w:p w:rsidR="00D602D4" w:rsidRDefault="000B4C86">
      <w:pPr>
        <w:widowControl w:val="0"/>
        <w:tabs>
          <w:tab w:val="left" w:pos="992"/>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 xml:space="preserve">Доработан процесс автоматического предоставления консультации на «горячей линии» посредством </w:t>
      </w:r>
      <w:r>
        <w:rPr>
          <w:rFonts w:ascii="Times New Roman" w:hAnsi="Times New Roman" w:cs="Times New Roman"/>
          <w:sz w:val="24"/>
          <w:szCs w:val="24"/>
          <w:lang w:val="en-US"/>
        </w:rPr>
        <w:t>IVR</w:t>
      </w:r>
      <w:r>
        <w:rPr>
          <w:rFonts w:ascii="Times New Roman" w:hAnsi="Times New Roman" w:cs="Times New Roman"/>
          <w:sz w:val="24"/>
          <w:szCs w:val="24"/>
        </w:rPr>
        <w:t xml:space="preserve"> и интеграции КИС Энергия-Oktell по сроку исполнения договора на технологическое присоединение (срок истек, дальнейшие действия) с автоматической регистрацией интереса клиента в АС ЦОК; </w:t>
      </w:r>
    </w:p>
    <w:p w:rsidR="00D602D4" w:rsidRDefault="000B4C86">
      <w:pPr>
        <w:widowControl w:val="0"/>
        <w:tabs>
          <w:tab w:val="left" w:pos="992"/>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Реализован функционал автоматизированного опроса\информирования неограниченного количества потребителей услуг с автоматической регистрацией интереса клиента в АС ЦОК (в том числе по подтверждению устранения причины жалоб);</w:t>
      </w:r>
    </w:p>
    <w:p w:rsidR="00D602D4" w:rsidRDefault="000B4C86">
      <w:pPr>
        <w:widowControl w:val="0"/>
        <w:tabs>
          <w:tab w:val="left" w:pos="992"/>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t>Актуализированы и оптимизированы сценарии обработки входящих и исходящих вызовов посредством горячей линии энергетиков «Светлая линия 220»;</w:t>
      </w:r>
    </w:p>
    <w:p w:rsidR="00D602D4" w:rsidRDefault="000B4C86">
      <w:pPr>
        <w:widowControl w:val="0"/>
        <w:tabs>
          <w:tab w:val="left" w:pos="992"/>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5.</w:t>
      </w:r>
      <w:r>
        <w:rPr>
          <w:rFonts w:ascii="Times New Roman" w:hAnsi="Times New Roman" w:cs="Times New Roman"/>
          <w:sz w:val="24"/>
          <w:szCs w:val="24"/>
        </w:rPr>
        <w:tab/>
        <w:t>Заключен договор» на оказание услуг обработки обращений, поступающих в контактный центр ПАО «Россети Сибирь», нейросетевым агентом.</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ПАО «Россети Сибирь» в соответствии со стандартом организации СО 3.087/0 «Измерение уровня удовлетворенности потребителей качеством оказанных услуг. Регламент» проведены следующие исследования, направленные на измерение уровня удовлетворенности потребителей качеством оказанных в 2024 году услуг:</w:t>
      </w:r>
    </w:p>
    <w:p w:rsidR="00D602D4" w:rsidRDefault="000B4C86">
      <w:pPr>
        <w:pStyle w:val="af9"/>
        <w:tabs>
          <w:tab w:val="clear" w:pos="1080"/>
          <w:tab w:val="clear" w:pos="1320"/>
          <w:tab w:val="left" w:pos="992"/>
        </w:tabs>
        <w:ind w:firstLine="709"/>
        <w:rPr>
          <w:rFonts w:eastAsiaTheme="minorHAnsi"/>
          <w:sz w:val="24"/>
          <w:lang w:eastAsia="en-US"/>
        </w:rPr>
      </w:pPr>
      <w:r>
        <w:rPr>
          <w:rFonts w:eastAsiaTheme="minorHAnsi"/>
          <w:sz w:val="24"/>
          <w:lang w:eastAsia="en-US"/>
        </w:rPr>
        <w:t>1.</w:t>
      </w:r>
      <w:r>
        <w:rPr>
          <w:rFonts w:eastAsiaTheme="minorHAnsi"/>
          <w:sz w:val="24"/>
          <w:lang w:eastAsia="en-US"/>
        </w:rPr>
        <w:tab/>
        <w:t>Опрос абонентов, воспользовавшиеся услугами операторов единого контакт-центра Общества в период с 01.06.2024 по 30.06.2024. В опросе приняли участие 184 респондента. Уровень удовлетворенности качеством обслуживания операторами единого контакт-центра в целом по Обществу составил 26 баллов из 30 возможных, или 87% от возможного максимума.</w:t>
      </w:r>
    </w:p>
    <w:p w:rsidR="00D602D4" w:rsidRDefault="000B4C86">
      <w:pPr>
        <w:pStyle w:val="af9"/>
        <w:tabs>
          <w:tab w:val="clear" w:pos="1080"/>
          <w:tab w:val="clear" w:pos="1320"/>
          <w:tab w:val="left" w:pos="992"/>
        </w:tabs>
        <w:ind w:firstLine="709"/>
        <w:rPr>
          <w:rFonts w:eastAsiaTheme="minorHAnsi"/>
          <w:sz w:val="24"/>
          <w:lang w:eastAsia="en-US"/>
        </w:rPr>
      </w:pPr>
      <w:r>
        <w:rPr>
          <w:rFonts w:eastAsiaTheme="minorHAnsi"/>
          <w:sz w:val="24"/>
          <w:lang w:eastAsia="en-US"/>
        </w:rPr>
        <w:t>2.</w:t>
      </w:r>
      <w:r>
        <w:rPr>
          <w:rFonts w:eastAsiaTheme="minorHAnsi"/>
          <w:sz w:val="24"/>
          <w:lang w:eastAsia="en-US"/>
        </w:rPr>
        <w:tab/>
        <w:t>Опрос потребителей, воспользовавшихся услугами центров обслуживания клиентов и пунктов по работе с потребителями в ПО и РЭС в период с 01.01.2024 по 30.06.2024. В опросе приняло участие 161 респондент. Уровень удовлетворенности качеством дистанционного обслуживания в центрах обслуживания клиентов и пунктах по работе с потребителями в ПО и РЭС составил 32 баллов из 37 возможных, или 86 % от возможного максимума</w:t>
      </w:r>
    </w:p>
    <w:p w:rsidR="00D602D4" w:rsidRDefault="000B4C86">
      <w:pPr>
        <w:pStyle w:val="af9"/>
        <w:tabs>
          <w:tab w:val="clear" w:pos="1080"/>
          <w:tab w:val="clear" w:pos="1320"/>
          <w:tab w:val="left" w:pos="992"/>
        </w:tabs>
        <w:ind w:firstLine="709"/>
        <w:rPr>
          <w:rFonts w:eastAsiaTheme="minorHAnsi"/>
          <w:sz w:val="24"/>
          <w:lang w:eastAsia="en-US"/>
        </w:rPr>
      </w:pPr>
      <w:r>
        <w:rPr>
          <w:rFonts w:eastAsiaTheme="minorHAnsi"/>
          <w:sz w:val="24"/>
          <w:lang w:eastAsia="en-US"/>
        </w:rPr>
        <w:t>3.</w:t>
      </w:r>
      <w:r>
        <w:rPr>
          <w:rFonts w:eastAsiaTheme="minorHAnsi"/>
          <w:sz w:val="24"/>
          <w:lang w:eastAsia="en-US"/>
        </w:rPr>
        <w:tab/>
        <w:t>Опрос потребителей, в отношении которых за 6 месяцев 2024 года исполнен договор об осуществлении технологического присоединения к электрическим сетям филиала. В опросе приняли участие 183 респондента. Уровень удовлетворенности качеством обслуживания по вопросам технологического присоединения в целом по Обществу составил 16 баллов из 21 возможных, или 76% от возможного максимума.</w:t>
      </w:r>
    </w:p>
    <w:p w:rsidR="00D602D4" w:rsidRDefault="000B4C86">
      <w:pPr>
        <w:pStyle w:val="af9"/>
        <w:ind w:firstLine="709"/>
        <w:rPr>
          <w:rFonts w:eastAsiaTheme="minorHAnsi"/>
          <w:sz w:val="24"/>
          <w:lang w:eastAsia="en-US"/>
        </w:rPr>
      </w:pPr>
      <w:r>
        <w:rPr>
          <w:rFonts w:eastAsiaTheme="minorHAnsi"/>
          <w:sz w:val="24"/>
          <w:lang w:eastAsia="en-US"/>
        </w:rPr>
        <w:t>По всем замечаниям и предложениям потребителей, высказанными в ходе опросов, филиалами и Обществом под управлением ПАО «Россети Сибирь» будут разработаны корректирующие мероприятия, направленные на повышение уровня удовлетворенности и качества обслуживания потребителей.</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rPr>
        <w:t>Таблица 30</w:t>
      </w:r>
    </w:p>
    <w:p w:rsidR="00D602D4" w:rsidRDefault="000B4C86">
      <w:pPr>
        <w:widowControl w:val="0"/>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Структура обращений по каналам</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1"/>
        <w:gridCol w:w="851"/>
        <w:gridCol w:w="992"/>
        <w:gridCol w:w="851"/>
        <w:gridCol w:w="850"/>
        <w:gridCol w:w="1276"/>
      </w:tblGrid>
      <w:tr w:rsidR="00D602D4">
        <w:trPr>
          <w:cantSplit/>
          <w:trHeight w:val="162"/>
          <w:jc w:val="center"/>
        </w:trPr>
        <w:tc>
          <w:tcPr>
            <w:tcW w:w="4531" w:type="dxa"/>
            <w:vMerge w:val="restart"/>
            <w:shd w:val="clear" w:color="FFFFFF" w:fill="FFFFFF" w:themeFill="background1"/>
            <w:vAlign w:val="center"/>
          </w:tcPr>
          <w:p w:rsidR="00D602D4" w:rsidRDefault="000B4C86">
            <w:pPr>
              <w:widowControl w:val="0"/>
              <w:spacing w:after="5" w:line="240" w:lineRule="auto"/>
              <w:ind w:left="-113" w:right="-114"/>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Показатели</w:t>
            </w:r>
          </w:p>
        </w:tc>
        <w:tc>
          <w:tcPr>
            <w:tcW w:w="851" w:type="dxa"/>
            <w:vMerge w:val="restart"/>
            <w:shd w:val="clear" w:color="FFFFFF" w:fill="FFFFFF" w:themeFill="background1"/>
            <w:vAlign w:val="center"/>
          </w:tcPr>
          <w:p w:rsidR="00D602D4" w:rsidRDefault="000B4C86">
            <w:pPr>
              <w:widowControl w:val="0"/>
              <w:tabs>
                <w:tab w:val="left" w:pos="40"/>
              </w:tabs>
              <w:spacing w:after="5" w:line="240" w:lineRule="auto"/>
              <w:ind w:left="-111" w:right="-112"/>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Ед.изм.</w:t>
            </w:r>
          </w:p>
        </w:tc>
        <w:tc>
          <w:tcPr>
            <w:tcW w:w="3969" w:type="dxa"/>
            <w:gridSpan w:val="4"/>
            <w:shd w:val="clear" w:color="FFFFFF" w:fill="FFFFFF" w:themeFill="background1"/>
            <w:vAlign w:val="center"/>
          </w:tcPr>
          <w:p w:rsidR="00D602D4" w:rsidRDefault="000B4C86">
            <w:pPr>
              <w:widowControl w:val="0"/>
              <w:spacing w:after="5"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Период</w:t>
            </w:r>
          </w:p>
        </w:tc>
      </w:tr>
      <w:tr w:rsidR="00D602D4">
        <w:trPr>
          <w:cantSplit/>
          <w:jc w:val="center"/>
        </w:trPr>
        <w:tc>
          <w:tcPr>
            <w:tcW w:w="4531" w:type="dxa"/>
            <w:vMerge/>
            <w:shd w:val="clear" w:color="FFFFFF" w:fill="FFFFFF" w:themeFill="background1"/>
          </w:tcPr>
          <w:p w:rsidR="00D602D4" w:rsidRDefault="00D602D4">
            <w:pPr>
              <w:widowControl w:val="0"/>
              <w:spacing w:after="5"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851" w:type="dxa"/>
            <w:vMerge/>
            <w:shd w:val="clear" w:color="FFFFFF" w:fill="FFFFFF" w:themeFill="background1"/>
          </w:tcPr>
          <w:p w:rsidR="00D602D4" w:rsidRDefault="00D602D4">
            <w:pPr>
              <w:widowControl w:val="0"/>
              <w:tabs>
                <w:tab w:val="left" w:pos="40"/>
              </w:tabs>
              <w:spacing w:after="5" w:line="240" w:lineRule="auto"/>
              <w:ind w:left="426" w:right="-143" w:hanging="426"/>
              <w:jc w:val="both"/>
              <w:rPr>
                <w:rFonts w:ascii="Times New Roman" w:eastAsia="Times New Roman" w:hAnsi="Times New Roman" w:cs="Times New Roman"/>
                <w:b/>
                <w:bCs/>
                <w:color w:val="000000"/>
                <w:sz w:val="20"/>
                <w:szCs w:val="20"/>
                <w:lang w:eastAsia="ru-RU"/>
              </w:rPr>
            </w:pPr>
          </w:p>
        </w:tc>
        <w:tc>
          <w:tcPr>
            <w:tcW w:w="992" w:type="dxa"/>
            <w:shd w:val="clear" w:color="FFFFFF" w:fill="FFFFFF" w:themeFill="background1"/>
            <w:vAlign w:val="center"/>
          </w:tcPr>
          <w:p w:rsidR="00D602D4" w:rsidRDefault="000B4C86">
            <w:pPr>
              <w:widowControl w:val="0"/>
              <w:spacing w:after="0" w:line="240" w:lineRule="auto"/>
              <w:ind w:left="-113" w:right="-138"/>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2022 год</w:t>
            </w:r>
          </w:p>
          <w:p w:rsidR="00D602D4" w:rsidRDefault="000B4C86">
            <w:pPr>
              <w:widowControl w:val="0"/>
              <w:spacing w:after="5" w:line="240" w:lineRule="auto"/>
              <w:ind w:left="-96" w:right="-122"/>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w:t>
            </w:r>
          </w:p>
        </w:tc>
        <w:tc>
          <w:tcPr>
            <w:tcW w:w="851" w:type="dxa"/>
            <w:shd w:val="clear" w:color="FFFFFF" w:fill="FFFFFF" w:themeFill="background1"/>
            <w:vAlign w:val="center"/>
          </w:tcPr>
          <w:p w:rsidR="00D602D4" w:rsidRDefault="000B4C86">
            <w:pPr>
              <w:widowControl w:val="0"/>
              <w:spacing w:after="0" w:line="240" w:lineRule="auto"/>
              <w:ind w:left="-100"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год</w:t>
            </w:r>
          </w:p>
          <w:p w:rsidR="00D602D4" w:rsidRDefault="000B4C86">
            <w:pPr>
              <w:widowControl w:val="0"/>
              <w:spacing w:after="5" w:line="240" w:lineRule="auto"/>
              <w:ind w:left="-113" w:right="-138"/>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w:t>
            </w:r>
          </w:p>
        </w:tc>
        <w:tc>
          <w:tcPr>
            <w:tcW w:w="850" w:type="dxa"/>
            <w:shd w:val="clear" w:color="FFFFFF" w:fill="FFFFFF" w:themeFill="background1"/>
            <w:vAlign w:val="center"/>
          </w:tcPr>
          <w:p w:rsidR="00D602D4" w:rsidRDefault="000B4C86">
            <w:pPr>
              <w:widowControl w:val="0"/>
              <w:spacing w:after="0" w:line="240" w:lineRule="auto"/>
              <w:ind w:left="-100"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 год</w:t>
            </w:r>
          </w:p>
          <w:p w:rsidR="00D602D4" w:rsidRDefault="000B4C86">
            <w:pPr>
              <w:widowControl w:val="0"/>
              <w:spacing w:after="5" w:line="240" w:lineRule="auto"/>
              <w:ind w:left="-100"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факт</w:t>
            </w:r>
          </w:p>
        </w:tc>
        <w:tc>
          <w:tcPr>
            <w:tcW w:w="1276" w:type="dxa"/>
            <w:shd w:val="clear" w:color="FFFFFF" w:fill="FFFFFF" w:themeFill="background1"/>
            <w:vAlign w:val="center"/>
          </w:tcPr>
          <w:p w:rsidR="00D602D4" w:rsidRDefault="000B4C86">
            <w:pPr>
              <w:widowControl w:val="0"/>
              <w:spacing w:after="5" w:line="240" w:lineRule="auto"/>
              <w:ind w:left="-107"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изменение 2024/2023, %</w:t>
            </w:r>
          </w:p>
        </w:tc>
      </w:tr>
      <w:tr w:rsidR="00D602D4">
        <w:trPr>
          <w:cantSplit/>
          <w:jc w:val="center"/>
        </w:trPr>
        <w:tc>
          <w:tcPr>
            <w:tcW w:w="4531" w:type="dxa"/>
            <w:vAlign w:val="center"/>
          </w:tcPr>
          <w:p w:rsidR="00D602D4" w:rsidRDefault="000B4C86">
            <w:pPr>
              <w:widowControl w:val="0"/>
              <w:spacing w:after="5" w:line="240"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851" w:type="dxa"/>
            <w:vAlign w:val="center"/>
          </w:tcPr>
          <w:p w:rsidR="00D602D4" w:rsidRDefault="000B4C86">
            <w:pPr>
              <w:widowControl w:val="0"/>
              <w:tabs>
                <w:tab w:val="left" w:pos="40"/>
              </w:tabs>
              <w:spacing w:after="5" w:line="240" w:lineRule="auto"/>
              <w:ind w:left="-112"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992" w:type="dxa"/>
            <w:vAlign w:val="center"/>
          </w:tcPr>
          <w:p w:rsidR="00D602D4" w:rsidRDefault="000B4C86">
            <w:pPr>
              <w:widowControl w:val="0"/>
              <w:spacing w:after="5" w:line="240"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851" w:type="dxa"/>
            <w:shd w:val="clear" w:color="FFFFFF" w:fill="FFFFFF"/>
            <w:vAlign w:val="center"/>
          </w:tcPr>
          <w:p w:rsidR="00D602D4" w:rsidRDefault="000B4C86">
            <w:pPr>
              <w:widowControl w:val="0"/>
              <w:spacing w:after="5" w:line="240"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850" w:type="dxa"/>
            <w:vAlign w:val="center"/>
          </w:tcPr>
          <w:p w:rsidR="00D602D4" w:rsidRDefault="000B4C86">
            <w:pPr>
              <w:widowControl w:val="0"/>
              <w:spacing w:after="5"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c>
          <w:tcPr>
            <w:tcW w:w="1276" w:type="dxa"/>
            <w:vAlign w:val="center"/>
          </w:tcPr>
          <w:p w:rsidR="00D602D4" w:rsidRDefault="000B4C86">
            <w:pPr>
              <w:widowControl w:val="0"/>
              <w:spacing w:after="5" w:line="240"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w:t>
            </w:r>
          </w:p>
        </w:tc>
      </w:tr>
      <w:tr w:rsidR="00D602D4">
        <w:trPr>
          <w:cantSplit/>
          <w:jc w:val="center"/>
        </w:trPr>
        <w:tc>
          <w:tcPr>
            <w:tcW w:w="4531" w:type="dxa"/>
            <w:vAlign w:val="center"/>
          </w:tcPr>
          <w:p w:rsidR="00D602D4" w:rsidRDefault="000B4C86">
            <w:pPr>
              <w:widowControl w:val="0"/>
              <w:spacing w:after="0" w:line="240" w:lineRule="auto"/>
              <w:ind w:right="-142"/>
              <w:rPr>
                <w:rFonts w:ascii="Times New Roman" w:hAnsi="Times New Roman" w:cs="Times New Roman"/>
                <w:bCs/>
                <w:sz w:val="20"/>
                <w:szCs w:val="20"/>
              </w:rPr>
            </w:pPr>
            <w:r>
              <w:rPr>
                <w:rFonts w:ascii="Times New Roman" w:hAnsi="Times New Roman" w:cs="Times New Roman"/>
                <w:bCs/>
                <w:sz w:val="20"/>
                <w:szCs w:val="20"/>
              </w:rPr>
              <w:t xml:space="preserve">Офисы обслуживания </w:t>
            </w:r>
          </w:p>
        </w:tc>
        <w:tc>
          <w:tcPr>
            <w:tcW w:w="851" w:type="dxa"/>
            <w:vAlign w:val="center"/>
          </w:tcPr>
          <w:p w:rsidR="00D602D4" w:rsidRDefault="000B4C86">
            <w:pPr>
              <w:widowControl w:val="0"/>
              <w:spacing w:after="0" w:line="240" w:lineRule="auto"/>
              <w:ind w:left="426" w:right="-142" w:hanging="426"/>
              <w:rPr>
                <w:rFonts w:ascii="Times New Roman" w:hAnsi="Times New Roman" w:cs="Times New Roman"/>
                <w:sz w:val="20"/>
                <w:szCs w:val="20"/>
              </w:rPr>
            </w:pPr>
            <w:r>
              <w:rPr>
                <w:rFonts w:ascii="Times New Roman" w:hAnsi="Times New Roman" w:cs="Times New Roman"/>
                <w:sz w:val="20"/>
                <w:szCs w:val="20"/>
              </w:rPr>
              <w:t>тыс.шт.</w:t>
            </w:r>
          </w:p>
        </w:tc>
        <w:tc>
          <w:tcPr>
            <w:tcW w:w="992"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60,3</w:t>
            </w:r>
          </w:p>
        </w:tc>
        <w:tc>
          <w:tcPr>
            <w:tcW w:w="851"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63,3</w:t>
            </w:r>
          </w:p>
        </w:tc>
        <w:tc>
          <w:tcPr>
            <w:tcW w:w="850"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63,7</w:t>
            </w:r>
          </w:p>
        </w:tc>
        <w:tc>
          <w:tcPr>
            <w:tcW w:w="1276"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0,8</w:t>
            </w:r>
          </w:p>
        </w:tc>
      </w:tr>
      <w:tr w:rsidR="00D602D4">
        <w:trPr>
          <w:cantSplit/>
          <w:jc w:val="center"/>
        </w:trPr>
        <w:tc>
          <w:tcPr>
            <w:tcW w:w="4531" w:type="dxa"/>
            <w:vAlign w:val="center"/>
          </w:tcPr>
          <w:p w:rsidR="00D602D4" w:rsidRDefault="000B4C86">
            <w:pPr>
              <w:widowControl w:val="0"/>
              <w:spacing w:after="0" w:line="240" w:lineRule="auto"/>
              <w:ind w:right="-142"/>
              <w:rPr>
                <w:rFonts w:ascii="Times New Roman" w:hAnsi="Times New Roman" w:cs="Times New Roman"/>
                <w:bCs/>
                <w:sz w:val="20"/>
                <w:szCs w:val="20"/>
              </w:rPr>
            </w:pPr>
            <w:r>
              <w:rPr>
                <w:rFonts w:ascii="Times New Roman" w:hAnsi="Times New Roman" w:cs="Times New Roman"/>
                <w:bCs/>
                <w:sz w:val="20"/>
                <w:szCs w:val="20"/>
              </w:rPr>
              <w:t>Контактный-центр</w:t>
            </w:r>
          </w:p>
        </w:tc>
        <w:tc>
          <w:tcPr>
            <w:tcW w:w="851" w:type="dxa"/>
            <w:vAlign w:val="center"/>
          </w:tcPr>
          <w:p w:rsidR="00D602D4" w:rsidRDefault="000B4C86">
            <w:pPr>
              <w:widowControl w:val="0"/>
              <w:spacing w:after="0" w:line="240" w:lineRule="auto"/>
              <w:ind w:left="426" w:right="-142" w:hanging="426"/>
              <w:rPr>
                <w:rFonts w:ascii="Times New Roman" w:hAnsi="Times New Roman" w:cs="Times New Roman"/>
                <w:sz w:val="20"/>
                <w:szCs w:val="20"/>
              </w:rPr>
            </w:pPr>
            <w:r>
              <w:rPr>
                <w:rFonts w:ascii="Times New Roman" w:hAnsi="Times New Roman" w:cs="Times New Roman"/>
                <w:sz w:val="20"/>
                <w:szCs w:val="20"/>
              </w:rPr>
              <w:t>тыс.шт.</w:t>
            </w:r>
          </w:p>
        </w:tc>
        <w:tc>
          <w:tcPr>
            <w:tcW w:w="992"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366,8</w:t>
            </w:r>
          </w:p>
        </w:tc>
        <w:tc>
          <w:tcPr>
            <w:tcW w:w="851"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431,0</w:t>
            </w:r>
          </w:p>
        </w:tc>
        <w:tc>
          <w:tcPr>
            <w:tcW w:w="850"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523,3</w:t>
            </w:r>
          </w:p>
        </w:tc>
        <w:tc>
          <w:tcPr>
            <w:tcW w:w="1276"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21,4</w:t>
            </w:r>
          </w:p>
        </w:tc>
      </w:tr>
      <w:tr w:rsidR="00D602D4">
        <w:trPr>
          <w:cantSplit/>
          <w:jc w:val="center"/>
        </w:trPr>
        <w:tc>
          <w:tcPr>
            <w:tcW w:w="4531" w:type="dxa"/>
            <w:vAlign w:val="center"/>
          </w:tcPr>
          <w:p w:rsidR="00D602D4" w:rsidRDefault="000B4C86">
            <w:pPr>
              <w:widowControl w:val="0"/>
              <w:spacing w:after="0" w:line="240" w:lineRule="auto"/>
              <w:ind w:right="-142"/>
              <w:rPr>
                <w:rFonts w:ascii="Times New Roman" w:hAnsi="Times New Roman" w:cs="Times New Roman"/>
                <w:bCs/>
                <w:sz w:val="20"/>
                <w:szCs w:val="20"/>
              </w:rPr>
            </w:pPr>
            <w:r>
              <w:rPr>
                <w:rFonts w:ascii="Times New Roman" w:hAnsi="Times New Roman" w:cs="Times New Roman"/>
                <w:bCs/>
                <w:sz w:val="20"/>
                <w:szCs w:val="20"/>
              </w:rPr>
              <w:t xml:space="preserve">Почта </w:t>
            </w:r>
          </w:p>
        </w:tc>
        <w:tc>
          <w:tcPr>
            <w:tcW w:w="851" w:type="dxa"/>
            <w:vAlign w:val="center"/>
          </w:tcPr>
          <w:p w:rsidR="00D602D4" w:rsidRDefault="000B4C86">
            <w:pPr>
              <w:widowControl w:val="0"/>
              <w:spacing w:after="0" w:line="240" w:lineRule="auto"/>
              <w:ind w:left="426" w:right="-142" w:hanging="426"/>
              <w:rPr>
                <w:rFonts w:ascii="Times New Roman" w:hAnsi="Times New Roman" w:cs="Times New Roman"/>
                <w:sz w:val="20"/>
                <w:szCs w:val="20"/>
              </w:rPr>
            </w:pPr>
            <w:r>
              <w:rPr>
                <w:rFonts w:ascii="Times New Roman" w:hAnsi="Times New Roman" w:cs="Times New Roman"/>
                <w:sz w:val="20"/>
                <w:szCs w:val="20"/>
              </w:rPr>
              <w:t>тыс.шт.</w:t>
            </w:r>
          </w:p>
        </w:tc>
        <w:tc>
          <w:tcPr>
            <w:tcW w:w="992"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20,1</w:t>
            </w:r>
          </w:p>
        </w:tc>
        <w:tc>
          <w:tcPr>
            <w:tcW w:w="851"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18,6</w:t>
            </w:r>
          </w:p>
        </w:tc>
        <w:tc>
          <w:tcPr>
            <w:tcW w:w="850"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26,2</w:t>
            </w:r>
          </w:p>
        </w:tc>
        <w:tc>
          <w:tcPr>
            <w:tcW w:w="1276"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40,9</w:t>
            </w:r>
          </w:p>
        </w:tc>
      </w:tr>
      <w:tr w:rsidR="00D602D4">
        <w:trPr>
          <w:cantSplit/>
          <w:jc w:val="center"/>
        </w:trPr>
        <w:tc>
          <w:tcPr>
            <w:tcW w:w="4531" w:type="dxa"/>
            <w:vAlign w:val="center"/>
          </w:tcPr>
          <w:p w:rsidR="00D602D4" w:rsidRDefault="000B4C86">
            <w:pPr>
              <w:widowControl w:val="0"/>
              <w:spacing w:after="0" w:line="240" w:lineRule="auto"/>
              <w:ind w:right="-142"/>
              <w:rPr>
                <w:rFonts w:ascii="Times New Roman" w:hAnsi="Times New Roman" w:cs="Times New Roman"/>
                <w:bCs/>
                <w:sz w:val="20"/>
                <w:szCs w:val="20"/>
              </w:rPr>
            </w:pPr>
            <w:r>
              <w:rPr>
                <w:rFonts w:ascii="Times New Roman" w:hAnsi="Times New Roman" w:cs="Times New Roman"/>
                <w:bCs/>
                <w:sz w:val="20"/>
                <w:szCs w:val="20"/>
              </w:rPr>
              <w:t>Интерактивные сервисы</w:t>
            </w:r>
          </w:p>
        </w:tc>
        <w:tc>
          <w:tcPr>
            <w:tcW w:w="851" w:type="dxa"/>
            <w:vAlign w:val="center"/>
          </w:tcPr>
          <w:p w:rsidR="00D602D4" w:rsidRDefault="000B4C86">
            <w:pPr>
              <w:widowControl w:val="0"/>
              <w:spacing w:after="0" w:line="240" w:lineRule="auto"/>
              <w:ind w:left="426" w:right="-142" w:hanging="426"/>
              <w:rPr>
                <w:rFonts w:ascii="Times New Roman" w:hAnsi="Times New Roman" w:cs="Times New Roman"/>
                <w:sz w:val="20"/>
                <w:szCs w:val="20"/>
              </w:rPr>
            </w:pPr>
            <w:r>
              <w:rPr>
                <w:rFonts w:ascii="Times New Roman" w:hAnsi="Times New Roman" w:cs="Times New Roman"/>
                <w:sz w:val="20"/>
                <w:szCs w:val="20"/>
              </w:rPr>
              <w:t>тыс.шт.</w:t>
            </w:r>
          </w:p>
        </w:tc>
        <w:tc>
          <w:tcPr>
            <w:tcW w:w="992"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136,6</w:t>
            </w:r>
          </w:p>
        </w:tc>
        <w:tc>
          <w:tcPr>
            <w:tcW w:w="851"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95,7</w:t>
            </w:r>
          </w:p>
        </w:tc>
        <w:tc>
          <w:tcPr>
            <w:tcW w:w="850"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123,7</w:t>
            </w:r>
          </w:p>
        </w:tc>
        <w:tc>
          <w:tcPr>
            <w:tcW w:w="1276" w:type="dxa"/>
            <w:vAlign w:val="center"/>
          </w:tcPr>
          <w:p w:rsidR="00D602D4" w:rsidRDefault="000B4C86">
            <w:pPr>
              <w:widowControl w:val="0"/>
              <w:spacing w:after="0" w:line="240" w:lineRule="auto"/>
              <w:ind w:left="426" w:right="-142" w:hanging="426"/>
              <w:jc w:val="center"/>
              <w:rPr>
                <w:rFonts w:ascii="Times New Roman" w:hAnsi="Times New Roman" w:cs="Times New Roman"/>
                <w:sz w:val="20"/>
                <w:szCs w:val="20"/>
              </w:rPr>
            </w:pPr>
            <w:r>
              <w:rPr>
                <w:rFonts w:ascii="Times New Roman" w:hAnsi="Times New Roman" w:cs="Times New Roman"/>
                <w:sz w:val="20"/>
                <w:szCs w:val="20"/>
              </w:rPr>
              <w:t>29,3</w:t>
            </w:r>
          </w:p>
        </w:tc>
      </w:tr>
      <w:tr w:rsidR="00D602D4">
        <w:trPr>
          <w:cantSplit/>
          <w:trHeight w:val="318"/>
          <w:jc w:val="center"/>
        </w:trPr>
        <w:tc>
          <w:tcPr>
            <w:tcW w:w="4531" w:type="dxa"/>
            <w:vAlign w:val="center"/>
          </w:tcPr>
          <w:p w:rsidR="00D602D4" w:rsidRDefault="000B4C86">
            <w:pPr>
              <w:spacing w:after="0" w:line="240" w:lineRule="auto"/>
              <w:rPr>
                <w:rFonts w:ascii="Times New Roman" w:hAnsi="Times New Roman" w:cs="Times New Roman"/>
                <w:bCs/>
                <w:sz w:val="20"/>
                <w:szCs w:val="20"/>
              </w:rPr>
            </w:pPr>
            <w:r>
              <w:rPr>
                <w:rFonts w:ascii="Times New Roman" w:hAnsi="Times New Roman" w:cs="Times New Roman"/>
                <w:bCs/>
                <w:sz w:val="20"/>
                <w:szCs w:val="20"/>
              </w:rPr>
              <w:t>Социальные сети и мессенджеры</w:t>
            </w:r>
          </w:p>
        </w:tc>
        <w:tc>
          <w:tcPr>
            <w:tcW w:w="851" w:type="dxa"/>
            <w:vAlign w:val="center"/>
          </w:tcPr>
          <w:p w:rsidR="00D602D4" w:rsidRDefault="000B4C86">
            <w:pPr>
              <w:widowControl w:val="0"/>
              <w:spacing w:after="0" w:line="240" w:lineRule="auto"/>
              <w:ind w:left="426" w:right="-142" w:hanging="426"/>
              <w:rPr>
                <w:rFonts w:ascii="Times New Roman" w:hAnsi="Times New Roman" w:cs="Times New Roman"/>
                <w:sz w:val="20"/>
                <w:szCs w:val="20"/>
              </w:rPr>
            </w:pPr>
            <w:r>
              <w:rPr>
                <w:rFonts w:ascii="Times New Roman" w:hAnsi="Times New Roman" w:cs="Times New Roman"/>
                <w:sz w:val="20"/>
                <w:szCs w:val="20"/>
              </w:rPr>
              <w:t>тыс.шт.</w:t>
            </w:r>
          </w:p>
        </w:tc>
        <w:tc>
          <w:tcPr>
            <w:tcW w:w="992" w:type="dxa"/>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851" w:type="dxa"/>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3,9</w:t>
            </w:r>
          </w:p>
        </w:tc>
        <w:tc>
          <w:tcPr>
            <w:tcW w:w="850" w:type="dxa"/>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3,9</w:t>
            </w:r>
          </w:p>
        </w:tc>
        <w:tc>
          <w:tcPr>
            <w:tcW w:w="1276" w:type="dxa"/>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r>
    </w:tbl>
    <w:p w:rsidR="00D602D4" w:rsidRDefault="00D602D4">
      <w:pPr>
        <w:widowControl w:val="0"/>
        <w:spacing w:after="0" w:line="240" w:lineRule="auto"/>
        <w:jc w:val="center"/>
        <w:rPr>
          <w:rFonts w:ascii="Times New Roman" w:hAnsi="Times New Roman" w:cs="Times New Roman"/>
          <w:sz w:val="24"/>
          <w:szCs w:val="24"/>
        </w:rPr>
      </w:pPr>
    </w:p>
    <w:p w:rsidR="00D602D4" w:rsidRDefault="00D602D4">
      <w:pPr>
        <w:widowControl w:val="0"/>
        <w:spacing w:after="0" w:line="240" w:lineRule="auto"/>
        <w:jc w:val="center"/>
        <w:rPr>
          <w:rFonts w:ascii="Times New Roman" w:hAnsi="Times New Roman" w:cs="Times New Roman"/>
          <w:sz w:val="24"/>
          <w:szCs w:val="24"/>
        </w:rPr>
      </w:pPr>
    </w:p>
    <w:p w:rsidR="00D602D4" w:rsidRDefault="00D602D4">
      <w:pPr>
        <w:widowControl w:val="0"/>
        <w:spacing w:after="0" w:line="240" w:lineRule="auto"/>
        <w:jc w:val="center"/>
        <w:rPr>
          <w:rFonts w:ascii="Times New Roman" w:hAnsi="Times New Roman" w:cs="Times New Roman"/>
          <w:sz w:val="24"/>
          <w:szCs w:val="24"/>
        </w:rPr>
      </w:pPr>
    </w:p>
    <w:p w:rsidR="00D602D4" w:rsidRDefault="00D602D4">
      <w:pPr>
        <w:widowControl w:val="0"/>
        <w:spacing w:after="0" w:line="240" w:lineRule="auto"/>
        <w:jc w:val="center"/>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D602D4">
      <w:pPr>
        <w:widowControl w:val="0"/>
        <w:spacing w:after="0" w:line="240" w:lineRule="auto"/>
        <w:rPr>
          <w:rFonts w:ascii="Times New Roman" w:hAnsi="Times New Roman" w:cs="Times New Roman"/>
          <w:sz w:val="24"/>
          <w:szCs w:val="24"/>
        </w:rPr>
      </w:pPr>
    </w:p>
    <w:p w:rsidR="00D602D4" w:rsidRDefault="000B4C86">
      <w:pPr>
        <w:widowControl w:val="0"/>
        <w:spacing w:after="0" w:line="240" w:lineRule="auto"/>
        <w:rPr>
          <w:rFonts w:ascii="Times New Roman" w:hAnsi="Times New Roman" w:cs="Times New Roman"/>
          <w:sz w:val="24"/>
          <w:szCs w:val="24"/>
        </w:rPr>
      </w:pPr>
      <w:bookmarkStart w:id="35" w:name="_Toc38"/>
      <w:r>
        <w:rPr>
          <w:rFonts w:ascii="Times New Roman" w:eastAsia="Times New Roman" w:hAnsi="Times New Roman" w:cs="Times New Roman"/>
          <w:b/>
          <w:color w:val="000000" w:themeColor="text1"/>
          <w:sz w:val="26"/>
          <w:szCs w:val="26"/>
        </w:rPr>
        <w:t>3.1.8. Инвестиционная деятельность</w:t>
      </w:r>
      <w:bookmarkEnd w:id="35"/>
    </w:p>
    <w:p w:rsidR="00D602D4" w:rsidRDefault="00D602D4">
      <w:pPr>
        <w:pStyle w:val="13"/>
        <w:spacing w:before="0" w:line="240" w:lineRule="auto"/>
        <w:jc w:val="both"/>
        <w:rPr>
          <w:rFonts w:ascii="Times New Roman" w:hAnsi="Times New Roman" w:cs="Times New Roman"/>
          <w:color w:val="000000" w:themeColor="text1"/>
          <w:sz w:val="24"/>
          <w:szCs w:val="24"/>
        </w:rPr>
      </w:pPr>
    </w:p>
    <w:p w:rsidR="00D602D4" w:rsidRDefault="000B4C86">
      <w:pPr>
        <w:pStyle w:val="13"/>
        <w:spacing w:before="0" w:line="240" w:lineRule="auto"/>
        <w:ind w:firstLine="709"/>
        <w:jc w:val="both"/>
        <w:rPr>
          <w:rFonts w:ascii="Times New Roman" w:eastAsia="Times New Roman" w:hAnsi="Times New Roman" w:cs="Times New Roman"/>
          <w:b/>
          <w:bCs/>
          <w:color w:val="000000" w:themeColor="text1"/>
          <w:sz w:val="24"/>
          <w:szCs w:val="24"/>
        </w:rPr>
      </w:pPr>
      <w:bookmarkStart w:id="36" w:name="_Toc39"/>
      <w:r>
        <w:rPr>
          <w:rFonts w:ascii="Times New Roman" w:eastAsia="Times New Roman" w:hAnsi="Times New Roman" w:cs="Times New Roman"/>
          <w:b/>
          <w:bCs/>
          <w:color w:val="000000" w:themeColor="text1"/>
          <w:sz w:val="24"/>
          <w:szCs w:val="24"/>
        </w:rPr>
        <w:t>Параметры инвестиционной программы.</w:t>
      </w:r>
      <w:bookmarkEnd w:id="36"/>
    </w:p>
    <w:p w:rsidR="00D602D4" w:rsidRDefault="000B4C86">
      <w:pPr>
        <w:pStyle w:val="af9"/>
        <w:shd w:val="clear" w:color="auto" w:fill="FFFFFF" w:themeFill="background1"/>
        <w:ind w:firstLine="709"/>
        <w:rPr>
          <w:sz w:val="24"/>
        </w:rPr>
      </w:pPr>
      <w:r>
        <w:rPr>
          <w:sz w:val="24"/>
        </w:rPr>
        <w:t>Инвестиционная программа ПАО «Россети Сибирь» на 2024 год утверждена приказом Минэнерго России от 24.12.2024 №46@ «Об утверждении инвестиционной программы ПАО «Россети Сибирь» на 2024 – 2029 годы и изменений, вносимых в инвестиционную программу ПАО «Россети Сибирь», утвержденную приказом Минэнерго России от 19.12.2023 № 23@».</w:t>
      </w:r>
    </w:p>
    <w:p w:rsidR="00D602D4" w:rsidRDefault="00D602D4">
      <w:pPr>
        <w:pStyle w:val="afa"/>
        <w:shd w:val="clear" w:color="auto" w:fill="FFFFFF" w:themeFill="background1"/>
        <w:spacing w:after="0"/>
        <w:ind w:firstLine="709"/>
        <w:jc w:val="right"/>
        <w:rPr>
          <w:b w:val="0"/>
          <w:i w:val="0"/>
        </w:rPr>
      </w:pPr>
    </w:p>
    <w:p w:rsidR="00D602D4" w:rsidRDefault="000B4C86">
      <w:pPr>
        <w:pStyle w:val="afa"/>
        <w:shd w:val="clear" w:color="auto" w:fill="FFFFFF" w:themeFill="background1"/>
        <w:spacing w:after="0"/>
        <w:ind w:firstLine="709"/>
        <w:jc w:val="right"/>
        <w:rPr>
          <w:b w:val="0"/>
          <w:i w:val="0"/>
        </w:rPr>
      </w:pPr>
      <w:r>
        <w:rPr>
          <w:b w:val="0"/>
          <w:i w:val="0"/>
          <w:szCs w:val="24"/>
        </w:rPr>
        <w:t>Таблица 31</w:t>
      </w:r>
    </w:p>
    <w:p w:rsidR="00D602D4" w:rsidRDefault="000B4C86">
      <w:pPr>
        <w:pStyle w:val="afa"/>
        <w:shd w:val="clear" w:color="auto" w:fill="FFFFFF" w:themeFill="background1"/>
        <w:spacing w:after="0"/>
        <w:ind w:firstLine="709"/>
        <w:rPr>
          <w:b w:val="0"/>
          <w:i w:val="0"/>
          <w:sz w:val="22"/>
          <w:szCs w:val="22"/>
        </w:rPr>
      </w:pPr>
      <w:r>
        <w:rPr>
          <w:b w:val="0"/>
          <w:i w:val="0"/>
          <w:szCs w:val="24"/>
        </w:rPr>
        <w:t>С</w:t>
      </w:r>
      <w:r>
        <w:rPr>
          <w:b w:val="0"/>
          <w:bCs/>
          <w:i w:val="0"/>
          <w:szCs w:val="24"/>
        </w:rPr>
        <w:t>тоимостные и физические показатели инвестиционной деятельности</w:t>
      </w:r>
      <w:r>
        <w:rPr>
          <w:b w:val="0"/>
          <w:i w:val="0"/>
          <w:szCs w:val="24"/>
        </w:rPr>
        <w:t xml:space="preserve">                              ПАО «Россети Сибирь» за период 2022-2024 годы. </w:t>
      </w:r>
    </w:p>
    <w:tbl>
      <w:tblPr>
        <w:tblStyle w:val="83"/>
        <w:tblW w:w="9780" w:type="dxa"/>
        <w:tblInd w:w="5" w:type="dxa"/>
        <w:tblLayout w:type="fixed"/>
        <w:tblLook w:val="04A0" w:firstRow="1" w:lastRow="0" w:firstColumn="1" w:lastColumn="0" w:noHBand="0" w:noVBand="1"/>
      </w:tblPr>
      <w:tblGrid>
        <w:gridCol w:w="4819"/>
        <w:gridCol w:w="1134"/>
        <w:gridCol w:w="1134"/>
        <w:gridCol w:w="1134"/>
        <w:gridCol w:w="1559"/>
      </w:tblGrid>
      <w:tr w:rsidR="00D602D4">
        <w:trPr>
          <w:trHeight w:val="219"/>
        </w:trPr>
        <w:tc>
          <w:tcPr>
            <w:tcW w:w="4819"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ind w:left="142"/>
              <w:rPr>
                <w:rFonts w:ascii="Times New Roman" w:hAnsi="Times New Roman" w:cs="Times New Roman"/>
                <w:sz w:val="24"/>
                <w:szCs w:val="24"/>
              </w:rPr>
            </w:pPr>
            <w:r>
              <w:rPr>
                <w:rFonts w:ascii="Times New Roman" w:hAnsi="Times New Roman" w:cs="Times New Roman"/>
                <w:sz w:val="20"/>
                <w:szCs w:val="20"/>
              </w:rPr>
              <w:t>Наименование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eastAsia="Times New Roman" w:hAnsi="Times New Roman" w:cs="Times New Roman"/>
                <w:bCs/>
                <w:color w:val="000000"/>
                <w:sz w:val="20"/>
                <w:szCs w:val="20"/>
              </w:rPr>
              <w:t>2022 год</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eastAsia="Times New Roman" w:hAnsi="Times New Roman" w:cs="Times New Roman"/>
                <w:bCs/>
                <w:color w:val="000000"/>
                <w:sz w:val="20"/>
                <w:szCs w:val="20"/>
              </w:rPr>
              <w:t>2023 год</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2024 год</w:t>
            </w:r>
          </w:p>
        </w:tc>
        <w:tc>
          <w:tcPr>
            <w:tcW w:w="1559"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eastAsia="Times New Roman" w:hAnsi="Times New Roman" w:cs="Times New Roman"/>
                <w:bCs/>
                <w:color w:val="000000"/>
                <w:sz w:val="20"/>
                <w:szCs w:val="20"/>
              </w:rPr>
              <w:t>2024/2023, %</w:t>
            </w:r>
          </w:p>
        </w:tc>
      </w:tr>
      <w:tr w:rsidR="00D602D4">
        <w:tc>
          <w:tcPr>
            <w:tcW w:w="4819"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rPr>
                <w:rFonts w:ascii="Times New Roman" w:hAnsi="Times New Roman" w:cs="Times New Roman"/>
                <w:sz w:val="24"/>
                <w:szCs w:val="24"/>
              </w:rPr>
            </w:pPr>
          </w:p>
        </w:tc>
        <w:tc>
          <w:tcPr>
            <w:tcW w:w="1134" w:type="dxa"/>
            <w:tcBorders>
              <w:left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eastAsia="Times New Roman" w:hAnsi="Times New Roman" w:cs="Times New Roman"/>
                <w:bCs/>
                <w:color w:val="000000"/>
                <w:sz w:val="20"/>
                <w:szCs w:val="20"/>
              </w:rPr>
              <w:t>факт</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eastAsia="Times New Roman" w:hAnsi="Times New Roman" w:cs="Times New Roman"/>
                <w:bCs/>
                <w:color w:val="000000"/>
                <w:sz w:val="20"/>
                <w:szCs w:val="20"/>
              </w:rPr>
              <w:t>факт</w:t>
            </w:r>
          </w:p>
        </w:tc>
        <w:tc>
          <w:tcPr>
            <w:tcW w:w="1134" w:type="dxa"/>
            <w:tcBorders>
              <w:left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факт</w:t>
            </w:r>
          </w:p>
        </w:tc>
        <w:tc>
          <w:tcPr>
            <w:tcW w:w="1559"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bCs/>
                <w:color w:val="000000"/>
                <w:sz w:val="24"/>
                <w:szCs w:val="24"/>
              </w:rPr>
            </w:pPr>
          </w:p>
        </w:tc>
      </w:tr>
      <w:tr w:rsidR="00D602D4">
        <w:tc>
          <w:tcPr>
            <w:tcW w:w="4819"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14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0"/>
                <w:szCs w:val="20"/>
              </w:rPr>
              <w:t>Объем финансирования,</w:t>
            </w:r>
          </w:p>
          <w:p w:rsidR="00D602D4" w:rsidRDefault="000B4C86">
            <w:pPr>
              <w:spacing w:after="5" w:line="252" w:lineRule="auto"/>
              <w:ind w:left="142"/>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0"/>
                <w:szCs w:val="20"/>
              </w:rPr>
              <w:t>млн руб. с НДС</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7 990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13 518</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14 034</w:t>
            </w:r>
          </w:p>
        </w:tc>
        <w:tc>
          <w:tcPr>
            <w:tcW w:w="1559"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4</w:t>
            </w:r>
          </w:p>
        </w:tc>
      </w:tr>
      <w:tr w:rsidR="00D602D4">
        <w:tc>
          <w:tcPr>
            <w:tcW w:w="4819"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142"/>
              <w:rPr>
                <w:rFonts w:ascii="Times New Roman" w:eastAsia="Times New Roman" w:hAnsi="Times New Roman" w:cs="Times New Roman"/>
                <w:bCs/>
                <w:color w:val="000000"/>
                <w:sz w:val="24"/>
                <w:szCs w:val="24"/>
              </w:rPr>
            </w:pPr>
            <w:r>
              <w:rPr>
                <w:rFonts w:ascii="Times New Roman" w:eastAsia="Times New Roman" w:hAnsi="Times New Roman" w:cs="Times New Roman"/>
                <w:color w:val="000000"/>
                <w:sz w:val="20"/>
                <w:szCs w:val="20"/>
              </w:rPr>
              <w:t xml:space="preserve">Объем освоения капитальных вложений, </w:t>
            </w:r>
            <w:r>
              <w:rPr>
                <w:rFonts w:ascii="Times New Roman" w:eastAsia="Times New Roman" w:hAnsi="Times New Roman" w:cs="Times New Roman"/>
                <w:bCs/>
                <w:color w:val="000000"/>
                <w:sz w:val="20"/>
                <w:szCs w:val="20"/>
              </w:rPr>
              <w:t>млн руб. без НДС</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6 552</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9 624</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11 851</w:t>
            </w:r>
          </w:p>
        </w:tc>
        <w:tc>
          <w:tcPr>
            <w:tcW w:w="1559"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23</w:t>
            </w:r>
          </w:p>
        </w:tc>
      </w:tr>
      <w:tr w:rsidR="00D602D4">
        <w:tc>
          <w:tcPr>
            <w:tcW w:w="4819"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14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0"/>
                <w:szCs w:val="20"/>
              </w:rPr>
              <w:t xml:space="preserve">Ввод в состав основных средств, </w:t>
            </w:r>
          </w:p>
          <w:p w:rsidR="00D602D4" w:rsidRDefault="000B4C86">
            <w:pPr>
              <w:spacing w:after="5" w:line="252" w:lineRule="auto"/>
              <w:ind w:left="142"/>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0"/>
                <w:szCs w:val="20"/>
              </w:rPr>
              <w:t>млн руб. без НДС</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7 387</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8 811</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9 690</w:t>
            </w:r>
          </w:p>
        </w:tc>
        <w:tc>
          <w:tcPr>
            <w:tcW w:w="1559"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10</w:t>
            </w:r>
          </w:p>
        </w:tc>
      </w:tr>
      <w:tr w:rsidR="00D602D4">
        <w:tc>
          <w:tcPr>
            <w:tcW w:w="4819" w:type="dxa"/>
            <w:tcBorders>
              <w:top w:val="single" w:sz="4" w:space="0" w:color="000000"/>
              <w:left w:val="single" w:sz="4" w:space="0" w:color="000000"/>
              <w:bottom w:val="single" w:sz="4" w:space="0" w:color="000000"/>
              <w:right w:val="single" w:sz="4" w:space="0" w:color="000000"/>
            </w:tcBorders>
          </w:tcPr>
          <w:p w:rsidR="00D602D4" w:rsidRDefault="000B4C86">
            <w:pPr>
              <w:ind w:left="142"/>
              <w:rPr>
                <w:rFonts w:ascii="Times New Roman" w:hAnsi="Times New Roman" w:cs="Times New Roman"/>
                <w:sz w:val="24"/>
                <w:szCs w:val="24"/>
              </w:rPr>
            </w:pPr>
            <w:r>
              <w:rPr>
                <w:rFonts w:ascii="Times New Roman" w:eastAsia="Times New Roman" w:hAnsi="Times New Roman" w:cs="Times New Roman"/>
                <w:color w:val="000000"/>
                <w:sz w:val="20"/>
                <w:szCs w:val="20"/>
              </w:rPr>
              <w:t>Ввод в состав основных средств трансформаторной  мощности, МВА</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177</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336</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1 054</w:t>
            </w:r>
          </w:p>
        </w:tc>
        <w:tc>
          <w:tcPr>
            <w:tcW w:w="1559"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214</w:t>
            </w:r>
          </w:p>
        </w:tc>
      </w:tr>
      <w:tr w:rsidR="00D602D4">
        <w:tc>
          <w:tcPr>
            <w:tcW w:w="4819" w:type="dxa"/>
            <w:tcBorders>
              <w:top w:val="single" w:sz="4" w:space="0" w:color="000000"/>
              <w:left w:val="single" w:sz="4" w:space="0" w:color="000000"/>
              <w:bottom w:val="single" w:sz="4" w:space="0" w:color="000000"/>
              <w:right w:val="single" w:sz="4" w:space="0" w:color="000000"/>
            </w:tcBorders>
          </w:tcPr>
          <w:p w:rsidR="00D602D4" w:rsidRDefault="000B4C86">
            <w:pPr>
              <w:ind w:left="142"/>
              <w:rPr>
                <w:rFonts w:ascii="Times New Roman" w:hAnsi="Times New Roman" w:cs="Times New Roman"/>
                <w:sz w:val="24"/>
                <w:szCs w:val="24"/>
              </w:rPr>
            </w:pPr>
            <w:r>
              <w:rPr>
                <w:rFonts w:ascii="Times New Roman" w:eastAsia="Times New Roman" w:hAnsi="Times New Roman" w:cs="Times New Roman"/>
                <w:color w:val="000000"/>
                <w:sz w:val="20"/>
                <w:szCs w:val="20"/>
              </w:rPr>
              <w:t xml:space="preserve">Ввод в состав основных средств линий электропередачи, </w:t>
            </w:r>
            <w:r>
              <w:rPr>
                <w:rFonts w:ascii="Times New Roman" w:eastAsia="Times New Roman" w:hAnsi="Times New Roman" w:cs="Times New Roman"/>
                <w:bCs/>
                <w:color w:val="000000"/>
                <w:sz w:val="20"/>
                <w:szCs w:val="20"/>
              </w:rPr>
              <w:t>км</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1 623</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1802</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2 346</w:t>
            </w:r>
          </w:p>
        </w:tc>
        <w:tc>
          <w:tcPr>
            <w:tcW w:w="1559"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4"/>
                <w:szCs w:val="24"/>
              </w:rPr>
            </w:pPr>
            <w:r>
              <w:rPr>
                <w:rFonts w:ascii="Times New Roman" w:hAnsi="Times New Roman" w:cs="Times New Roman"/>
                <w:sz w:val="20"/>
                <w:szCs w:val="20"/>
              </w:rPr>
              <w:t>30</w:t>
            </w:r>
          </w:p>
        </w:tc>
      </w:tr>
    </w:tbl>
    <w:p w:rsidR="00D602D4" w:rsidRDefault="00D602D4">
      <w:pPr>
        <w:pStyle w:val="af9"/>
        <w:shd w:val="clear" w:color="auto" w:fill="FFFFFF" w:themeFill="background1"/>
        <w:ind w:firstLine="0"/>
        <w:rPr>
          <w:sz w:val="24"/>
        </w:rPr>
      </w:pPr>
    </w:p>
    <w:p w:rsidR="00D602D4" w:rsidRDefault="000B4C86">
      <w:pPr>
        <w:pStyle w:val="af9"/>
        <w:ind w:firstLine="709"/>
        <w:rPr>
          <w:sz w:val="24"/>
        </w:rPr>
      </w:pPr>
      <w:r>
        <w:rPr>
          <w:sz w:val="24"/>
        </w:rPr>
        <w:t>Финансирование капитальных вложений в целом по ПАО «Россети Сибирь» в 2024 году увеличилось по сравнению с 2023 годом на 4%, в связи с реализацией объектов технологического присоединения, в соответствии с заключенными договорами ТП.</w:t>
      </w:r>
    </w:p>
    <w:p w:rsidR="00D602D4" w:rsidRDefault="00D602D4">
      <w:pPr>
        <w:pStyle w:val="af9"/>
        <w:ind w:firstLine="709"/>
        <w:rPr>
          <w:sz w:val="24"/>
        </w:rPr>
      </w:pPr>
    </w:p>
    <w:p w:rsidR="00D602D4" w:rsidRDefault="000B4C86">
      <w:pPr>
        <w:pStyle w:val="220"/>
        <w:shd w:val="clear" w:color="auto" w:fill="FFFFFF" w:themeFill="background1"/>
        <w:spacing w:after="0"/>
        <w:ind w:left="0" w:firstLine="709"/>
        <w:rPr>
          <w:sz w:val="24"/>
          <w:szCs w:val="24"/>
        </w:rPr>
      </w:pPr>
      <w:bookmarkStart w:id="37" w:name="_Toc40"/>
      <w:r>
        <w:rPr>
          <w:sz w:val="24"/>
          <w:szCs w:val="24"/>
        </w:rPr>
        <w:t>Направление и структура финансирования капитальных вложений</w:t>
      </w:r>
      <w:bookmarkEnd w:id="37"/>
    </w:p>
    <w:p w:rsidR="00D602D4" w:rsidRDefault="000B4C86">
      <w:pPr>
        <w:shd w:val="clear" w:color="auto" w:fill="FFFFFF" w:themeFill="background1"/>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32</w:t>
      </w:r>
    </w:p>
    <w:p w:rsidR="00D602D4" w:rsidRDefault="000B4C86">
      <w:pPr>
        <w:pStyle w:val="af9"/>
        <w:shd w:val="clear" w:color="auto" w:fill="FFFFFF" w:themeFill="background1"/>
        <w:ind w:firstLine="709"/>
        <w:rPr>
          <w:bCs/>
          <w:color w:val="000000"/>
          <w:sz w:val="24"/>
        </w:rPr>
      </w:pPr>
      <w:r>
        <w:rPr>
          <w:bCs/>
          <w:color w:val="000000"/>
          <w:sz w:val="24"/>
        </w:rPr>
        <w:t>Структура финансирования капитальных вложений, млн руб. с НДС</w:t>
      </w:r>
    </w:p>
    <w:tbl>
      <w:tblPr>
        <w:tblW w:w="4846" w:type="pct"/>
        <w:jc w:val="center"/>
        <w:tblLayout w:type="fixed"/>
        <w:tblLook w:val="04A0" w:firstRow="1" w:lastRow="0" w:firstColumn="1" w:lastColumn="0" w:noHBand="0" w:noVBand="1"/>
      </w:tblPr>
      <w:tblGrid>
        <w:gridCol w:w="5777"/>
        <w:gridCol w:w="1300"/>
        <w:gridCol w:w="1300"/>
        <w:gridCol w:w="1310"/>
      </w:tblGrid>
      <w:tr w:rsidR="00D602D4">
        <w:trPr>
          <w:trHeight w:val="275"/>
          <w:tblHeader/>
          <w:jc w:val="center"/>
        </w:trPr>
        <w:tc>
          <w:tcPr>
            <w:tcW w:w="5777"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hd w:val="clear" w:color="auto" w:fill="FFFFFF" w:themeFill="background1"/>
              <w:spacing w:after="0" w:line="240" w:lineRule="auto"/>
              <w:jc w:val="center"/>
              <w:rPr>
                <w:rFonts w:ascii="Times New Roman" w:hAnsi="Times New Roman" w:cs="Times New Roman"/>
                <w:color w:val="000000"/>
              </w:rPr>
            </w:pPr>
            <w:r>
              <w:rPr>
                <w:rFonts w:ascii="Times New Roman" w:hAnsi="Times New Roman" w:cs="Times New Roman"/>
                <w:color w:val="000000"/>
                <w:sz w:val="20"/>
                <w:szCs w:val="20"/>
              </w:rPr>
              <w:t>ДЗО ПАО «Россети»</w:t>
            </w:r>
          </w:p>
        </w:tc>
        <w:tc>
          <w:tcPr>
            <w:tcW w:w="1300" w:type="dxa"/>
            <w:tcBorders>
              <w:top w:val="single" w:sz="4" w:space="0" w:color="000000"/>
              <w:left w:val="non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2022</w:t>
            </w:r>
          </w:p>
        </w:tc>
        <w:tc>
          <w:tcPr>
            <w:tcW w:w="130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2023</w:t>
            </w:r>
          </w:p>
        </w:tc>
        <w:tc>
          <w:tcPr>
            <w:tcW w:w="1310"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2024</w:t>
            </w:r>
          </w:p>
        </w:tc>
      </w:tr>
      <w:tr w:rsidR="00D602D4">
        <w:trPr>
          <w:trHeight w:val="275"/>
          <w:tblHeader/>
          <w:jc w:val="center"/>
        </w:trPr>
        <w:tc>
          <w:tcPr>
            <w:tcW w:w="5777"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hd w:val="clear" w:color="auto" w:fill="FFFFFF" w:themeFill="background1"/>
              <w:spacing w:after="0" w:line="240" w:lineRule="auto"/>
              <w:rPr>
                <w:rFonts w:ascii="Times New Roman" w:hAnsi="Times New Roman" w:cs="Times New Roman"/>
                <w:color w:val="000000"/>
              </w:rPr>
            </w:pPr>
          </w:p>
        </w:tc>
        <w:tc>
          <w:tcPr>
            <w:tcW w:w="130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факт</w:t>
            </w:r>
          </w:p>
        </w:tc>
        <w:tc>
          <w:tcPr>
            <w:tcW w:w="130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факт</w:t>
            </w:r>
          </w:p>
        </w:tc>
        <w:tc>
          <w:tcPr>
            <w:tcW w:w="1310"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факт</w:t>
            </w:r>
          </w:p>
        </w:tc>
      </w:tr>
      <w:tr w:rsidR="00D602D4">
        <w:trPr>
          <w:trHeight w:val="239"/>
          <w:jc w:val="center"/>
        </w:trPr>
        <w:tc>
          <w:tcPr>
            <w:tcW w:w="5777"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hd w:val="clear" w:color="auto" w:fill="FFFFFF" w:themeFill="background1"/>
              <w:spacing w:after="0" w:line="240" w:lineRule="auto"/>
              <w:rPr>
                <w:rFonts w:ascii="Times New Roman" w:hAnsi="Times New Roman" w:cs="Times New Roman"/>
                <w:b/>
                <w:bCs/>
                <w:color w:val="000000"/>
              </w:rPr>
            </w:pPr>
            <w:r>
              <w:rPr>
                <w:rFonts w:ascii="Times New Roman" w:hAnsi="Times New Roman" w:cs="Times New Roman"/>
                <w:b/>
                <w:bCs/>
                <w:color w:val="000000"/>
                <w:sz w:val="20"/>
                <w:szCs w:val="20"/>
              </w:rPr>
              <w:t>Итого по ПАО «Россети Сибирь»</w:t>
            </w:r>
          </w:p>
        </w:tc>
        <w:tc>
          <w:tcPr>
            <w:tcW w:w="1300" w:type="dxa"/>
            <w:tcBorders>
              <w:top w:val="single" w:sz="4" w:space="0" w:color="000000"/>
              <w:left w:val="non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b/>
              </w:rPr>
            </w:pPr>
            <w:r>
              <w:rPr>
                <w:rFonts w:ascii="Times New Roman" w:hAnsi="Times New Roman" w:cs="Times New Roman"/>
                <w:b/>
                <w:sz w:val="20"/>
                <w:szCs w:val="20"/>
              </w:rPr>
              <w:t>7 990</w:t>
            </w:r>
          </w:p>
        </w:tc>
        <w:tc>
          <w:tcPr>
            <w:tcW w:w="130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rPr>
            </w:pPr>
            <w:r>
              <w:rPr>
                <w:rFonts w:ascii="Times New Roman" w:hAnsi="Times New Roman" w:cs="Times New Roman"/>
                <w:b/>
                <w:sz w:val="20"/>
                <w:szCs w:val="20"/>
              </w:rPr>
              <w:t>13 518</w:t>
            </w:r>
          </w:p>
        </w:tc>
        <w:tc>
          <w:tcPr>
            <w:tcW w:w="1310" w:type="dxa"/>
            <w:tcBorders>
              <w:top w:val="single" w:sz="4" w:space="0" w:color="000000"/>
              <w:left w:val="single" w:sz="4" w:space="0" w:color="000000"/>
              <w:bottom w:val="single" w:sz="4" w:space="0" w:color="000000"/>
              <w:right w:val="single" w:sz="4" w:space="0" w:color="000000"/>
            </w:tcBorders>
            <w:shd w:val="clear" w:color="FFFFFF" w:fill="FFFFFF"/>
            <w:noWrap/>
          </w:tcPr>
          <w:p w:rsidR="00D602D4" w:rsidRDefault="000B4C86">
            <w:pPr>
              <w:spacing w:after="0" w:line="240" w:lineRule="auto"/>
              <w:jc w:val="center"/>
              <w:rPr>
                <w:rFonts w:ascii="Times New Roman" w:hAnsi="Times New Roman" w:cs="Times New Roman"/>
                <w:b/>
              </w:rPr>
            </w:pPr>
            <w:r>
              <w:rPr>
                <w:rFonts w:ascii="Times New Roman" w:hAnsi="Times New Roman" w:cs="Times New Roman"/>
                <w:b/>
                <w:sz w:val="20"/>
                <w:szCs w:val="20"/>
              </w:rPr>
              <w:t>14 034</w:t>
            </w:r>
          </w:p>
        </w:tc>
      </w:tr>
      <w:tr w:rsidR="00D602D4">
        <w:trPr>
          <w:trHeight w:val="260"/>
          <w:jc w:val="center"/>
        </w:trPr>
        <w:tc>
          <w:tcPr>
            <w:tcW w:w="577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D602D4" w:rsidRDefault="000B4C86">
            <w:pPr>
              <w:shd w:val="clear" w:color="auto" w:fill="FFFFFF" w:themeFill="background1"/>
              <w:spacing w:after="0" w:line="240" w:lineRule="auto"/>
              <w:rPr>
                <w:rFonts w:ascii="Times New Roman" w:hAnsi="Times New Roman" w:cs="Times New Roman"/>
                <w:color w:val="000000"/>
              </w:rPr>
            </w:pPr>
            <w:r>
              <w:rPr>
                <w:rFonts w:ascii="Times New Roman" w:hAnsi="Times New Roman" w:cs="Times New Roman"/>
                <w:color w:val="000000"/>
                <w:sz w:val="20"/>
                <w:szCs w:val="20"/>
              </w:rPr>
              <w:t>Технологическое присоединение</w:t>
            </w:r>
          </w:p>
        </w:tc>
        <w:tc>
          <w:tcPr>
            <w:tcW w:w="1300" w:type="dxa"/>
            <w:tcBorders>
              <w:top w:val="singl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3 780</w:t>
            </w:r>
          </w:p>
        </w:tc>
        <w:tc>
          <w:tcPr>
            <w:tcW w:w="130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7 098</w:t>
            </w:r>
          </w:p>
        </w:tc>
        <w:tc>
          <w:tcPr>
            <w:tcW w:w="1310"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8 611</w:t>
            </w:r>
          </w:p>
        </w:tc>
      </w:tr>
      <w:tr w:rsidR="00D602D4">
        <w:trPr>
          <w:trHeight w:val="260"/>
          <w:jc w:val="center"/>
        </w:trPr>
        <w:tc>
          <w:tcPr>
            <w:tcW w:w="577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D602D4" w:rsidRDefault="000B4C86">
            <w:pPr>
              <w:shd w:val="clear" w:color="auto" w:fill="FFFFFF" w:themeFill="background1"/>
              <w:spacing w:after="0" w:line="240" w:lineRule="auto"/>
              <w:rPr>
                <w:rFonts w:ascii="Times New Roman" w:hAnsi="Times New Roman" w:cs="Times New Roman"/>
                <w:color w:val="000000"/>
              </w:rPr>
            </w:pPr>
            <w:r>
              <w:rPr>
                <w:rFonts w:ascii="Times New Roman" w:hAnsi="Times New Roman" w:cs="Times New Roman"/>
                <w:color w:val="000000"/>
                <w:sz w:val="20"/>
                <w:szCs w:val="20"/>
              </w:rPr>
              <w:t>Реконструкция, модернизация, техническое перевооружение</w:t>
            </w:r>
          </w:p>
        </w:tc>
        <w:tc>
          <w:tcPr>
            <w:tcW w:w="1300" w:type="dxa"/>
            <w:tcBorders>
              <w:top w:val="singl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2 597</w:t>
            </w:r>
          </w:p>
        </w:tc>
        <w:tc>
          <w:tcPr>
            <w:tcW w:w="130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4 570</w:t>
            </w:r>
          </w:p>
        </w:tc>
        <w:tc>
          <w:tcPr>
            <w:tcW w:w="1310"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2 736</w:t>
            </w:r>
          </w:p>
        </w:tc>
      </w:tr>
      <w:tr w:rsidR="00D602D4">
        <w:trPr>
          <w:trHeight w:val="260"/>
          <w:jc w:val="center"/>
        </w:trPr>
        <w:tc>
          <w:tcPr>
            <w:tcW w:w="577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D602D4" w:rsidRDefault="000B4C86">
            <w:pPr>
              <w:shd w:val="clear" w:color="auto" w:fill="FFFFFF" w:themeFill="background1"/>
              <w:spacing w:after="0" w:line="240" w:lineRule="auto"/>
              <w:rPr>
                <w:rFonts w:ascii="Times New Roman" w:hAnsi="Times New Roman" w:cs="Times New Roman"/>
                <w:color w:val="000000"/>
              </w:rPr>
            </w:pPr>
            <w:r>
              <w:rPr>
                <w:rFonts w:ascii="Times New Roman" w:hAnsi="Times New Roman" w:cs="Times New Roman"/>
                <w:color w:val="000000"/>
                <w:sz w:val="20"/>
                <w:szCs w:val="20"/>
              </w:rPr>
              <w:t>Инвестиционные проекты, реализация которых обуславливается схемами и программами перспективного развития электроэнергетики</w:t>
            </w:r>
          </w:p>
        </w:tc>
        <w:tc>
          <w:tcPr>
            <w:tcW w:w="1300" w:type="dxa"/>
            <w:tcBorders>
              <w:top w:val="singl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184</w:t>
            </w:r>
          </w:p>
        </w:tc>
        <w:tc>
          <w:tcPr>
            <w:tcW w:w="130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30</w:t>
            </w:r>
          </w:p>
        </w:tc>
        <w:tc>
          <w:tcPr>
            <w:tcW w:w="1310"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30</w:t>
            </w:r>
          </w:p>
        </w:tc>
      </w:tr>
      <w:tr w:rsidR="00D602D4">
        <w:trPr>
          <w:trHeight w:val="260"/>
          <w:jc w:val="center"/>
        </w:trPr>
        <w:tc>
          <w:tcPr>
            <w:tcW w:w="577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D602D4" w:rsidRDefault="000B4C86">
            <w:pPr>
              <w:shd w:val="clear" w:color="auto" w:fill="FFFFFF" w:themeFill="background1"/>
              <w:spacing w:after="0" w:line="240" w:lineRule="auto"/>
              <w:rPr>
                <w:rFonts w:ascii="Times New Roman" w:hAnsi="Times New Roman" w:cs="Times New Roman"/>
                <w:color w:val="000000"/>
              </w:rPr>
            </w:pPr>
            <w:r>
              <w:rPr>
                <w:rFonts w:ascii="Times New Roman" w:hAnsi="Times New Roman" w:cs="Times New Roman"/>
                <w:color w:val="000000"/>
                <w:sz w:val="20"/>
                <w:szCs w:val="20"/>
              </w:rPr>
              <w:t>Прочее новое строительство объектов электросетевого хозяйства</w:t>
            </w:r>
          </w:p>
        </w:tc>
        <w:tc>
          <w:tcPr>
            <w:tcW w:w="1300" w:type="dxa"/>
            <w:tcBorders>
              <w:top w:val="singl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19</w:t>
            </w:r>
          </w:p>
        </w:tc>
        <w:tc>
          <w:tcPr>
            <w:tcW w:w="130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31</w:t>
            </w:r>
          </w:p>
        </w:tc>
        <w:tc>
          <w:tcPr>
            <w:tcW w:w="1310"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395</w:t>
            </w:r>
          </w:p>
        </w:tc>
      </w:tr>
      <w:tr w:rsidR="00D602D4">
        <w:trPr>
          <w:trHeight w:val="260"/>
          <w:jc w:val="center"/>
        </w:trPr>
        <w:tc>
          <w:tcPr>
            <w:tcW w:w="577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D602D4" w:rsidRDefault="000B4C86">
            <w:pPr>
              <w:shd w:val="clear" w:color="auto" w:fill="FFFFFF" w:themeFill="background1"/>
              <w:spacing w:after="0" w:line="240" w:lineRule="auto"/>
              <w:rPr>
                <w:rFonts w:ascii="Times New Roman" w:hAnsi="Times New Roman" w:cs="Times New Roman"/>
                <w:color w:val="000000"/>
              </w:rPr>
            </w:pPr>
            <w:r>
              <w:rPr>
                <w:rFonts w:ascii="Times New Roman" w:hAnsi="Times New Roman" w:cs="Times New Roman"/>
                <w:color w:val="000000"/>
                <w:sz w:val="20"/>
                <w:szCs w:val="20"/>
              </w:rPr>
              <w:t>Покупка земельных участков для целей реализации инвестиционных проектов</w:t>
            </w:r>
          </w:p>
        </w:tc>
        <w:tc>
          <w:tcPr>
            <w:tcW w:w="1300" w:type="dxa"/>
            <w:tcBorders>
              <w:top w:val="singl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0</w:t>
            </w:r>
          </w:p>
        </w:tc>
        <w:tc>
          <w:tcPr>
            <w:tcW w:w="130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0</w:t>
            </w:r>
          </w:p>
        </w:tc>
        <w:tc>
          <w:tcPr>
            <w:tcW w:w="1310"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0</w:t>
            </w:r>
          </w:p>
        </w:tc>
      </w:tr>
      <w:tr w:rsidR="00D602D4">
        <w:trPr>
          <w:trHeight w:val="260"/>
          <w:jc w:val="center"/>
        </w:trPr>
        <w:tc>
          <w:tcPr>
            <w:tcW w:w="5777"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D602D4" w:rsidRDefault="000B4C86">
            <w:pPr>
              <w:shd w:val="clear" w:color="auto" w:fill="FFFFFF" w:themeFill="background1"/>
              <w:spacing w:after="0" w:line="240" w:lineRule="auto"/>
              <w:rPr>
                <w:rFonts w:ascii="Times New Roman" w:hAnsi="Times New Roman" w:cs="Times New Roman"/>
                <w:color w:val="000000"/>
              </w:rPr>
            </w:pPr>
            <w:r>
              <w:rPr>
                <w:rFonts w:ascii="Times New Roman" w:hAnsi="Times New Roman" w:cs="Times New Roman"/>
                <w:color w:val="000000"/>
                <w:sz w:val="20"/>
                <w:szCs w:val="20"/>
              </w:rPr>
              <w:t>Прочие инвестиционные проекты</w:t>
            </w:r>
          </w:p>
        </w:tc>
        <w:tc>
          <w:tcPr>
            <w:tcW w:w="1300" w:type="dxa"/>
            <w:tcBorders>
              <w:top w:val="singl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1 410</w:t>
            </w:r>
          </w:p>
        </w:tc>
        <w:tc>
          <w:tcPr>
            <w:tcW w:w="130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1 789</w:t>
            </w:r>
          </w:p>
        </w:tc>
        <w:tc>
          <w:tcPr>
            <w:tcW w:w="1310"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rPr>
            </w:pPr>
            <w:r>
              <w:rPr>
                <w:rFonts w:ascii="Times New Roman" w:hAnsi="Times New Roman" w:cs="Times New Roman"/>
                <w:sz w:val="20"/>
                <w:szCs w:val="20"/>
              </w:rPr>
              <w:t>2262</w:t>
            </w:r>
          </w:p>
        </w:tc>
      </w:tr>
    </w:tbl>
    <w:p w:rsidR="00D602D4" w:rsidRDefault="00D602D4">
      <w:pPr>
        <w:pStyle w:val="af9"/>
        <w:shd w:val="clear" w:color="auto" w:fill="FFFFFF" w:themeFill="background1"/>
        <w:tabs>
          <w:tab w:val="clear" w:pos="1080"/>
          <w:tab w:val="clear" w:pos="1320"/>
        </w:tabs>
        <w:ind w:firstLine="0"/>
        <w:rPr>
          <w:sz w:val="24"/>
        </w:rPr>
      </w:pPr>
    </w:p>
    <w:p w:rsidR="00D602D4" w:rsidRDefault="000B4C86">
      <w:pPr>
        <w:pStyle w:val="a1"/>
        <w:numPr>
          <w:ilvl w:val="0"/>
          <w:numId w:val="0"/>
        </w:numPr>
        <w:shd w:val="clear" w:color="auto" w:fill="FFFFFF" w:themeFill="background1"/>
        <w:jc w:val="left"/>
      </w:pPr>
      <w:bookmarkStart w:id="38" w:name="_Toc41"/>
      <w:r>
        <w:rPr>
          <w:noProof/>
          <w:sz w:val="24"/>
        </w:rPr>
        <w:lastRenderedPageBreak/>
        <w:drawing>
          <wp:inline distT="0" distB="0" distL="0" distR="0">
            <wp:extent cx="5939790" cy="1893196"/>
            <wp:effectExtent l="0" t="0" r="3810" b="0"/>
            <wp:docPr id="26"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bookmarkEnd w:id="38"/>
    </w:p>
    <w:p w:rsidR="00D602D4" w:rsidRDefault="000B4C86">
      <w:pPr>
        <w:pStyle w:val="afa"/>
        <w:shd w:val="clear" w:color="auto" w:fill="FFFFFF" w:themeFill="background1"/>
        <w:ind w:firstLine="709"/>
        <w:rPr>
          <w:i w:val="0"/>
          <w:szCs w:val="24"/>
        </w:rPr>
      </w:pPr>
      <w:r>
        <w:rPr>
          <w:i w:val="0"/>
          <w:szCs w:val="24"/>
        </w:rPr>
        <w:t>Рис. 15 - Структура финансирования ПАО «Россети Сибирь» капитальных вложений в 2024 год, в %.</w:t>
      </w:r>
    </w:p>
    <w:p w:rsidR="00D602D4" w:rsidRDefault="00D602D4">
      <w:pPr>
        <w:pStyle w:val="af9"/>
        <w:ind w:firstLine="709"/>
        <w:rPr>
          <w:sz w:val="24"/>
        </w:rPr>
      </w:pPr>
    </w:p>
    <w:p w:rsidR="00D602D4" w:rsidRDefault="000B4C86">
      <w:pPr>
        <w:pStyle w:val="af9"/>
        <w:ind w:firstLine="709"/>
        <w:rPr>
          <w:sz w:val="24"/>
        </w:rPr>
      </w:pPr>
      <w:r>
        <w:rPr>
          <w:sz w:val="24"/>
        </w:rPr>
        <w:t>Структура фактического финансирования инвестиционной программы                             ПАО «Россети Сибирь» в 2024 году по основным направлениям:</w:t>
      </w:r>
    </w:p>
    <w:p w:rsidR="00D602D4" w:rsidRDefault="000B4C86">
      <w:pPr>
        <w:pStyle w:val="af9"/>
        <w:ind w:firstLine="709"/>
        <w:rPr>
          <w:sz w:val="24"/>
        </w:rPr>
      </w:pPr>
      <w:r>
        <w:rPr>
          <w:sz w:val="24"/>
        </w:rPr>
        <w:t>- технологическое присоединение 61,3%;</w:t>
      </w:r>
    </w:p>
    <w:p w:rsidR="00D602D4" w:rsidRDefault="000B4C86">
      <w:pPr>
        <w:pStyle w:val="af9"/>
        <w:ind w:firstLine="709"/>
        <w:rPr>
          <w:sz w:val="24"/>
        </w:rPr>
      </w:pPr>
      <w:r>
        <w:rPr>
          <w:sz w:val="24"/>
        </w:rPr>
        <w:t>- реконструкция, модернизация, техническое перевооружение объектов 19,5%;</w:t>
      </w:r>
    </w:p>
    <w:p w:rsidR="00D602D4" w:rsidRDefault="000B4C86">
      <w:pPr>
        <w:pStyle w:val="af9"/>
        <w:ind w:firstLine="709"/>
        <w:jc w:val="left"/>
        <w:rPr>
          <w:sz w:val="24"/>
        </w:rPr>
      </w:pPr>
      <w:r>
        <w:rPr>
          <w:sz w:val="24"/>
        </w:rPr>
        <w:t>- инвестиционные проекты, реализация которых обуславливается схемами и программами перспективного развития электроэнергетики 0,2%;</w:t>
      </w:r>
    </w:p>
    <w:p w:rsidR="00D602D4" w:rsidRDefault="000B4C86">
      <w:pPr>
        <w:pStyle w:val="af9"/>
        <w:ind w:firstLine="709"/>
        <w:rPr>
          <w:sz w:val="24"/>
        </w:rPr>
      </w:pPr>
      <w:r>
        <w:rPr>
          <w:sz w:val="24"/>
        </w:rPr>
        <w:t>- прочее новое строительство объектов электросетевого хозяйства 3%;</w:t>
      </w:r>
    </w:p>
    <w:p w:rsidR="00D602D4" w:rsidRDefault="000B4C86">
      <w:pPr>
        <w:pStyle w:val="af9"/>
        <w:ind w:firstLine="709"/>
        <w:rPr>
          <w:sz w:val="24"/>
        </w:rPr>
      </w:pPr>
      <w:r>
        <w:rPr>
          <w:sz w:val="24"/>
        </w:rPr>
        <w:t>- покупка земельных участков для целей реализации инвестиционных проектов 0%;</w:t>
      </w:r>
    </w:p>
    <w:p w:rsidR="00D602D4" w:rsidRDefault="000B4C86">
      <w:pPr>
        <w:pStyle w:val="af9"/>
        <w:ind w:firstLine="709"/>
        <w:rPr>
          <w:sz w:val="24"/>
        </w:rPr>
      </w:pPr>
      <w:r>
        <w:rPr>
          <w:sz w:val="24"/>
        </w:rPr>
        <w:t>- прочие инвестиционные проекты 16%.</w:t>
      </w:r>
    </w:p>
    <w:p w:rsidR="00D602D4" w:rsidRDefault="00D602D4">
      <w:pPr>
        <w:pStyle w:val="af9"/>
        <w:shd w:val="clear" w:color="auto" w:fill="FFFFFF" w:themeFill="background1"/>
        <w:ind w:firstLine="709"/>
        <w:rPr>
          <w:sz w:val="24"/>
        </w:rPr>
      </w:pPr>
    </w:p>
    <w:p w:rsidR="00D602D4" w:rsidRDefault="000B4C86">
      <w:pPr>
        <w:pStyle w:val="af9"/>
        <w:shd w:val="clear" w:color="auto" w:fill="FFFFFF" w:themeFill="background1"/>
        <w:ind w:firstLine="709"/>
        <w:rPr>
          <w:sz w:val="24"/>
        </w:rPr>
      </w:pPr>
      <w:r>
        <w:rPr>
          <w:sz w:val="24"/>
        </w:rPr>
        <w:t>Источники финансирования инвестиционной программы, млн руб. с НДС</w:t>
      </w:r>
    </w:p>
    <w:p w:rsidR="00D602D4" w:rsidRDefault="000B4C86">
      <w:pPr>
        <w:pStyle w:val="afa"/>
        <w:shd w:val="clear" w:color="auto" w:fill="FFFFFF" w:themeFill="background1"/>
        <w:spacing w:after="0"/>
        <w:rPr>
          <w:i w:val="0"/>
          <w:szCs w:val="24"/>
        </w:rPr>
      </w:pPr>
      <w:r>
        <w:rPr>
          <w:noProof/>
        </w:rPr>
        <w:drawing>
          <wp:inline distT="0" distB="0" distL="0" distR="0">
            <wp:extent cx="2921330" cy="2428875"/>
            <wp:effectExtent l="0" t="0" r="12700" b="9525"/>
            <wp:docPr id="27"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Pr>
          <w:b w:val="0"/>
          <w:i w:val="0"/>
          <w:noProof/>
        </w:rPr>
        <w:drawing>
          <wp:inline distT="0" distB="0" distL="0" distR="0">
            <wp:extent cx="2990850" cy="2190750"/>
            <wp:effectExtent l="0" t="0" r="0" b="0"/>
            <wp:docPr id="28"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D602D4" w:rsidRDefault="000B4C86">
      <w:pPr>
        <w:shd w:val="clear" w:color="auto" w:fill="FFFFFF" w:themeFill="background1"/>
        <w:jc w:val="both"/>
      </w:pPr>
      <w:r>
        <w:rPr>
          <w:noProof/>
          <w:lang w:eastAsia="ru-RU"/>
        </w:rPr>
        <w:drawing>
          <wp:inline distT="0" distB="0" distL="0" distR="0">
            <wp:extent cx="6210300" cy="676275"/>
            <wp:effectExtent l="0" t="0" r="38100" b="9525"/>
            <wp:docPr id="29" name="Схема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inline>
        </w:drawing>
      </w:r>
    </w:p>
    <w:p w:rsidR="00D602D4" w:rsidRDefault="000B4C86">
      <w:pPr>
        <w:pStyle w:val="af9"/>
        <w:ind w:firstLine="709"/>
        <w:rPr>
          <w:sz w:val="24"/>
        </w:rPr>
      </w:pPr>
      <w:r>
        <w:rPr>
          <w:sz w:val="24"/>
        </w:rPr>
        <w:t>*НДС к возмещению</w:t>
      </w:r>
    </w:p>
    <w:p w:rsidR="00D602D4" w:rsidRDefault="000B4C86">
      <w:pPr>
        <w:pStyle w:val="af9"/>
        <w:shd w:val="clear" w:color="auto" w:fill="FFFFFF" w:themeFill="background1"/>
        <w:ind w:firstLine="709"/>
        <w:rPr>
          <w:b/>
          <w:sz w:val="24"/>
        </w:rPr>
      </w:pPr>
      <w:r>
        <w:rPr>
          <w:b/>
          <w:sz w:val="24"/>
        </w:rPr>
        <w:t>Рис. 16 - Структура источников финансирования капитальных вложений в 2024 году, млн руб. с НДС</w:t>
      </w:r>
    </w:p>
    <w:p w:rsidR="00D602D4" w:rsidRDefault="00D602D4">
      <w:pPr>
        <w:pStyle w:val="220"/>
        <w:shd w:val="clear" w:color="auto" w:fill="FFFFFF" w:themeFill="background1"/>
        <w:spacing w:after="0"/>
        <w:ind w:left="0" w:firstLine="709"/>
        <w:jc w:val="both"/>
        <w:rPr>
          <w:sz w:val="24"/>
          <w:szCs w:val="24"/>
        </w:rPr>
      </w:pPr>
    </w:p>
    <w:p w:rsidR="00D602D4" w:rsidRDefault="000B4C86">
      <w:pPr>
        <w:pStyle w:val="220"/>
        <w:shd w:val="clear" w:color="auto" w:fill="FFFFFF" w:themeFill="background1"/>
        <w:spacing w:after="0"/>
        <w:ind w:left="0" w:firstLine="709"/>
        <w:jc w:val="both"/>
        <w:rPr>
          <w:sz w:val="24"/>
          <w:szCs w:val="24"/>
        </w:rPr>
      </w:pPr>
      <w:bookmarkStart w:id="39" w:name="_Toc42"/>
      <w:r>
        <w:rPr>
          <w:sz w:val="24"/>
          <w:szCs w:val="24"/>
        </w:rPr>
        <w:t xml:space="preserve">Результаты реализации инвестиционных программ в 2024 году ПАО «Россети Сибирь» </w:t>
      </w:r>
      <w:bookmarkEnd w:id="39"/>
    </w:p>
    <w:p w:rsidR="00D602D4" w:rsidRDefault="000B4C86">
      <w:pPr>
        <w:pStyle w:val="af9"/>
        <w:shd w:val="clear" w:color="auto" w:fill="FFFFFF" w:themeFill="background1"/>
        <w:tabs>
          <w:tab w:val="clear" w:pos="1080"/>
          <w:tab w:val="clear" w:pos="1320"/>
          <w:tab w:val="left" w:pos="709"/>
        </w:tabs>
        <w:ind w:firstLine="709"/>
        <w:rPr>
          <w:bCs/>
          <w:sz w:val="24"/>
        </w:rPr>
      </w:pPr>
      <w:r>
        <w:rPr>
          <w:bCs/>
          <w:sz w:val="24"/>
        </w:rPr>
        <w:t>Информация о результатах, достигнутых в 2024 году по ПАО «Россети Сибирь» за счет реализации мероприятий, включенных в инвестиционную программу:</w:t>
      </w:r>
    </w:p>
    <w:p w:rsidR="00D602D4" w:rsidRDefault="000B4C86">
      <w:pPr>
        <w:pStyle w:val="af9"/>
        <w:tabs>
          <w:tab w:val="clear" w:pos="1080"/>
          <w:tab w:val="clear" w:pos="1320"/>
          <w:tab w:val="left" w:pos="0"/>
          <w:tab w:val="left" w:pos="993"/>
        </w:tabs>
        <w:ind w:firstLine="709"/>
        <w:rPr>
          <w:bCs/>
          <w:sz w:val="24"/>
        </w:rPr>
      </w:pPr>
      <w:r>
        <w:rPr>
          <w:bCs/>
          <w:sz w:val="24"/>
        </w:rPr>
        <w:t>- показатель степени загрузки трансформаторной подстанции (Kзагр) в целом по Обществу 81,14;</w:t>
      </w:r>
    </w:p>
    <w:p w:rsidR="00D602D4" w:rsidRDefault="000B4C86">
      <w:pPr>
        <w:pStyle w:val="af9"/>
        <w:tabs>
          <w:tab w:val="clear" w:pos="1080"/>
          <w:tab w:val="clear" w:pos="1320"/>
          <w:tab w:val="left" w:pos="0"/>
          <w:tab w:val="left" w:pos="993"/>
        </w:tabs>
        <w:ind w:firstLine="709"/>
        <w:rPr>
          <w:bCs/>
          <w:sz w:val="24"/>
        </w:rPr>
      </w:pPr>
      <w:r>
        <w:rPr>
          <w:bCs/>
          <w:sz w:val="24"/>
        </w:rPr>
        <w:t>- 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 (ПОдист) в целом по Обществу не планировался;</w:t>
      </w:r>
    </w:p>
    <w:p w:rsidR="00D602D4" w:rsidRDefault="000B4C86">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bCs/>
          <w:sz w:val="24"/>
          <w:szCs w:val="24"/>
        </w:rPr>
        <w:t xml:space="preserve">-  показатель оценки изменения средней продолжительности прекращения передачи электрической энергии потребителям услуг </w:t>
      </w:r>
      <w:r>
        <w:rPr>
          <w:rFonts w:ascii="Times New Roman" w:hAnsi="Times New Roman" w:cs="Times New Roman"/>
          <w:sz w:val="24"/>
          <w:szCs w:val="24"/>
        </w:rPr>
        <w:t>(Пsaidi)</w:t>
      </w:r>
      <w:r>
        <w:rPr>
          <w:rFonts w:ascii="Times New Roman" w:hAnsi="Times New Roman" w:cs="Times New Roman"/>
          <w:bCs/>
          <w:sz w:val="24"/>
          <w:szCs w:val="24"/>
        </w:rPr>
        <w:t xml:space="preserve"> в целом по Обществу</w:t>
      </w:r>
      <w:r>
        <w:rPr>
          <w:rFonts w:ascii="Times New Roman" w:hAnsi="Times New Roman" w:cs="Times New Roman"/>
          <w:sz w:val="24"/>
          <w:szCs w:val="24"/>
        </w:rPr>
        <w:t xml:space="preserve"> -0,12;</w:t>
      </w:r>
    </w:p>
    <w:p w:rsidR="00D602D4" w:rsidRDefault="000B4C86">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bCs/>
          <w:sz w:val="24"/>
          <w:szCs w:val="24"/>
        </w:rPr>
        <w:t xml:space="preserve">- показатель оценки изменения средней частоты прекращения передачи электрической энергии потребителям услуг </w:t>
      </w:r>
      <w:r>
        <w:rPr>
          <w:rFonts w:ascii="Times New Roman" w:hAnsi="Times New Roman" w:cs="Times New Roman"/>
          <w:sz w:val="24"/>
          <w:szCs w:val="24"/>
        </w:rPr>
        <w:t>(Пsaifi)</w:t>
      </w:r>
      <w:r>
        <w:rPr>
          <w:rFonts w:ascii="Times New Roman" w:hAnsi="Times New Roman" w:cs="Times New Roman"/>
          <w:bCs/>
          <w:sz w:val="24"/>
          <w:szCs w:val="24"/>
        </w:rPr>
        <w:t xml:space="preserve"> в целом по Обществу </w:t>
      </w:r>
      <w:r>
        <w:rPr>
          <w:rFonts w:ascii="Times New Roman" w:hAnsi="Times New Roman" w:cs="Times New Roman"/>
          <w:sz w:val="24"/>
          <w:szCs w:val="24"/>
        </w:rPr>
        <w:t>-0,04;</w:t>
      </w:r>
    </w:p>
    <w:p w:rsidR="00D602D4" w:rsidRDefault="000B4C86">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bCs/>
          <w:sz w:val="24"/>
          <w:szCs w:val="24"/>
        </w:rPr>
        <w:t xml:space="preserve">- 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 </w:t>
      </w:r>
      <w:r>
        <w:rPr>
          <w:rFonts w:ascii="Times New Roman" w:hAnsi="Times New Roman" w:cs="Times New Roman"/>
          <w:sz w:val="24"/>
          <w:szCs w:val="24"/>
        </w:rPr>
        <w:t>(Nсд_тпр)</w:t>
      </w:r>
      <w:r>
        <w:rPr>
          <w:rFonts w:ascii="Times New Roman" w:hAnsi="Times New Roman" w:cs="Times New Roman"/>
          <w:bCs/>
          <w:sz w:val="24"/>
          <w:szCs w:val="24"/>
        </w:rPr>
        <w:t xml:space="preserve"> в целом по Обществу 27 878</w:t>
      </w:r>
      <w:r>
        <w:rPr>
          <w:rFonts w:ascii="Times New Roman" w:hAnsi="Times New Roman" w:cs="Times New Roman"/>
          <w:sz w:val="24"/>
          <w:szCs w:val="24"/>
        </w:rPr>
        <w:t>;</w:t>
      </w:r>
    </w:p>
    <w:p w:rsidR="00D602D4" w:rsidRDefault="000B4C86">
      <w:pPr>
        <w:tabs>
          <w:tab w:val="left" w:pos="993"/>
        </w:tabs>
        <w:spacing w:after="0" w:line="240" w:lineRule="auto"/>
        <w:ind w:firstLine="709"/>
        <w:jc w:val="both"/>
        <w:rPr>
          <w:rFonts w:ascii="Times New Roman" w:hAnsi="Times New Roman" w:cs="Times New Roman"/>
          <w:bCs/>
          <w:sz w:val="24"/>
          <w:szCs w:val="24"/>
        </w:rPr>
      </w:pPr>
      <w:r>
        <w:rPr>
          <w:rFonts w:ascii="Times New Roman" w:hAnsi="Times New Roman" w:cs="Times New Roman"/>
          <w:b/>
          <w:bCs/>
          <w:sz w:val="24"/>
          <w:szCs w:val="24"/>
        </w:rPr>
        <w:t xml:space="preserve">- </w:t>
      </w:r>
      <w:r>
        <w:rPr>
          <w:rFonts w:ascii="Times New Roman" w:hAnsi="Times New Roman" w:cs="Times New Roman"/>
          <w:bCs/>
          <w:sz w:val="24"/>
          <w:szCs w:val="24"/>
        </w:rPr>
        <w:t>показатель максимальной мощности присоединяемых объектов по производству электрической энергии (тпSг); 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ным лицам (тп Sэх) - не планировались.</w:t>
      </w:r>
    </w:p>
    <w:p w:rsidR="00D602D4" w:rsidRDefault="00D602D4">
      <w:pPr>
        <w:pStyle w:val="a1"/>
        <w:numPr>
          <w:ilvl w:val="0"/>
          <w:numId w:val="0"/>
        </w:numPr>
        <w:spacing w:after="0"/>
        <w:ind w:firstLine="709"/>
        <w:jc w:val="left"/>
        <w:rPr>
          <w:sz w:val="24"/>
          <w:szCs w:val="24"/>
        </w:rPr>
      </w:pPr>
    </w:p>
    <w:p w:rsidR="00D602D4" w:rsidRDefault="000B4C86">
      <w:pPr>
        <w:pStyle w:val="220"/>
        <w:shd w:val="clear" w:color="auto" w:fill="FFFFFF" w:themeFill="background1"/>
        <w:spacing w:after="0"/>
        <w:ind w:left="0" w:firstLine="709"/>
        <w:rPr>
          <w:sz w:val="24"/>
          <w:szCs w:val="24"/>
        </w:rPr>
      </w:pPr>
      <w:bookmarkStart w:id="40" w:name="_Toc43"/>
      <w:r>
        <w:rPr>
          <w:sz w:val="24"/>
          <w:szCs w:val="24"/>
        </w:rPr>
        <w:t>Долгосрочная инвестиционная программа.</w:t>
      </w:r>
      <w:bookmarkEnd w:id="40"/>
    </w:p>
    <w:p w:rsidR="00D602D4" w:rsidRDefault="000B4C86">
      <w:pPr>
        <w:pStyle w:val="af9"/>
        <w:shd w:val="clear" w:color="auto" w:fill="FFFFFF" w:themeFill="background1"/>
        <w:ind w:firstLine="709"/>
        <w:rPr>
          <w:sz w:val="24"/>
        </w:rPr>
      </w:pPr>
      <w:r>
        <w:rPr>
          <w:sz w:val="24"/>
        </w:rPr>
        <w:t>Инвестиционная программа ПАО «Россети Сибирь» утверждена приказом Минэнерго России от 24.12.2024 №46@ «Об утверждении инвестиционной программы ПАО «Россети Сибирь» на 2024 – 2029 годы и изменений, вносимых в инвестиционную программу ПАО «Россети Сибирь», утвержденную приказом Минэнерго России от 19.12.2023 № 23@».</w:t>
      </w:r>
    </w:p>
    <w:p w:rsidR="00D602D4" w:rsidRDefault="00D602D4">
      <w:pPr>
        <w:pStyle w:val="afa"/>
        <w:shd w:val="clear" w:color="auto" w:fill="FFFFFF" w:themeFill="background1"/>
        <w:spacing w:after="0"/>
        <w:ind w:firstLine="709"/>
        <w:jc w:val="right"/>
        <w:rPr>
          <w:b w:val="0"/>
          <w:i w:val="0"/>
        </w:rPr>
      </w:pPr>
    </w:p>
    <w:p w:rsidR="00D602D4" w:rsidRDefault="000B4C86">
      <w:pPr>
        <w:pStyle w:val="afa"/>
        <w:shd w:val="clear" w:color="auto" w:fill="FFFFFF" w:themeFill="background1"/>
        <w:spacing w:after="0"/>
        <w:ind w:firstLine="709"/>
        <w:jc w:val="right"/>
        <w:rPr>
          <w:b w:val="0"/>
          <w:i w:val="0"/>
        </w:rPr>
      </w:pPr>
      <w:r>
        <w:rPr>
          <w:b w:val="0"/>
          <w:i w:val="0"/>
          <w:szCs w:val="24"/>
        </w:rPr>
        <w:t>Таблица 33</w:t>
      </w:r>
    </w:p>
    <w:p w:rsidR="00D602D4" w:rsidRDefault="000B4C86">
      <w:pPr>
        <w:pStyle w:val="afa"/>
        <w:shd w:val="clear" w:color="auto" w:fill="FFFFFF" w:themeFill="background1"/>
        <w:spacing w:after="0"/>
        <w:ind w:firstLine="709"/>
        <w:rPr>
          <w:b w:val="0"/>
          <w:i w:val="0"/>
          <w:szCs w:val="24"/>
        </w:rPr>
      </w:pPr>
      <w:r>
        <w:rPr>
          <w:b w:val="0"/>
          <w:i w:val="0"/>
          <w:szCs w:val="24"/>
        </w:rPr>
        <w:t>С</w:t>
      </w:r>
      <w:r>
        <w:rPr>
          <w:b w:val="0"/>
          <w:bCs/>
          <w:i w:val="0"/>
          <w:szCs w:val="24"/>
        </w:rPr>
        <w:t>тоимостные и физические показатели инвестиционной деятельности</w:t>
      </w:r>
      <w:r>
        <w:rPr>
          <w:b w:val="0"/>
          <w:i w:val="0"/>
          <w:szCs w:val="24"/>
        </w:rPr>
        <w:t xml:space="preserve">                              ПАО «Россети Сибирь» за период 2025-2029 годы. </w:t>
      </w:r>
    </w:p>
    <w:tbl>
      <w:tblPr>
        <w:tblStyle w:val="83"/>
        <w:tblW w:w="0" w:type="auto"/>
        <w:tblInd w:w="-9" w:type="dxa"/>
        <w:tblLayout w:type="fixed"/>
        <w:tblLook w:val="04A0" w:firstRow="1" w:lastRow="0" w:firstColumn="1" w:lastColumn="0" w:noHBand="0" w:noVBand="1"/>
      </w:tblPr>
      <w:tblGrid>
        <w:gridCol w:w="4817"/>
        <w:gridCol w:w="992"/>
        <w:gridCol w:w="992"/>
        <w:gridCol w:w="992"/>
        <w:gridCol w:w="993"/>
        <w:gridCol w:w="985"/>
      </w:tblGrid>
      <w:tr w:rsidR="00D602D4">
        <w:tc>
          <w:tcPr>
            <w:tcW w:w="481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rPr>
                <w:rFonts w:ascii="Times New Roman" w:hAnsi="Times New Roman" w:cs="Times New Roman"/>
                <w:sz w:val="20"/>
                <w:szCs w:val="20"/>
              </w:rPr>
            </w:pPr>
            <w:r>
              <w:rPr>
                <w:rFonts w:ascii="Times New Roman" w:hAnsi="Times New Roman" w:cs="Times New Roman"/>
                <w:sz w:val="20"/>
                <w:szCs w:val="20"/>
              </w:rPr>
              <w:t>Наименование</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5" w:line="252" w:lineRule="auto"/>
              <w:ind w:left="-96" w:right="-122"/>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2025 год</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5" w:line="252" w:lineRule="auto"/>
              <w:ind w:left="-113" w:right="-138"/>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2026 год</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5" w:line="252" w:lineRule="auto"/>
              <w:ind w:left="-100" w:right="-143"/>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2027 год</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5" w:line="252" w:lineRule="auto"/>
              <w:ind w:left="-100" w:right="-143"/>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2028 год</w:t>
            </w:r>
          </w:p>
        </w:tc>
        <w:tc>
          <w:tcPr>
            <w:tcW w:w="985"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5" w:line="252" w:lineRule="auto"/>
              <w:ind w:left="-100" w:right="-143"/>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2029 год</w:t>
            </w:r>
          </w:p>
        </w:tc>
      </w:tr>
      <w:tr w:rsidR="00D602D4">
        <w:tc>
          <w:tcPr>
            <w:tcW w:w="481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rPr>
                <w:rFonts w:ascii="Times New Roman" w:hAnsi="Times New Roman" w:cs="Times New Roman"/>
                <w:sz w:val="24"/>
                <w:szCs w:val="24"/>
              </w:rPr>
            </w:pPr>
          </w:p>
        </w:tc>
        <w:tc>
          <w:tcPr>
            <w:tcW w:w="992" w:type="dxa"/>
            <w:tcBorders>
              <w:left w:val="single" w:sz="4" w:space="0" w:color="000000"/>
              <w:right w:val="single" w:sz="4" w:space="0" w:color="000000"/>
            </w:tcBorders>
            <w:vAlign w:val="center"/>
          </w:tcPr>
          <w:p w:rsidR="00D602D4" w:rsidRDefault="000B4C86">
            <w:pPr>
              <w:widowControl w:val="0"/>
              <w:spacing w:after="5" w:line="252" w:lineRule="auto"/>
              <w:ind w:left="-96" w:right="-122"/>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план</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5" w:line="252" w:lineRule="auto"/>
              <w:ind w:left="-113" w:right="-138"/>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план</w:t>
            </w:r>
          </w:p>
        </w:tc>
        <w:tc>
          <w:tcPr>
            <w:tcW w:w="992" w:type="dxa"/>
            <w:tcBorders>
              <w:left w:val="single" w:sz="4" w:space="0" w:color="000000"/>
              <w:right w:val="single" w:sz="4" w:space="0" w:color="000000"/>
            </w:tcBorders>
            <w:vAlign w:val="center"/>
          </w:tcPr>
          <w:p w:rsidR="00D602D4" w:rsidRDefault="000B4C86">
            <w:pPr>
              <w:widowControl w:val="0"/>
              <w:spacing w:after="5" w:line="252" w:lineRule="auto"/>
              <w:ind w:left="-100" w:right="-143"/>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план</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5" w:line="252" w:lineRule="auto"/>
              <w:ind w:left="-100" w:right="-143"/>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план</w:t>
            </w:r>
          </w:p>
        </w:tc>
        <w:tc>
          <w:tcPr>
            <w:tcW w:w="985"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5" w:line="252" w:lineRule="auto"/>
              <w:ind w:left="-100" w:right="-143"/>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план</w:t>
            </w:r>
          </w:p>
        </w:tc>
      </w:tr>
      <w:tr w:rsidR="00D602D4">
        <w:tc>
          <w:tcPr>
            <w:tcW w:w="4817"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right="-143" w:hanging="13"/>
              <w:rPr>
                <w:rFonts w:ascii="Times New Roman" w:eastAsia="Times New Roman" w:hAnsi="Times New Roman" w:cs="Times New Roman"/>
                <w:bCs/>
                <w:sz w:val="20"/>
                <w:szCs w:val="20"/>
              </w:rPr>
            </w:pPr>
            <w:r>
              <w:rPr>
                <w:rFonts w:ascii="Times New Roman" w:eastAsia="Times New Roman" w:hAnsi="Times New Roman" w:cs="Times New Roman"/>
                <w:sz w:val="20"/>
                <w:szCs w:val="20"/>
              </w:rPr>
              <w:t xml:space="preserve">Объем финансирования, </w:t>
            </w:r>
            <w:r>
              <w:rPr>
                <w:rFonts w:ascii="Times New Roman" w:eastAsia="Times New Roman" w:hAnsi="Times New Roman" w:cs="Times New Roman"/>
                <w:bCs/>
                <w:sz w:val="20"/>
                <w:szCs w:val="20"/>
              </w:rPr>
              <w:t>млн руб. с НДС</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16 297</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12 430</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11 795</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11 775</w:t>
            </w:r>
          </w:p>
        </w:tc>
        <w:tc>
          <w:tcPr>
            <w:tcW w:w="98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11 729</w:t>
            </w:r>
          </w:p>
        </w:tc>
      </w:tr>
      <w:tr w:rsidR="00D602D4">
        <w:tc>
          <w:tcPr>
            <w:tcW w:w="4817"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right="-143" w:hanging="13"/>
              <w:rPr>
                <w:rFonts w:ascii="Times New Roman" w:eastAsia="Times New Roman" w:hAnsi="Times New Roman" w:cs="Times New Roman"/>
                <w:bCs/>
                <w:sz w:val="20"/>
                <w:szCs w:val="20"/>
              </w:rPr>
            </w:pPr>
            <w:r>
              <w:rPr>
                <w:rFonts w:ascii="Times New Roman" w:eastAsia="Times New Roman" w:hAnsi="Times New Roman" w:cs="Times New Roman"/>
                <w:sz w:val="20"/>
                <w:szCs w:val="20"/>
              </w:rPr>
              <w:t xml:space="preserve">Объем освоения капитальных вложений, </w:t>
            </w:r>
            <w:r>
              <w:rPr>
                <w:rFonts w:ascii="Times New Roman" w:eastAsia="Times New Roman" w:hAnsi="Times New Roman" w:cs="Times New Roman"/>
                <w:bCs/>
                <w:sz w:val="20"/>
                <w:szCs w:val="20"/>
              </w:rPr>
              <w:t>млн руб. без НДС</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17 049</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8 706</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8 768</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9 262</w:t>
            </w:r>
          </w:p>
        </w:tc>
        <w:tc>
          <w:tcPr>
            <w:tcW w:w="98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10 368</w:t>
            </w:r>
          </w:p>
        </w:tc>
      </w:tr>
      <w:tr w:rsidR="00D602D4">
        <w:tc>
          <w:tcPr>
            <w:tcW w:w="4817"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right="-143" w:hanging="13"/>
              <w:rPr>
                <w:rFonts w:ascii="Times New Roman" w:eastAsia="Times New Roman" w:hAnsi="Times New Roman" w:cs="Times New Roman"/>
                <w:bCs/>
                <w:sz w:val="20"/>
                <w:szCs w:val="20"/>
              </w:rPr>
            </w:pPr>
            <w:r>
              <w:rPr>
                <w:rFonts w:ascii="Times New Roman" w:eastAsia="Times New Roman" w:hAnsi="Times New Roman" w:cs="Times New Roman"/>
                <w:sz w:val="20"/>
                <w:szCs w:val="20"/>
              </w:rPr>
              <w:t xml:space="preserve">Ввод в состав основных средств, </w:t>
            </w:r>
            <w:r>
              <w:rPr>
                <w:rFonts w:ascii="Times New Roman" w:eastAsia="Times New Roman" w:hAnsi="Times New Roman" w:cs="Times New Roman"/>
                <w:bCs/>
                <w:sz w:val="20"/>
                <w:szCs w:val="20"/>
              </w:rPr>
              <w:t>млн руб. без НДС</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17 775</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12 387</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9 231</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8 959</w:t>
            </w:r>
          </w:p>
        </w:tc>
        <w:tc>
          <w:tcPr>
            <w:tcW w:w="98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11 347</w:t>
            </w:r>
          </w:p>
        </w:tc>
      </w:tr>
      <w:tr w:rsidR="00D602D4">
        <w:tc>
          <w:tcPr>
            <w:tcW w:w="4817" w:type="dxa"/>
            <w:tcBorders>
              <w:top w:val="single" w:sz="4" w:space="0" w:color="000000"/>
              <w:left w:val="single" w:sz="4" w:space="0" w:color="000000"/>
              <w:bottom w:val="single" w:sz="4" w:space="0" w:color="000000"/>
              <w:right w:val="single" w:sz="4" w:space="0" w:color="000000"/>
            </w:tcBorders>
          </w:tcPr>
          <w:p w:rsidR="00D602D4" w:rsidRDefault="000B4C86">
            <w:pPr>
              <w:ind w:hanging="13"/>
              <w:rPr>
                <w:rFonts w:ascii="Times New Roman" w:hAnsi="Times New Roman" w:cs="Times New Roman"/>
                <w:sz w:val="20"/>
                <w:szCs w:val="20"/>
              </w:rPr>
            </w:pPr>
            <w:r>
              <w:rPr>
                <w:rFonts w:ascii="Times New Roman" w:eastAsia="Times New Roman" w:hAnsi="Times New Roman" w:cs="Times New Roman"/>
                <w:sz w:val="20"/>
                <w:szCs w:val="20"/>
              </w:rPr>
              <w:t>Ввод в состав основных средств трансформаторной  мощности, МВА</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433</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239</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145</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94</w:t>
            </w:r>
          </w:p>
        </w:tc>
        <w:tc>
          <w:tcPr>
            <w:tcW w:w="98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45</w:t>
            </w:r>
          </w:p>
        </w:tc>
      </w:tr>
      <w:tr w:rsidR="00D602D4">
        <w:tc>
          <w:tcPr>
            <w:tcW w:w="4817" w:type="dxa"/>
            <w:tcBorders>
              <w:top w:val="single" w:sz="4" w:space="0" w:color="000000"/>
              <w:left w:val="single" w:sz="4" w:space="0" w:color="000000"/>
              <w:bottom w:val="single" w:sz="4" w:space="0" w:color="000000"/>
              <w:right w:val="single" w:sz="4" w:space="0" w:color="000000"/>
            </w:tcBorders>
          </w:tcPr>
          <w:p w:rsidR="00D602D4" w:rsidRDefault="000B4C86">
            <w:pPr>
              <w:ind w:hanging="13"/>
              <w:rPr>
                <w:rFonts w:ascii="Times New Roman" w:hAnsi="Times New Roman" w:cs="Times New Roman"/>
                <w:sz w:val="20"/>
                <w:szCs w:val="20"/>
              </w:rPr>
            </w:pPr>
            <w:r>
              <w:rPr>
                <w:rFonts w:ascii="Times New Roman" w:eastAsia="Times New Roman" w:hAnsi="Times New Roman" w:cs="Times New Roman"/>
                <w:sz w:val="20"/>
                <w:szCs w:val="20"/>
              </w:rPr>
              <w:t xml:space="preserve">Ввод в состав основных средств линий электропередачи, </w:t>
            </w:r>
            <w:r>
              <w:rPr>
                <w:rFonts w:ascii="Times New Roman" w:eastAsia="Times New Roman" w:hAnsi="Times New Roman" w:cs="Times New Roman"/>
                <w:bCs/>
                <w:sz w:val="20"/>
                <w:szCs w:val="20"/>
              </w:rPr>
              <w:t>км</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1 432</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1 181</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1 153</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1 103</w:t>
            </w:r>
          </w:p>
        </w:tc>
        <w:tc>
          <w:tcPr>
            <w:tcW w:w="98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1 948</w:t>
            </w:r>
          </w:p>
        </w:tc>
      </w:tr>
    </w:tbl>
    <w:p w:rsidR="00D602D4" w:rsidRDefault="00D602D4">
      <w:pPr>
        <w:pStyle w:val="a1"/>
        <w:numPr>
          <w:ilvl w:val="0"/>
          <w:numId w:val="0"/>
        </w:numPr>
        <w:spacing w:after="0"/>
        <w:ind w:firstLine="709"/>
        <w:rPr>
          <w:sz w:val="24"/>
          <w:szCs w:val="24"/>
        </w:rPr>
      </w:pPr>
    </w:p>
    <w:p w:rsidR="00D602D4" w:rsidRDefault="00D602D4">
      <w:pPr>
        <w:pStyle w:val="afa"/>
        <w:shd w:val="clear" w:color="auto" w:fill="FFFFFF" w:themeFill="background1"/>
        <w:spacing w:after="0"/>
        <w:ind w:firstLine="709"/>
        <w:rPr>
          <w:bCs/>
          <w:i w:val="0"/>
          <w:szCs w:val="24"/>
        </w:rPr>
      </w:pPr>
    </w:p>
    <w:p w:rsidR="00D602D4" w:rsidRDefault="000B4C86">
      <w:pPr>
        <w:pStyle w:val="a1"/>
        <w:numPr>
          <w:ilvl w:val="0"/>
          <w:numId w:val="0"/>
        </w:numPr>
        <w:shd w:val="clear" w:color="auto" w:fill="FFFFFF" w:themeFill="background1"/>
        <w:spacing w:after="120"/>
        <w:rPr>
          <w:sz w:val="24"/>
          <w:szCs w:val="24"/>
        </w:rPr>
      </w:pPr>
      <w:bookmarkStart w:id="41" w:name="_Toc44"/>
      <w:r>
        <w:rPr>
          <w:b w:val="0"/>
          <w:i/>
          <w:noProof/>
          <w:sz w:val="24"/>
          <w:szCs w:val="24"/>
        </w:rPr>
        <w:lastRenderedPageBreak/>
        <w:drawing>
          <wp:inline distT="0" distB="0" distL="0" distR="0">
            <wp:extent cx="5267325" cy="1828800"/>
            <wp:effectExtent l="0" t="0" r="0" b="0"/>
            <wp:docPr id="30"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bookmarkEnd w:id="41"/>
    </w:p>
    <w:p w:rsidR="00D602D4" w:rsidRDefault="000B4C86">
      <w:pPr>
        <w:pStyle w:val="afa"/>
        <w:shd w:val="clear" w:color="auto" w:fill="FFFFFF" w:themeFill="background1"/>
        <w:spacing w:after="0"/>
        <w:jc w:val="center"/>
        <w:rPr>
          <w:b w:val="0"/>
          <w:i w:val="0"/>
          <w:szCs w:val="24"/>
        </w:rPr>
      </w:pPr>
      <w:r>
        <w:rPr>
          <w:b w:val="0"/>
          <w:i w:val="0"/>
          <w:szCs w:val="24"/>
        </w:rPr>
        <w:t>Рис. 17 - Объемы финансирования инвестиционной программы ПАО «Россети Сибирь» в 2022-2029 годах, млн руб. с НДС.</w:t>
      </w:r>
    </w:p>
    <w:p w:rsidR="00D602D4" w:rsidRDefault="000B4C86">
      <w:pPr>
        <w:pStyle w:val="af9"/>
        <w:ind w:firstLine="709"/>
        <w:rPr>
          <w:sz w:val="24"/>
        </w:rPr>
      </w:pPr>
      <w:r>
        <w:rPr>
          <w:sz w:val="24"/>
        </w:rPr>
        <w:t>Инвестиционная программа ПАО «Россети Сибирь» на период 2025-2029 годы разработана с учетом планов развития территорий СФО и ДФО, технического состояния электрических сетей, значимости объектов электроснабжения, текущей ситуации развития экономики Российской Федерации.</w:t>
      </w:r>
    </w:p>
    <w:p w:rsidR="00D602D4" w:rsidRDefault="000B4C86">
      <w:pPr>
        <w:pStyle w:val="af9"/>
        <w:ind w:firstLine="709"/>
        <w:rPr>
          <w:sz w:val="24"/>
        </w:rPr>
      </w:pPr>
      <w:r>
        <w:rPr>
          <w:sz w:val="24"/>
        </w:rPr>
        <w:t>Решения, принятые при разработке инвестиционной программы, соответствуют целям и задачам Положения ПАО «Россети» «О единой технической политике в электросетевом комплексе» (утверждено в качестве внутреннего документа решением Совета директоров ПАО «Россети Сибирь» от 03.08.2021, протокол от 06.08.2021 № 421/21, с изменениями утвержденными решением Совета директоров ПАО «Россети Сибирь» от 16.08.2022, протокол от 19.08.2022 № 466/22, далее – Единая техническая политика) и положениям действующего законодательства.</w:t>
      </w:r>
    </w:p>
    <w:p w:rsidR="00D602D4" w:rsidRDefault="00D602D4">
      <w:pPr>
        <w:pStyle w:val="af9"/>
        <w:ind w:firstLine="709"/>
        <w:rPr>
          <w:sz w:val="24"/>
        </w:rPr>
      </w:pPr>
    </w:p>
    <w:p w:rsidR="00D602D4" w:rsidRDefault="000B4C86">
      <w:pPr>
        <w:shd w:val="clear" w:color="auto" w:fill="FFFFFF" w:themeFill="background1"/>
        <w:spacing w:after="0" w:line="240" w:lineRule="auto"/>
        <w:jc w:val="right"/>
        <w:rPr>
          <w:rFonts w:ascii="Times New Roman" w:hAnsi="Times New Roman" w:cs="Times New Roman"/>
          <w:sz w:val="24"/>
          <w:szCs w:val="24"/>
        </w:rPr>
      </w:pPr>
      <w:r>
        <w:rPr>
          <w:rFonts w:ascii="Times New Roman" w:hAnsi="Times New Roman" w:cs="Times New Roman"/>
          <w:sz w:val="24"/>
          <w:szCs w:val="24"/>
        </w:rPr>
        <w:t>Таблица 34</w:t>
      </w:r>
    </w:p>
    <w:p w:rsidR="00D602D4" w:rsidRDefault="000B4C86">
      <w:pPr>
        <w:pStyle w:val="af9"/>
        <w:shd w:val="clear" w:color="auto" w:fill="FFFFFF" w:themeFill="background1"/>
        <w:ind w:firstLine="0"/>
        <w:rPr>
          <w:b/>
          <w:bCs/>
          <w:i/>
          <w:color w:val="000000"/>
          <w:sz w:val="22"/>
          <w:szCs w:val="22"/>
        </w:rPr>
      </w:pPr>
      <w:r>
        <w:rPr>
          <w:b/>
          <w:bCs/>
          <w:i/>
          <w:color w:val="000000"/>
          <w:sz w:val="24"/>
        </w:rPr>
        <w:t>Структура финансирования капитальных вложений на долгосрочный период 2025-2029 год, млн руб. с НДС</w:t>
      </w:r>
    </w:p>
    <w:tbl>
      <w:tblPr>
        <w:tblW w:w="5000" w:type="pct"/>
        <w:tblLook w:val="04A0" w:firstRow="1" w:lastRow="0" w:firstColumn="1" w:lastColumn="0" w:noHBand="0" w:noVBand="1"/>
      </w:tblPr>
      <w:tblGrid>
        <w:gridCol w:w="4029"/>
        <w:gridCol w:w="1175"/>
        <w:gridCol w:w="962"/>
        <w:gridCol w:w="1277"/>
        <w:gridCol w:w="1277"/>
        <w:gridCol w:w="1275"/>
      </w:tblGrid>
      <w:tr w:rsidR="00D602D4">
        <w:trPr>
          <w:trHeight w:val="170"/>
          <w:tblHeader/>
        </w:trPr>
        <w:tc>
          <w:tcPr>
            <w:tcW w:w="2015" w:type="pct"/>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hd w:val="clear" w:color="auto" w:fill="FFFFFF" w:themeFill="background1"/>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ДЗО ПАО «Россети»</w:t>
            </w:r>
          </w:p>
        </w:tc>
        <w:tc>
          <w:tcPr>
            <w:tcW w:w="588" w:type="pc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2025</w:t>
            </w:r>
          </w:p>
        </w:tc>
        <w:tc>
          <w:tcPr>
            <w:tcW w:w="481" w:type="pc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2026</w:t>
            </w:r>
          </w:p>
        </w:tc>
        <w:tc>
          <w:tcPr>
            <w:tcW w:w="639" w:type="pct"/>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2027</w:t>
            </w:r>
          </w:p>
        </w:tc>
        <w:tc>
          <w:tcPr>
            <w:tcW w:w="639" w:type="pct"/>
            <w:tcBorders>
              <w:top w:val="singl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2028</w:t>
            </w:r>
          </w:p>
        </w:tc>
        <w:tc>
          <w:tcPr>
            <w:tcW w:w="638" w:type="pct"/>
            <w:tcBorders>
              <w:top w:val="singl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2029</w:t>
            </w:r>
          </w:p>
        </w:tc>
      </w:tr>
      <w:tr w:rsidR="00D602D4">
        <w:trPr>
          <w:trHeight w:val="170"/>
          <w:tblHeader/>
        </w:trPr>
        <w:tc>
          <w:tcPr>
            <w:tcW w:w="2015" w:type="pct"/>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hd w:val="clear" w:color="auto" w:fill="FFFFFF" w:themeFill="background1"/>
              <w:spacing w:after="0" w:line="240" w:lineRule="auto"/>
              <w:rPr>
                <w:rFonts w:ascii="Times New Roman" w:hAnsi="Times New Roman" w:cs="Times New Roman"/>
                <w:color w:val="000000"/>
              </w:rPr>
            </w:pPr>
          </w:p>
        </w:tc>
        <w:tc>
          <w:tcPr>
            <w:tcW w:w="588" w:type="pc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план</w:t>
            </w:r>
          </w:p>
        </w:tc>
        <w:tc>
          <w:tcPr>
            <w:tcW w:w="481" w:type="pc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план</w:t>
            </w:r>
          </w:p>
        </w:tc>
        <w:tc>
          <w:tcPr>
            <w:tcW w:w="639" w:type="pc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план</w:t>
            </w:r>
          </w:p>
        </w:tc>
        <w:tc>
          <w:tcPr>
            <w:tcW w:w="63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план</w:t>
            </w:r>
          </w:p>
        </w:tc>
        <w:tc>
          <w:tcPr>
            <w:tcW w:w="638"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план</w:t>
            </w:r>
          </w:p>
        </w:tc>
      </w:tr>
      <w:tr w:rsidR="00D602D4">
        <w:trPr>
          <w:trHeight w:val="170"/>
        </w:trPr>
        <w:tc>
          <w:tcPr>
            <w:tcW w:w="2015" w:type="pct"/>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hd w:val="clear" w:color="auto" w:fill="FFFFFF" w:themeFill="background1"/>
              <w:spacing w:after="0" w:line="240" w:lineRule="auto"/>
              <w:rPr>
                <w:rFonts w:ascii="Times New Roman" w:hAnsi="Times New Roman" w:cs="Times New Roman"/>
                <w:b/>
                <w:bCs/>
                <w:color w:val="000000"/>
                <w:sz w:val="20"/>
                <w:szCs w:val="20"/>
              </w:rPr>
            </w:pPr>
            <w:r>
              <w:rPr>
                <w:rFonts w:ascii="Times New Roman" w:hAnsi="Times New Roman" w:cs="Times New Roman"/>
                <w:b/>
                <w:bCs/>
                <w:color w:val="000000"/>
                <w:sz w:val="20"/>
                <w:szCs w:val="20"/>
              </w:rPr>
              <w:t>Итого по ПАО «Россети Сибирь»</w:t>
            </w:r>
          </w:p>
        </w:tc>
        <w:tc>
          <w:tcPr>
            <w:tcW w:w="588"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16 297</w:t>
            </w:r>
          </w:p>
        </w:tc>
        <w:tc>
          <w:tcPr>
            <w:tcW w:w="481"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12 430</w:t>
            </w:r>
          </w:p>
        </w:tc>
        <w:tc>
          <w:tcPr>
            <w:tcW w:w="639"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11 795</w:t>
            </w:r>
          </w:p>
        </w:tc>
        <w:tc>
          <w:tcPr>
            <w:tcW w:w="639" w:type="pc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11 775</w:t>
            </w:r>
          </w:p>
        </w:tc>
        <w:tc>
          <w:tcPr>
            <w:tcW w:w="638" w:type="pc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11 729</w:t>
            </w:r>
          </w:p>
        </w:tc>
      </w:tr>
      <w:tr w:rsidR="00D602D4">
        <w:trPr>
          <w:trHeight w:val="170"/>
        </w:trPr>
        <w:tc>
          <w:tcPr>
            <w:tcW w:w="2015" w:type="pct"/>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hd w:val="clear" w:color="auto" w:fill="FFFFFF" w:themeFill="background1"/>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Технологическое присоединение</w:t>
            </w:r>
          </w:p>
        </w:tc>
        <w:tc>
          <w:tcPr>
            <w:tcW w:w="588"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10 859</w:t>
            </w:r>
          </w:p>
        </w:tc>
        <w:tc>
          <w:tcPr>
            <w:tcW w:w="481"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7 117</w:t>
            </w:r>
          </w:p>
        </w:tc>
        <w:tc>
          <w:tcPr>
            <w:tcW w:w="639"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4 732</w:t>
            </w:r>
          </w:p>
        </w:tc>
        <w:tc>
          <w:tcPr>
            <w:tcW w:w="63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4 614</w:t>
            </w:r>
          </w:p>
        </w:tc>
        <w:tc>
          <w:tcPr>
            <w:tcW w:w="638"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5 540</w:t>
            </w:r>
          </w:p>
        </w:tc>
      </w:tr>
      <w:tr w:rsidR="00D602D4">
        <w:trPr>
          <w:trHeight w:val="170"/>
        </w:trPr>
        <w:tc>
          <w:tcPr>
            <w:tcW w:w="2015" w:type="pct"/>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hd w:val="clear" w:color="auto" w:fill="FFFFFF" w:themeFill="background1"/>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Реконструкция, модернизация, техническое перевооружение</w:t>
            </w:r>
          </w:p>
        </w:tc>
        <w:tc>
          <w:tcPr>
            <w:tcW w:w="588"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3 983</w:t>
            </w:r>
          </w:p>
        </w:tc>
        <w:tc>
          <w:tcPr>
            <w:tcW w:w="481"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3 873</w:t>
            </w:r>
          </w:p>
        </w:tc>
        <w:tc>
          <w:tcPr>
            <w:tcW w:w="639"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4 599</w:t>
            </w:r>
          </w:p>
        </w:tc>
        <w:tc>
          <w:tcPr>
            <w:tcW w:w="63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5 068</w:t>
            </w:r>
          </w:p>
        </w:tc>
        <w:tc>
          <w:tcPr>
            <w:tcW w:w="638"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5 411</w:t>
            </w:r>
          </w:p>
        </w:tc>
      </w:tr>
      <w:tr w:rsidR="00D602D4">
        <w:trPr>
          <w:trHeight w:val="170"/>
        </w:trPr>
        <w:tc>
          <w:tcPr>
            <w:tcW w:w="2015" w:type="pct"/>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hd w:val="clear" w:color="auto" w:fill="FFFFFF" w:themeFill="background1"/>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Инвестиционные проекты, реализация которых обуславливается схемами и программами перспективного развития электроэнергетики</w:t>
            </w:r>
          </w:p>
        </w:tc>
        <w:tc>
          <w:tcPr>
            <w:tcW w:w="588"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62</w:t>
            </w:r>
          </w:p>
        </w:tc>
        <w:tc>
          <w:tcPr>
            <w:tcW w:w="481"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91</w:t>
            </w:r>
          </w:p>
        </w:tc>
        <w:tc>
          <w:tcPr>
            <w:tcW w:w="639"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820</w:t>
            </w:r>
          </w:p>
        </w:tc>
        <w:tc>
          <w:tcPr>
            <w:tcW w:w="63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790</w:t>
            </w:r>
          </w:p>
        </w:tc>
        <w:tc>
          <w:tcPr>
            <w:tcW w:w="638"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39</w:t>
            </w:r>
          </w:p>
        </w:tc>
      </w:tr>
      <w:tr w:rsidR="00D602D4">
        <w:trPr>
          <w:trHeight w:val="170"/>
        </w:trPr>
        <w:tc>
          <w:tcPr>
            <w:tcW w:w="2015" w:type="pct"/>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hd w:val="clear" w:color="auto" w:fill="FFFFFF" w:themeFill="background1"/>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Прочее новое строительство объектов электросетевого хозяйства</w:t>
            </w:r>
          </w:p>
        </w:tc>
        <w:tc>
          <w:tcPr>
            <w:tcW w:w="588"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269</w:t>
            </w:r>
          </w:p>
        </w:tc>
        <w:tc>
          <w:tcPr>
            <w:tcW w:w="481"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381</w:t>
            </w:r>
          </w:p>
        </w:tc>
        <w:tc>
          <w:tcPr>
            <w:tcW w:w="639"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389</w:t>
            </w:r>
          </w:p>
        </w:tc>
        <w:tc>
          <w:tcPr>
            <w:tcW w:w="63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638"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w:t>
            </w:r>
          </w:p>
        </w:tc>
      </w:tr>
      <w:tr w:rsidR="00D602D4">
        <w:trPr>
          <w:trHeight w:val="170"/>
        </w:trPr>
        <w:tc>
          <w:tcPr>
            <w:tcW w:w="2015" w:type="pct"/>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hd w:val="clear" w:color="auto" w:fill="FFFFFF" w:themeFill="background1"/>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Покупка земельных участков для целей реализации инвестиционных проектов</w:t>
            </w:r>
          </w:p>
        </w:tc>
        <w:tc>
          <w:tcPr>
            <w:tcW w:w="588"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481"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639"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63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638"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r>
      <w:tr w:rsidR="00D602D4">
        <w:trPr>
          <w:trHeight w:val="170"/>
        </w:trPr>
        <w:tc>
          <w:tcPr>
            <w:tcW w:w="2015" w:type="pc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hd w:val="clear" w:color="auto" w:fill="FFFFFF" w:themeFill="background1"/>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Прочие инвестиционные проекты</w:t>
            </w:r>
          </w:p>
        </w:tc>
        <w:tc>
          <w:tcPr>
            <w:tcW w:w="588"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1 124</w:t>
            </w:r>
          </w:p>
        </w:tc>
        <w:tc>
          <w:tcPr>
            <w:tcW w:w="481"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968</w:t>
            </w:r>
          </w:p>
        </w:tc>
        <w:tc>
          <w:tcPr>
            <w:tcW w:w="639" w:type="pct"/>
            <w:tcBorders>
              <w:top w:val="none" w:sz="4" w:space="0" w:color="000000"/>
              <w:left w:val="none" w:sz="4" w:space="0" w:color="000000"/>
              <w:bottom w:val="single" w:sz="4" w:space="0" w:color="000000"/>
              <w:right w:val="single" w:sz="4" w:space="0" w:color="000000"/>
            </w:tcBorders>
            <w:noWrap/>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1 255</w:t>
            </w:r>
          </w:p>
        </w:tc>
        <w:tc>
          <w:tcPr>
            <w:tcW w:w="639"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1 295</w:t>
            </w:r>
          </w:p>
        </w:tc>
        <w:tc>
          <w:tcPr>
            <w:tcW w:w="638" w:type="pct"/>
            <w:tcBorders>
              <w:top w:val="none" w:sz="4" w:space="0" w:color="000000"/>
              <w:left w:val="non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732</w:t>
            </w:r>
          </w:p>
        </w:tc>
      </w:tr>
    </w:tbl>
    <w:p w:rsidR="00D602D4" w:rsidRDefault="000B4C86">
      <w:pPr>
        <w:pStyle w:val="a1"/>
        <w:numPr>
          <w:ilvl w:val="0"/>
          <w:numId w:val="0"/>
        </w:numPr>
        <w:jc w:val="left"/>
      </w:pPr>
      <w:bookmarkStart w:id="42" w:name="_Toc45"/>
      <w:r>
        <w:rPr>
          <w:noProof/>
          <w:sz w:val="24"/>
        </w:rPr>
        <w:lastRenderedPageBreak/>
        <w:drawing>
          <wp:inline distT="0" distB="0" distL="0" distR="0">
            <wp:extent cx="6229350" cy="1685925"/>
            <wp:effectExtent l="0" t="0" r="0" b="0"/>
            <wp:docPr id="31"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bookmarkEnd w:id="42"/>
    </w:p>
    <w:p w:rsidR="00D602D4" w:rsidRDefault="00D602D4">
      <w:pPr>
        <w:pStyle w:val="afa"/>
        <w:shd w:val="clear" w:color="auto" w:fill="FFFFFF" w:themeFill="background1"/>
        <w:spacing w:after="0"/>
        <w:rPr>
          <w:i w:val="0"/>
          <w:szCs w:val="24"/>
        </w:rPr>
      </w:pPr>
    </w:p>
    <w:p w:rsidR="00D602D4" w:rsidRDefault="000B4C86">
      <w:pPr>
        <w:pStyle w:val="afa"/>
        <w:shd w:val="clear" w:color="auto" w:fill="FFFFFF" w:themeFill="background1"/>
        <w:spacing w:after="0"/>
        <w:rPr>
          <w:i w:val="0"/>
          <w:szCs w:val="24"/>
        </w:rPr>
      </w:pPr>
      <w:r>
        <w:rPr>
          <w:i w:val="0"/>
          <w:szCs w:val="24"/>
        </w:rPr>
        <w:t>Рис. 18 - Структура планового финансирования ПАО «Россети Сибирь» капитальных вложений на долгосрочный период 2025-2029 годы, в %.</w:t>
      </w:r>
    </w:p>
    <w:p w:rsidR="00D602D4" w:rsidRDefault="000B4C86">
      <w:pPr>
        <w:pStyle w:val="af9"/>
        <w:ind w:firstLine="709"/>
        <w:rPr>
          <w:sz w:val="24"/>
        </w:rPr>
      </w:pPr>
      <w:r>
        <w:rPr>
          <w:sz w:val="24"/>
        </w:rPr>
        <w:t>Структура планового финансирования инвестиционной программы ПАО «Россети Сибирь» на долгосрочный период 2025-2029 годы по основным направлениям:</w:t>
      </w:r>
    </w:p>
    <w:p w:rsidR="00D602D4" w:rsidRDefault="000B4C86">
      <w:pPr>
        <w:pStyle w:val="af9"/>
        <w:ind w:firstLine="709"/>
        <w:rPr>
          <w:sz w:val="24"/>
        </w:rPr>
      </w:pPr>
      <w:r>
        <w:rPr>
          <w:sz w:val="24"/>
        </w:rPr>
        <w:t xml:space="preserve">- технологическое присоединение 51%; </w:t>
      </w:r>
    </w:p>
    <w:p w:rsidR="00D602D4" w:rsidRDefault="000B4C86">
      <w:pPr>
        <w:pStyle w:val="af9"/>
        <w:ind w:firstLine="709"/>
        <w:rPr>
          <w:sz w:val="24"/>
        </w:rPr>
      </w:pPr>
      <w:r>
        <w:rPr>
          <w:sz w:val="24"/>
        </w:rPr>
        <w:t>- реконструкция, модернизация, техническое перевооружение объектов 36%;</w:t>
      </w:r>
    </w:p>
    <w:p w:rsidR="00D602D4" w:rsidRDefault="000B4C86">
      <w:pPr>
        <w:pStyle w:val="af9"/>
        <w:ind w:firstLine="709"/>
        <w:jc w:val="left"/>
        <w:rPr>
          <w:sz w:val="24"/>
        </w:rPr>
      </w:pPr>
      <w:r>
        <w:rPr>
          <w:sz w:val="24"/>
        </w:rPr>
        <w:t>- инвестиционные проекты, реализация которых обуславливается схемами и программами перспективного развития электроэнергетики 3%;</w:t>
      </w:r>
      <w:r>
        <w:rPr>
          <w:sz w:val="24"/>
        </w:rPr>
        <w:tab/>
      </w:r>
    </w:p>
    <w:p w:rsidR="00D602D4" w:rsidRDefault="000B4C86">
      <w:pPr>
        <w:pStyle w:val="af9"/>
        <w:ind w:firstLine="709"/>
        <w:rPr>
          <w:sz w:val="24"/>
        </w:rPr>
      </w:pPr>
      <w:r>
        <w:rPr>
          <w:sz w:val="24"/>
        </w:rPr>
        <w:t>- прочее новое строительство объектов электросетевого хозяйства 2%;</w:t>
      </w:r>
    </w:p>
    <w:p w:rsidR="00D602D4" w:rsidRDefault="000B4C86">
      <w:pPr>
        <w:pStyle w:val="af9"/>
        <w:ind w:firstLine="709"/>
        <w:rPr>
          <w:sz w:val="24"/>
        </w:rPr>
      </w:pPr>
      <w:r>
        <w:rPr>
          <w:sz w:val="24"/>
        </w:rPr>
        <w:t>- покупка земельных участков для целей реализации инвестиционных проектов не планируется;</w:t>
      </w:r>
    </w:p>
    <w:p w:rsidR="00D602D4" w:rsidRDefault="000B4C86">
      <w:pPr>
        <w:pStyle w:val="af9"/>
        <w:ind w:firstLine="709"/>
        <w:rPr>
          <w:sz w:val="24"/>
        </w:rPr>
      </w:pPr>
      <w:r>
        <w:rPr>
          <w:sz w:val="24"/>
        </w:rPr>
        <w:t>- прочие инвестиционные проекты 8%.</w:t>
      </w:r>
    </w:p>
    <w:p w:rsidR="00D602D4" w:rsidRDefault="00D602D4">
      <w:pPr>
        <w:pStyle w:val="af9"/>
        <w:ind w:firstLine="709"/>
        <w:rPr>
          <w:sz w:val="24"/>
        </w:rPr>
      </w:pPr>
    </w:p>
    <w:p w:rsidR="00D602D4" w:rsidRDefault="00D602D4">
      <w:pPr>
        <w:pStyle w:val="af9"/>
        <w:ind w:firstLine="709"/>
        <w:rPr>
          <w:sz w:val="24"/>
        </w:rPr>
      </w:pPr>
    </w:p>
    <w:p w:rsidR="00D602D4" w:rsidRDefault="000B4C86">
      <w:pPr>
        <w:pStyle w:val="13"/>
        <w:spacing w:before="0" w:line="240" w:lineRule="auto"/>
        <w:rPr>
          <w:rFonts w:ascii="Times New Roman" w:hAnsi="Times New Roman" w:cs="Times New Roman"/>
          <w:color w:val="000000" w:themeColor="text1"/>
          <w:sz w:val="26"/>
          <w:szCs w:val="26"/>
        </w:rPr>
      </w:pPr>
      <w:bookmarkStart w:id="43" w:name="_Toc46"/>
      <w:r>
        <w:rPr>
          <w:rFonts w:ascii="Times New Roman" w:eastAsia="Times New Roman" w:hAnsi="Times New Roman" w:cs="Times New Roman"/>
          <w:b/>
          <w:color w:val="000000" w:themeColor="text1"/>
          <w:sz w:val="26"/>
          <w:szCs w:val="26"/>
        </w:rPr>
        <w:t>3.1.9. Инновационная деятельность</w:t>
      </w:r>
      <w:bookmarkEnd w:id="43"/>
    </w:p>
    <w:p w:rsidR="00D602D4" w:rsidRDefault="00D602D4">
      <w:pPr>
        <w:spacing w:after="0" w:line="240" w:lineRule="auto"/>
        <w:ind w:firstLine="709"/>
        <w:jc w:val="both"/>
        <w:rPr>
          <w:rFonts w:ascii="Times New Roman" w:hAnsi="Times New Roman" w:cs="Times New Roman"/>
          <w:b/>
          <w:bCs/>
          <w:sz w:val="24"/>
          <w:szCs w:val="24"/>
        </w:rPr>
      </w:pPr>
    </w:p>
    <w:p w:rsidR="00D602D4" w:rsidRDefault="000B4C86">
      <w:pPr>
        <w:spacing w:after="0" w:line="240" w:lineRule="auto"/>
        <w:ind w:firstLine="709"/>
        <w:jc w:val="both"/>
        <w:rPr>
          <w:rFonts w:ascii="Times New Roman" w:hAnsi="Times New Roman" w:cs="Times New Roman"/>
          <w:b/>
          <w:bCs/>
          <w:sz w:val="24"/>
          <w:szCs w:val="24"/>
        </w:rPr>
      </w:pPr>
      <w:r>
        <w:rPr>
          <w:rFonts w:ascii="Times New Roman" w:hAnsi="Times New Roman" w:cs="Times New Roman"/>
          <w:b/>
          <w:sz w:val="24"/>
        </w:rPr>
        <w:t>Реализация программы инновационного развития ПАО «Россети Сибирь» на 2024-2029 годы с перспективой до 2035 года.</w:t>
      </w:r>
    </w:p>
    <w:p w:rsidR="00D602D4" w:rsidRDefault="00D602D4">
      <w:pPr>
        <w:spacing w:after="0" w:line="240" w:lineRule="auto"/>
        <w:ind w:firstLine="709"/>
        <w:jc w:val="both"/>
        <w:rPr>
          <w:rFonts w:ascii="Times New Roman" w:hAnsi="Times New Roman" w:cs="Times New Roman"/>
          <w:sz w:val="24"/>
        </w:rPr>
      </w:pPr>
    </w:p>
    <w:p w:rsidR="00D602D4" w:rsidRDefault="000B4C86">
      <w:pPr>
        <w:spacing w:after="0" w:line="240" w:lineRule="auto"/>
        <w:ind w:firstLine="709"/>
        <w:jc w:val="both"/>
      </w:pPr>
      <w:r>
        <w:rPr>
          <w:rFonts w:ascii="Times New Roman" w:hAnsi="Times New Roman" w:cs="Times New Roman"/>
          <w:sz w:val="24"/>
        </w:rPr>
        <w:t xml:space="preserve">В соответствии с протоколом заседания Правительственной комиссии по модернизации экономики и инновационному развитию России от 22.10.2018 № 2, в целях развития системы управления инновационной деятельностью и повышения качества реализации задач инновационного развития ПАО «Россети Сибирь» разработана Программа инновационного развития ПАО «Россети Сибирь» на 2024-2029 годы с перспективой до 2035 года (далее - ПИР). </w:t>
      </w:r>
    </w:p>
    <w:p w:rsidR="00D602D4" w:rsidRDefault="000B4C86">
      <w:pPr>
        <w:spacing w:after="0" w:line="240" w:lineRule="auto"/>
        <w:ind w:firstLine="709"/>
        <w:jc w:val="both"/>
      </w:pPr>
      <w:r>
        <w:rPr>
          <w:rFonts w:ascii="Times New Roman" w:hAnsi="Times New Roman" w:cs="Times New Roman"/>
          <w:sz w:val="24"/>
        </w:rPr>
        <w:t>Ключевыми направлениями инновационного развития на период реализации Программы инновационного развития определены:</w:t>
      </w:r>
    </w:p>
    <w:p w:rsidR="00D602D4" w:rsidRDefault="000B4C86">
      <w:pPr>
        <w:spacing w:after="0" w:line="240" w:lineRule="auto"/>
        <w:ind w:firstLine="709"/>
        <w:jc w:val="both"/>
      </w:pPr>
      <w:r>
        <w:rPr>
          <w:rFonts w:ascii="Times New Roman" w:hAnsi="Times New Roman" w:cs="Times New Roman"/>
          <w:sz w:val="24"/>
        </w:rPr>
        <w:t>1. Переход к высокоавтоматизированным подстанциям различного класса напряжения.</w:t>
      </w:r>
    </w:p>
    <w:p w:rsidR="00D602D4" w:rsidRDefault="000B4C86">
      <w:pPr>
        <w:spacing w:after="0" w:line="240" w:lineRule="auto"/>
        <w:ind w:firstLine="709"/>
        <w:jc w:val="both"/>
      </w:pPr>
      <w:r>
        <w:rPr>
          <w:rFonts w:ascii="Times New Roman" w:hAnsi="Times New Roman" w:cs="Times New Roman"/>
          <w:sz w:val="24"/>
        </w:rPr>
        <w:t>2. Переход к высокоавтоматизированным сетям с распределенной интеллектуальной системой автоматизации и управления.</w:t>
      </w:r>
    </w:p>
    <w:p w:rsidR="00D602D4" w:rsidRDefault="000B4C86">
      <w:pPr>
        <w:spacing w:after="0" w:line="240" w:lineRule="auto"/>
        <w:ind w:firstLine="709"/>
        <w:jc w:val="both"/>
      </w:pPr>
      <w:r>
        <w:rPr>
          <w:rFonts w:ascii="Times New Roman" w:hAnsi="Times New Roman" w:cs="Times New Roman"/>
          <w:sz w:val="24"/>
        </w:rPr>
        <w:t>3. Переход к комплексной эффективности бизнес-процессов и автоматизации систем управления.</w:t>
      </w:r>
    </w:p>
    <w:p w:rsidR="00D602D4" w:rsidRDefault="000B4C86">
      <w:pPr>
        <w:spacing w:after="0" w:line="240" w:lineRule="auto"/>
        <w:ind w:firstLine="709"/>
        <w:jc w:val="both"/>
      </w:pPr>
      <w:r>
        <w:rPr>
          <w:rFonts w:ascii="Times New Roman" w:hAnsi="Times New Roman" w:cs="Times New Roman"/>
          <w:sz w:val="24"/>
        </w:rPr>
        <w:t>4. Применение новых технологий и материалов в электроэнергетике.</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5.  Развитие организационной структуры и механизмов управления ПИР.</w:t>
      </w:r>
    </w:p>
    <w:p w:rsidR="00D602D4" w:rsidRDefault="00D602D4">
      <w:pPr>
        <w:spacing w:after="0" w:line="240" w:lineRule="auto"/>
        <w:ind w:firstLine="709"/>
        <w:jc w:val="right"/>
        <w:rPr>
          <w:rFonts w:ascii="Times New Roman" w:hAnsi="Times New Roman" w:cs="Times New Roman"/>
          <w:sz w:val="24"/>
        </w:rPr>
      </w:pPr>
    </w:p>
    <w:p w:rsidR="00D602D4" w:rsidRDefault="00D602D4">
      <w:pPr>
        <w:spacing w:after="0" w:line="240" w:lineRule="auto"/>
        <w:ind w:firstLine="709"/>
        <w:jc w:val="right"/>
        <w:rPr>
          <w:rFonts w:ascii="Times New Roman" w:hAnsi="Times New Roman" w:cs="Times New Roman"/>
          <w:sz w:val="24"/>
          <w:szCs w:val="24"/>
        </w:rPr>
      </w:pPr>
    </w:p>
    <w:p w:rsidR="00D602D4" w:rsidRDefault="00D602D4">
      <w:pPr>
        <w:spacing w:after="0" w:line="240" w:lineRule="auto"/>
        <w:ind w:firstLine="709"/>
        <w:jc w:val="right"/>
        <w:rPr>
          <w:rFonts w:ascii="Times New Roman" w:hAnsi="Times New Roman" w:cs="Times New Roman"/>
          <w:sz w:val="24"/>
          <w:szCs w:val="24"/>
        </w:rPr>
      </w:pPr>
    </w:p>
    <w:p w:rsidR="00D602D4" w:rsidRDefault="000B4C86">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rPr>
        <w:lastRenderedPageBreak/>
        <w:t>Таблица 35</w:t>
      </w:r>
    </w:p>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4"/>
        </w:rPr>
        <w:t>Затраты на реализацию Программы инновационного развития</w:t>
      </w:r>
    </w:p>
    <w:tbl>
      <w:tblPr>
        <w:tblStyle w:val="45"/>
        <w:tblW w:w="4933" w:type="pct"/>
        <w:jc w:val="center"/>
        <w:tblLayout w:type="fixed"/>
        <w:tblLook w:val="04A0" w:firstRow="1" w:lastRow="0" w:firstColumn="1" w:lastColumn="0" w:noHBand="0" w:noVBand="1"/>
      </w:tblPr>
      <w:tblGrid>
        <w:gridCol w:w="803"/>
        <w:gridCol w:w="7527"/>
        <w:gridCol w:w="1531"/>
      </w:tblGrid>
      <w:tr w:rsidR="00D602D4">
        <w:trPr>
          <w:trHeight w:val="407"/>
          <w:jc w:val="center"/>
        </w:trPr>
        <w:tc>
          <w:tcPr>
            <w:tcW w:w="800" w:type="dxa"/>
            <w:vAlign w:val="center"/>
          </w:tcPr>
          <w:p w:rsidR="00D602D4" w:rsidRDefault="000B4C86">
            <w:pPr>
              <w:jc w:val="center"/>
              <w:rPr>
                <w:rFonts w:ascii="Times New Roman" w:hAnsi="Times New Roman"/>
                <w:b/>
                <w:sz w:val="20"/>
                <w:szCs w:val="20"/>
              </w:rPr>
            </w:pPr>
            <w:r>
              <w:rPr>
                <w:rFonts w:ascii="Times New Roman" w:hAnsi="Times New Roman"/>
                <w:b/>
                <w:sz w:val="20"/>
                <w:szCs w:val="20"/>
              </w:rPr>
              <w:t>№ п/п</w:t>
            </w:r>
          </w:p>
        </w:tc>
        <w:tc>
          <w:tcPr>
            <w:tcW w:w="7478" w:type="dxa"/>
            <w:vAlign w:val="center"/>
          </w:tcPr>
          <w:p w:rsidR="00D602D4" w:rsidRDefault="000B4C86">
            <w:pPr>
              <w:jc w:val="center"/>
              <w:rPr>
                <w:rFonts w:ascii="Times New Roman" w:hAnsi="Times New Roman"/>
                <w:b/>
                <w:sz w:val="20"/>
                <w:szCs w:val="20"/>
              </w:rPr>
            </w:pPr>
            <w:r>
              <w:rPr>
                <w:rFonts w:ascii="Times New Roman" w:hAnsi="Times New Roman"/>
                <w:b/>
                <w:sz w:val="20"/>
                <w:szCs w:val="20"/>
              </w:rPr>
              <w:t>Направления инновационного развития</w:t>
            </w:r>
          </w:p>
        </w:tc>
        <w:tc>
          <w:tcPr>
            <w:tcW w:w="1525" w:type="dxa"/>
            <w:vAlign w:val="center"/>
          </w:tcPr>
          <w:p w:rsidR="00D602D4" w:rsidRDefault="000B4C86">
            <w:pPr>
              <w:jc w:val="center"/>
              <w:rPr>
                <w:rFonts w:ascii="Times New Roman" w:hAnsi="Times New Roman"/>
                <w:b/>
                <w:bCs/>
                <w:sz w:val="20"/>
                <w:szCs w:val="20"/>
              </w:rPr>
            </w:pPr>
            <w:r>
              <w:rPr>
                <w:rFonts w:ascii="Times New Roman" w:hAnsi="Times New Roman"/>
                <w:b/>
                <w:sz w:val="20"/>
                <w:szCs w:val="20"/>
              </w:rPr>
              <w:t>Факт 2024 года, млн. руб. без НДС</w:t>
            </w:r>
          </w:p>
        </w:tc>
      </w:tr>
      <w:tr w:rsidR="00D602D4">
        <w:trPr>
          <w:trHeight w:val="219"/>
          <w:jc w:val="center"/>
        </w:trPr>
        <w:tc>
          <w:tcPr>
            <w:tcW w:w="800" w:type="dxa"/>
            <w:vAlign w:val="center"/>
          </w:tcPr>
          <w:p w:rsidR="00D602D4" w:rsidRDefault="000B4C86">
            <w:pPr>
              <w:jc w:val="center"/>
              <w:rPr>
                <w:rFonts w:ascii="Times New Roman" w:hAnsi="Times New Roman"/>
                <w:sz w:val="20"/>
                <w:szCs w:val="20"/>
              </w:rPr>
            </w:pPr>
            <w:r>
              <w:rPr>
                <w:rFonts w:ascii="Times New Roman" w:hAnsi="Times New Roman"/>
                <w:sz w:val="20"/>
                <w:szCs w:val="20"/>
              </w:rPr>
              <w:t>1</w:t>
            </w:r>
          </w:p>
        </w:tc>
        <w:tc>
          <w:tcPr>
            <w:tcW w:w="7478" w:type="dxa"/>
            <w:vAlign w:val="center"/>
          </w:tcPr>
          <w:p w:rsidR="00D602D4" w:rsidRDefault="000B4C86">
            <w:pPr>
              <w:rPr>
                <w:rFonts w:ascii="Times New Roman" w:hAnsi="Times New Roman"/>
                <w:sz w:val="20"/>
                <w:szCs w:val="20"/>
              </w:rPr>
            </w:pPr>
            <w:r>
              <w:rPr>
                <w:rFonts w:ascii="Times New Roman" w:hAnsi="Times New Roman"/>
                <w:sz w:val="20"/>
                <w:szCs w:val="20"/>
              </w:rPr>
              <w:t>Переход к высокоавтоматизированным подстанциям различного класса напряжения</w:t>
            </w:r>
          </w:p>
        </w:tc>
        <w:tc>
          <w:tcPr>
            <w:tcW w:w="1525" w:type="dxa"/>
            <w:vAlign w:val="center"/>
          </w:tcPr>
          <w:p w:rsidR="00D602D4" w:rsidRDefault="000B4C86">
            <w:pPr>
              <w:jc w:val="center"/>
              <w:rPr>
                <w:rFonts w:ascii="Times New Roman" w:hAnsi="Times New Roman"/>
              </w:rPr>
            </w:pPr>
            <w:r>
              <w:rPr>
                <w:rFonts w:ascii="Times New Roman" w:hAnsi="Times New Roman"/>
              </w:rPr>
              <w:t>160,4</w:t>
            </w:r>
          </w:p>
        </w:tc>
      </w:tr>
      <w:tr w:rsidR="00D602D4">
        <w:trPr>
          <w:jc w:val="center"/>
        </w:trPr>
        <w:tc>
          <w:tcPr>
            <w:tcW w:w="800" w:type="dxa"/>
            <w:vAlign w:val="center"/>
          </w:tcPr>
          <w:p w:rsidR="00D602D4" w:rsidRDefault="000B4C86">
            <w:pPr>
              <w:jc w:val="center"/>
              <w:rPr>
                <w:rFonts w:ascii="Times New Roman" w:hAnsi="Times New Roman"/>
                <w:sz w:val="20"/>
                <w:szCs w:val="20"/>
              </w:rPr>
            </w:pPr>
            <w:r>
              <w:rPr>
                <w:rFonts w:ascii="Times New Roman" w:hAnsi="Times New Roman"/>
                <w:sz w:val="20"/>
                <w:szCs w:val="20"/>
              </w:rPr>
              <w:t>2</w:t>
            </w:r>
          </w:p>
        </w:tc>
        <w:tc>
          <w:tcPr>
            <w:tcW w:w="7478" w:type="dxa"/>
            <w:vAlign w:val="center"/>
          </w:tcPr>
          <w:p w:rsidR="00D602D4" w:rsidRDefault="000B4C86">
            <w:pPr>
              <w:rPr>
                <w:rFonts w:ascii="Times New Roman" w:hAnsi="Times New Roman"/>
                <w:sz w:val="20"/>
                <w:szCs w:val="20"/>
              </w:rPr>
            </w:pPr>
            <w:r>
              <w:rPr>
                <w:rFonts w:ascii="Times New Roman" w:hAnsi="Times New Roman"/>
                <w:sz w:val="20"/>
                <w:szCs w:val="20"/>
              </w:rPr>
              <w:t>Переход к высокоавтоматизированным сетям с распределенной интеллектуальной системой автоматизации и управления</w:t>
            </w:r>
          </w:p>
        </w:tc>
        <w:tc>
          <w:tcPr>
            <w:tcW w:w="1525" w:type="dxa"/>
            <w:vAlign w:val="center"/>
          </w:tcPr>
          <w:p w:rsidR="00D602D4" w:rsidRDefault="000B4C86">
            <w:pPr>
              <w:jc w:val="center"/>
              <w:rPr>
                <w:rFonts w:ascii="Times New Roman" w:hAnsi="Times New Roman"/>
              </w:rPr>
            </w:pPr>
            <w:r>
              <w:rPr>
                <w:rFonts w:ascii="Times New Roman" w:hAnsi="Times New Roman"/>
              </w:rPr>
              <w:t>104,3</w:t>
            </w:r>
          </w:p>
        </w:tc>
      </w:tr>
      <w:tr w:rsidR="00D602D4">
        <w:trPr>
          <w:jc w:val="center"/>
        </w:trPr>
        <w:tc>
          <w:tcPr>
            <w:tcW w:w="800" w:type="dxa"/>
            <w:vAlign w:val="center"/>
          </w:tcPr>
          <w:p w:rsidR="00D602D4" w:rsidRDefault="000B4C86">
            <w:pPr>
              <w:jc w:val="center"/>
              <w:rPr>
                <w:rFonts w:ascii="Times New Roman" w:hAnsi="Times New Roman"/>
                <w:sz w:val="20"/>
                <w:szCs w:val="20"/>
              </w:rPr>
            </w:pPr>
            <w:r>
              <w:rPr>
                <w:rFonts w:ascii="Times New Roman" w:hAnsi="Times New Roman"/>
                <w:sz w:val="20"/>
                <w:szCs w:val="20"/>
              </w:rPr>
              <w:t>3</w:t>
            </w:r>
          </w:p>
        </w:tc>
        <w:tc>
          <w:tcPr>
            <w:tcW w:w="7478" w:type="dxa"/>
            <w:vAlign w:val="center"/>
          </w:tcPr>
          <w:p w:rsidR="00D602D4" w:rsidRDefault="000B4C86">
            <w:pPr>
              <w:rPr>
                <w:rFonts w:ascii="Times New Roman" w:hAnsi="Times New Roman"/>
                <w:sz w:val="20"/>
                <w:szCs w:val="20"/>
              </w:rPr>
            </w:pPr>
            <w:r>
              <w:rPr>
                <w:rFonts w:ascii="Times New Roman" w:hAnsi="Times New Roman"/>
                <w:sz w:val="20"/>
                <w:szCs w:val="20"/>
              </w:rPr>
              <w:t>Переход к комплексной эффективности бизнес-процессов и автоматизации систем управления</w:t>
            </w:r>
          </w:p>
        </w:tc>
        <w:tc>
          <w:tcPr>
            <w:tcW w:w="1525" w:type="dxa"/>
            <w:vAlign w:val="center"/>
          </w:tcPr>
          <w:p w:rsidR="00D602D4" w:rsidRDefault="000B4C86">
            <w:pPr>
              <w:jc w:val="center"/>
              <w:rPr>
                <w:rFonts w:ascii="Times New Roman" w:hAnsi="Times New Roman"/>
              </w:rPr>
            </w:pPr>
            <w:r>
              <w:rPr>
                <w:rFonts w:ascii="Times New Roman" w:hAnsi="Times New Roman"/>
              </w:rPr>
              <w:t>457,</w:t>
            </w:r>
            <w:r>
              <w:rPr>
                <w:rFonts w:ascii="Times New Roman" w:hAnsi="Times New Roman"/>
                <w:lang w:val="en-US"/>
              </w:rPr>
              <w:t>3</w:t>
            </w:r>
          </w:p>
        </w:tc>
      </w:tr>
      <w:tr w:rsidR="00D602D4">
        <w:trPr>
          <w:jc w:val="center"/>
        </w:trPr>
        <w:tc>
          <w:tcPr>
            <w:tcW w:w="800" w:type="dxa"/>
            <w:vAlign w:val="center"/>
          </w:tcPr>
          <w:p w:rsidR="00D602D4" w:rsidRDefault="000B4C86">
            <w:pPr>
              <w:jc w:val="center"/>
              <w:rPr>
                <w:rFonts w:ascii="Times New Roman" w:hAnsi="Times New Roman"/>
                <w:sz w:val="20"/>
                <w:szCs w:val="20"/>
              </w:rPr>
            </w:pPr>
            <w:r>
              <w:rPr>
                <w:rFonts w:ascii="Times New Roman" w:hAnsi="Times New Roman"/>
                <w:sz w:val="20"/>
                <w:szCs w:val="20"/>
              </w:rPr>
              <w:t>4</w:t>
            </w:r>
          </w:p>
        </w:tc>
        <w:tc>
          <w:tcPr>
            <w:tcW w:w="7478" w:type="dxa"/>
            <w:vAlign w:val="center"/>
          </w:tcPr>
          <w:p w:rsidR="00D602D4" w:rsidRDefault="000B4C86">
            <w:pPr>
              <w:rPr>
                <w:rFonts w:ascii="Times New Roman" w:hAnsi="Times New Roman"/>
                <w:sz w:val="20"/>
                <w:szCs w:val="20"/>
              </w:rPr>
            </w:pPr>
            <w:r>
              <w:rPr>
                <w:rFonts w:ascii="Times New Roman" w:hAnsi="Times New Roman"/>
                <w:sz w:val="20"/>
                <w:szCs w:val="20"/>
              </w:rPr>
              <w:t>Применение новых технологий и материалов в электроэнергетике</w:t>
            </w:r>
          </w:p>
        </w:tc>
        <w:tc>
          <w:tcPr>
            <w:tcW w:w="1525" w:type="dxa"/>
            <w:vAlign w:val="center"/>
          </w:tcPr>
          <w:p w:rsidR="00D602D4" w:rsidRDefault="000B4C86">
            <w:pPr>
              <w:jc w:val="center"/>
              <w:rPr>
                <w:rFonts w:ascii="Times New Roman" w:hAnsi="Times New Roman"/>
              </w:rPr>
            </w:pPr>
            <w:r>
              <w:rPr>
                <w:rFonts w:ascii="Times New Roman" w:hAnsi="Times New Roman"/>
              </w:rPr>
              <w:t>51,</w:t>
            </w:r>
            <w:r>
              <w:rPr>
                <w:rFonts w:ascii="Times New Roman" w:hAnsi="Times New Roman"/>
                <w:lang w:val="en-US"/>
              </w:rPr>
              <w:t>1</w:t>
            </w:r>
          </w:p>
        </w:tc>
      </w:tr>
      <w:tr w:rsidR="00D602D4">
        <w:trPr>
          <w:jc w:val="center"/>
        </w:trPr>
        <w:tc>
          <w:tcPr>
            <w:tcW w:w="800" w:type="dxa"/>
            <w:vAlign w:val="center"/>
          </w:tcPr>
          <w:p w:rsidR="00D602D4" w:rsidRDefault="000B4C86">
            <w:pPr>
              <w:jc w:val="center"/>
              <w:rPr>
                <w:rFonts w:ascii="Times New Roman" w:hAnsi="Times New Roman"/>
                <w:sz w:val="20"/>
                <w:szCs w:val="20"/>
                <w:lang w:val="en-US"/>
              </w:rPr>
            </w:pPr>
            <w:r>
              <w:rPr>
                <w:rFonts w:ascii="Times New Roman" w:hAnsi="Times New Roman"/>
                <w:sz w:val="20"/>
                <w:szCs w:val="20"/>
                <w:lang w:val="en-US"/>
              </w:rPr>
              <w:t>5</w:t>
            </w:r>
          </w:p>
        </w:tc>
        <w:tc>
          <w:tcPr>
            <w:tcW w:w="7478" w:type="dxa"/>
            <w:vAlign w:val="center"/>
          </w:tcPr>
          <w:p w:rsidR="00D602D4" w:rsidRDefault="000B4C86">
            <w:pPr>
              <w:rPr>
                <w:rFonts w:ascii="Times New Roman" w:hAnsi="Times New Roman"/>
                <w:sz w:val="20"/>
                <w:szCs w:val="20"/>
              </w:rPr>
            </w:pPr>
            <w:r>
              <w:rPr>
                <w:rFonts w:ascii="Times New Roman" w:hAnsi="Times New Roman"/>
                <w:sz w:val="20"/>
                <w:szCs w:val="20"/>
              </w:rPr>
              <w:t>Развитие организационной структуры и механизмов управления ПИР</w:t>
            </w:r>
          </w:p>
        </w:tc>
        <w:tc>
          <w:tcPr>
            <w:tcW w:w="1525" w:type="dxa"/>
            <w:vAlign w:val="center"/>
          </w:tcPr>
          <w:p w:rsidR="00D602D4" w:rsidRDefault="000B4C86">
            <w:pPr>
              <w:jc w:val="center"/>
              <w:rPr>
                <w:rFonts w:ascii="Times New Roman" w:hAnsi="Times New Roman"/>
              </w:rPr>
            </w:pPr>
            <w:r>
              <w:rPr>
                <w:rFonts w:ascii="Times New Roman" w:hAnsi="Times New Roman"/>
              </w:rPr>
              <w:t>2,3</w:t>
            </w:r>
          </w:p>
        </w:tc>
      </w:tr>
      <w:tr w:rsidR="00D602D4">
        <w:trPr>
          <w:jc w:val="center"/>
        </w:trPr>
        <w:tc>
          <w:tcPr>
            <w:tcW w:w="8298" w:type="dxa"/>
            <w:gridSpan w:val="2"/>
            <w:vAlign w:val="center"/>
          </w:tcPr>
          <w:p w:rsidR="00D602D4" w:rsidRDefault="000B4C86">
            <w:pPr>
              <w:jc w:val="center"/>
              <w:rPr>
                <w:rFonts w:ascii="Times New Roman" w:hAnsi="Times New Roman"/>
                <w:b/>
                <w:sz w:val="20"/>
                <w:szCs w:val="20"/>
              </w:rPr>
            </w:pPr>
            <w:r>
              <w:rPr>
                <w:rFonts w:ascii="Times New Roman" w:hAnsi="Times New Roman"/>
                <w:b/>
                <w:sz w:val="20"/>
                <w:szCs w:val="20"/>
              </w:rPr>
              <w:t>Объем внедрения инноваций</w:t>
            </w:r>
          </w:p>
        </w:tc>
        <w:tc>
          <w:tcPr>
            <w:tcW w:w="1525" w:type="dxa"/>
            <w:vAlign w:val="center"/>
          </w:tcPr>
          <w:p w:rsidR="00D602D4" w:rsidRDefault="000B4C86">
            <w:pPr>
              <w:jc w:val="center"/>
              <w:rPr>
                <w:rFonts w:ascii="Times New Roman" w:hAnsi="Times New Roman"/>
              </w:rPr>
            </w:pPr>
            <w:r>
              <w:rPr>
                <w:rFonts w:ascii="Times New Roman" w:hAnsi="Times New Roman"/>
              </w:rPr>
              <w:t>775,4</w:t>
            </w:r>
          </w:p>
        </w:tc>
      </w:tr>
      <w:tr w:rsidR="00D602D4">
        <w:trPr>
          <w:jc w:val="center"/>
        </w:trPr>
        <w:tc>
          <w:tcPr>
            <w:tcW w:w="8298" w:type="dxa"/>
            <w:gridSpan w:val="2"/>
            <w:vAlign w:val="center"/>
          </w:tcPr>
          <w:p w:rsidR="00D602D4" w:rsidRDefault="000B4C86">
            <w:pPr>
              <w:jc w:val="center"/>
              <w:rPr>
                <w:rFonts w:ascii="Times New Roman" w:hAnsi="Times New Roman"/>
                <w:b/>
                <w:sz w:val="20"/>
                <w:szCs w:val="20"/>
              </w:rPr>
            </w:pPr>
            <w:r>
              <w:rPr>
                <w:rFonts w:ascii="Times New Roman" w:hAnsi="Times New Roman"/>
                <w:b/>
                <w:sz w:val="20"/>
                <w:szCs w:val="20"/>
              </w:rPr>
              <w:t>Объем выполнения НИОКР</w:t>
            </w:r>
          </w:p>
        </w:tc>
        <w:tc>
          <w:tcPr>
            <w:tcW w:w="1525" w:type="dxa"/>
            <w:vAlign w:val="center"/>
          </w:tcPr>
          <w:p w:rsidR="00D602D4" w:rsidRDefault="000B4C86">
            <w:pPr>
              <w:jc w:val="center"/>
              <w:rPr>
                <w:rFonts w:ascii="Times New Roman" w:hAnsi="Times New Roman"/>
              </w:rPr>
            </w:pPr>
            <w:r>
              <w:rPr>
                <w:rFonts w:ascii="Times New Roman" w:hAnsi="Times New Roman"/>
              </w:rPr>
              <w:t>15,1</w:t>
            </w:r>
          </w:p>
        </w:tc>
      </w:tr>
    </w:tbl>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отчетном году, в рамках развития направления инновационного развития «</w:t>
      </w:r>
      <w:r>
        <w:rPr>
          <w:rFonts w:ascii="Times New Roman" w:hAnsi="Times New Roman" w:cs="Times New Roman"/>
          <w:b/>
          <w:bCs/>
          <w:sz w:val="24"/>
          <w:szCs w:val="24"/>
        </w:rPr>
        <w:t>Переход к высокоавтоматизированным подстанциям различного класса напряжения</w:t>
      </w:r>
      <w:r>
        <w:rPr>
          <w:rFonts w:ascii="Times New Roman" w:hAnsi="Times New Roman" w:cs="Times New Roman"/>
          <w:sz w:val="24"/>
          <w:szCs w:val="24"/>
        </w:rPr>
        <w:t>» завершена реализация инновационного проекта «Создание интеллектуальной подстанции Озерная».</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ходе реализации проекта в работу введена подстанция ПС 110 кВ Озерная (2х16 МВА) с высоким уровнем автоматизации, в которой процессы информационного обмена между элементами ПС, а также управление работой ПС осуществляется по стандарту МЭК 61850, что позволяет повысить надежность электроснабжения потребителей за счет сокращения времени перерывов электроснабжения при технологических нарушениях в работе оборудования.</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При строительстве ПС внедрены следующие инновационные решения: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реализованы системы защиты и управления ПС в соответствии с типовой архитектурой II, с использованием протоколов передачи данных МЭК 61850 (MMS, GOOSE);</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внедрена система управления жизненным циклом ПС, осуществляющая контроль отсутствия потерь MMS и GOOSE сообщений в сети, мониторинг несанкционированного доступа в сеть, мониторинг состояния синхронизации процессов, регистрацию событий;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установлено интеллектуальное КРУ 10 кВ, обеспечивающее обмен данными, реализуемыми на основе стандартов МЭК 61850 (MMS, GOOSE), оснащенное системой технологического видеонаблюдения с возможностью контроля состояния и положения коммутационных аппаратов при производстве переключений и системой бесконтактного контроля температуры контактных соединений КРУ 10 кВ.</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2024 году в ПАО «Россети Сибирь» завершены строительно-монтажные работы, подстанция 110 кВ Озерная введена в работу в декабре 2024 года.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отчетном году по направлению инновационного развития «Переход к активно-адаптивным сетям с распределенной интеллектуальной системой автоматизации и управления» в филиалах ПАО «Россети Сибирь» выполнялись комплексные инновационные проекты «Активно-адаптивные сети с распределенной интеллектуальной системой автоматизации и управления», целью которых является создание высокоавтоматизированных распределительных электрических сетей, обеспечивающих в режиме реального времени наблюдаемость и управляемость процессов передачи и потребления электроэнергии посредством цифровых систем связи и оборудования на основе протоколов МЭК, поддерживающих функции самодиагностики и самовосстановления, функционирование системы управления энергопотреблением, интеллектуальную адаптацию с режимами работы потребителей и устройствами распределенной генерации, а также интеллектуальный учет потребляемой и вырабатываемой электроэнергии.</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По направлению «Переход к комплексной эффективности бизнес-процессов и автоматизации систем управления» продолжалась реализация комплексного инновационного </w:t>
      </w:r>
      <w:r>
        <w:rPr>
          <w:rFonts w:ascii="Times New Roman" w:hAnsi="Times New Roman" w:cs="Times New Roman"/>
          <w:sz w:val="24"/>
          <w:szCs w:val="24"/>
        </w:rPr>
        <w:lastRenderedPageBreak/>
        <w:t>проекта «Развитие автоматизированных систем технологического управления ПАО «Россети Сибирь» (CIM-модель сети, SCADA, DMS, OMS) с использованием 100% виртуализации серверной части», целью которого является модернизация программно-технического комплекса для перехода на более высокий качественный уровень при решении основных технологических задач:</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расширение функциональных возможностей ОИК;</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применение единой платформы на уровнях диспетчерского управления ЦУС, ОДС и ОДГ;</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оптимизация, как процессов сопровождения ПТК, так и штатной структуры подразделений, отвечающих за сопровождение ПТК;</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повышение надежности работы ПТК;</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локализация системы путем введения полностью русифицированного интерфейса, пользовательской документации на русском языке, обучающих курсов на русском языке;</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оптимизация серверных ресурсов для разворачивания системы ПТК с использованием 100% виртуализации;</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переход на полностью отечественные программно-аппаратные решения.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Также в рамках данного направления в ПАО «Россети Сибирь» выполнялся инновационный проект «Комплексная система информационной безопасности». В рамках инновационного проекта внедрены средства защиты информации, такие как межсетевые экраны, средства контроля защищенности (IDS/IPS), имеющие необходимые сертификаты ФСТЭК, ФСБ и реализующие функции контроля, фильтрации и анализа трафика. При этом все средства защиты интегрированы с единой SIEM-системой (система мониторинга, управления инцидентами и корреляции событиями информационной безопасности), что позволяет:</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оперативно выявлять компьютерные атаки и инциденты на ранних этапах;</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своевременно находить и устранять уязвимости информационных систем и телекоммуникационных сетей;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оперативно, в соответствии со сроками, предусмотренными законодательством, информировать ФСБ (НКЦКИ) об инцидентах и атаках на критическую информационную инфраструктуру.</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Также по данному направлению инновационного развития в 2024 году в ПАО «Россети Сибирь» выполнялся комплексный инновационный проект «Выполнение работ по внедрению конфигураций ландшафта информационных систем на базе отечественных решений (в рамках реализации программы импортозамещения)», целью которого является проектирование, реализация, внедрение и ввод в постоянную эксплуатацию Е</w:t>
      </w:r>
      <w:r>
        <w:rPr>
          <w:rFonts w:ascii="Times New Roman" w:hAnsi="Times New Roman" w:cs="Times New Roman"/>
          <w:sz w:val="24"/>
          <w:szCs w:val="24"/>
          <w:lang w:val="en-US"/>
        </w:rPr>
        <w:t>R</w:t>
      </w:r>
      <w:r>
        <w:rPr>
          <w:rFonts w:ascii="Times New Roman" w:hAnsi="Times New Roman" w:cs="Times New Roman"/>
          <w:sz w:val="24"/>
          <w:szCs w:val="24"/>
        </w:rPr>
        <w:t>Р-системы на базе Российского программного обеспечения в части бизнес-процессов финансово-хозяйственной деятельности ПАО «Россети Сибирь». Реализация мероприятий проекта будет способствовать достижению заданных в плане перехода ПАО «Россети Сибирь» на преимущественное использование отечественного программного обеспечения на период 2023-2030 гг, утвержденного Советом директоров ПАО «Россети Сибирь» (протокол от 19.04.2024 № 522/24) показателей эффективности перехода на использование отечественного программного обеспечения.</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части технологий внедрение систем ERP является важным шагом для повышения эффективности управления и оптимизации бизнес-процессов.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Клиент-серверная архитектура: Создание сервис-ориентированной архитектуры (SOA) позволяет гибко использовать как толстые, так и тонкие клиентские решения, что улучшает доступность и управляемость системы. Размещение серверной части в Linux подобном окружении обеспечивает надежность и безопасность.</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Интеграционная шина: Наличие интеграционной шины дает возможность реализовать бесшовную интеграцию между различными процессами и обеспечивает принцип «однократного ввода», что существенно повышает эффективность работы.</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Аналитика и Big Data: Поддержка технологий аналитики с применением Big Data позволяет обрабатывать и анализировать большие объемы данных, что способствует принятию более обоснованных управленческих решений.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Отказоустойчивость и масштабируемость: Система должна обеспечивать устойчивую работу для более 10 тыс. пользователей одновременно, что важно для крупных организаций. Это требует высокой производительности и оптимизации баз данных.</w:t>
      </w:r>
    </w:p>
    <w:p w:rsidR="00D602D4" w:rsidRDefault="000B4C86">
      <w:pPr>
        <w:spacing w:after="0" w:line="240" w:lineRule="auto"/>
        <w:ind w:firstLine="709"/>
        <w:jc w:val="both"/>
        <w:rPr>
          <w:rFonts w:ascii="Times New Roman" w:hAnsi="Times New Roman" w:cs="Times New Roman"/>
        </w:rPr>
      </w:pPr>
      <w:r>
        <w:rPr>
          <w:rFonts w:ascii="Times New Roman" w:hAnsi="Times New Roman" w:cs="Times New Roman"/>
          <w:sz w:val="24"/>
          <w:szCs w:val="24"/>
        </w:rPr>
        <w:t>- Интеграция с другими системами: Возможность интеграции с корпоративными и технологическими информационными системами, а также подключение к внешним системам НСИ, позволяет создать единую экосистему для управления данными.</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 направлению «Применение новых технологий и материалов в электроэнергетике» в 2024 году в филиале ПАО «Россети Сибирь» - «Кузбассэнерго-РЭС» завершен инновационный проект по реконструкции ВЛ 35 кВ Беловская – Беловская-тяговая с отпайками на ПС Проектная (Б-19, Б-20), с заменой существующего провода на провод большим сечением, с применением инновационного неизолированного высокотемпературного провода марки АСТ 120/19, общей длиной провода 16,5 км.</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Применение провода АСТ 120/19, с массой 0,471 кг/м и пропускной способностью 862 А позволило исключить применение более тяжёлого провода АС 240/39, с массой 0,952 кг/м и пропускной способностью 610 А, на вес которого не рассчитаны существующие опоры ВЛ, что обеспечило проведение реконструкции по увеличению пропускной способности с установкой меньшего количества опор</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соответствии с Программой НИОКР в ПАО «Россети Сибирь» выполнялись следующие работы:</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 НИР «Разработка корпоративных типовых решений по организации систем автоматизации объектов электросетевого комплекса напряжением 6–35 кВ и тупиковых высокоавтоматизированных подстанций 110-220 кВ, выполняемых по архитектурам построения подстанций II и III типов с использованием протоколов стандарта МЭК 61850». Для выполнения работы заключен договор № 10.4000.50.23 от 13.02.2023 с коллективным участником: лидер АО «Россети Научно-инжиниринговый центр», член АО «Россети Научно-технический центр». Завершение работы запланировано в 2025 год.</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НИОКР «Определение санкционной устойчивости отечественных решений в области микропроцессорных устройств РЗА с функциями КП 6-35 кВ, разработка технических требований к микропроцессорным устройствам РЗА с функциями КП, реализованным на отечественной ЭКБ». Для выполнения работы заключен договор № 10.4000.98.23 от 23.03.2023 с коллективным участником: лидер АО «Россети Научно-инжиниринговый центр», член АО «Россети Научно-технический центр». Завершение работы запланировано в 2026 году.</w:t>
      </w:r>
    </w:p>
    <w:p w:rsidR="00D602D4" w:rsidRDefault="000B4C86">
      <w:pPr>
        <w:spacing w:after="0" w:line="240" w:lineRule="auto"/>
        <w:ind w:firstLine="709"/>
        <w:jc w:val="both"/>
      </w:pPr>
      <w:r>
        <w:rPr>
          <w:rFonts w:ascii="Times New Roman" w:hAnsi="Times New Roman" w:cs="Times New Roman"/>
          <w:sz w:val="24"/>
          <w:szCs w:val="24"/>
        </w:rPr>
        <w:t>3. НИОКР «Установка для прогрузки оборудования переменным током». Для выполнения работы заключен договор № 10.4000.181.24 от 31.05.2024 с ФГАОУ ВО НИ ТПУ. Завершение работы запланировано в 2028 году.</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 результатам НИОКР в 2024 году получен патент на изобретение «Датчик высокочастотных сигналов устройства селективного определения поврежденного присоединения и расстояния от подстанции до места возникновения однофазного замыкания на землю в распределительных сетях 6-35 кВ» от 02.02.2024 № 2812783.</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 итогам 2024 года заключен лицензионный договор от 28.05.2024 № 43.4000.179.23 на передачу права использования изобретения (патенты на изобретения № 2799980, № 2809032, № 2812783), лицензиат АО «ПО «ЭТП».</w:t>
      </w: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b/>
          <w:bCs/>
          <w:sz w:val="24"/>
          <w:szCs w:val="24"/>
        </w:rPr>
      </w:pPr>
    </w:p>
    <w:p w:rsidR="00D602D4" w:rsidRDefault="000B4C86">
      <w:pPr>
        <w:spacing w:after="0" w:line="240" w:lineRule="auto"/>
        <w:ind w:firstLine="709"/>
        <w:jc w:val="both"/>
        <w:rPr>
          <w:rFonts w:ascii="Times New Roman" w:hAnsi="Times New Roman" w:cs="Times New Roman"/>
          <w:b/>
          <w:bCs/>
          <w:sz w:val="24"/>
          <w:szCs w:val="24"/>
        </w:rPr>
      </w:pPr>
      <w:r>
        <w:rPr>
          <w:rFonts w:ascii="Times New Roman" w:hAnsi="Times New Roman" w:cs="Times New Roman"/>
          <w:b/>
          <w:sz w:val="24"/>
          <w:szCs w:val="24"/>
        </w:rPr>
        <w:lastRenderedPageBreak/>
        <w:t>Функционирование системы инновационного менеджмента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Для обеспечения совершенствования инновационной деятельности в ПАО «Россети Сибирь» функционирует система инновационного менеджмента сертифицированная в соответствии с требованиями национального стандарта ГОСТ Р 56273.1-2014/CEN/TS 16555-1:2013 и с учетом рекомендаций стандарта ISO 56002:2019.</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Система инновационного менеджмента способствует функционированию инновационной экосистемы Общества, частью которой могут быть различные экспертные, научные, образовательные и контролирующие организации, имеющие необходимые компетенции в вопросах развития инновационной деятельности в целом и отдельных аспектов инновационной деятельности, таких как реализация комплексных инновационных проектов, выполнение НИОКР, достижение показателей эффективности инновационной деятельности.</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Система инновационного менеджмента Общества базируется на следующих нормативных документах:</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Заявление Генерального директора о политике и целях в области инновационного развития;</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СО 0.006/0 «Система инновационного менеджмента. Руководство»;</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СО 3.036БП/0 «Инновационная деятельность. Регламент бизнес-процесса»;</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szCs w:val="24"/>
        </w:rPr>
        <w:t>- СО 5.235/0 «Инновационная деятельность. Положение».</w:t>
      </w:r>
    </w:p>
    <w:p w:rsidR="00D602D4" w:rsidRDefault="00D602D4">
      <w:pPr>
        <w:spacing w:after="0" w:line="240" w:lineRule="auto"/>
        <w:ind w:firstLine="709"/>
        <w:jc w:val="both"/>
        <w:rPr>
          <w:rFonts w:ascii="Times New Roman" w:hAnsi="Times New Roman" w:cs="Times New Roman"/>
          <w:sz w:val="24"/>
        </w:rPr>
      </w:pPr>
    </w:p>
    <w:p w:rsidR="00D602D4" w:rsidRDefault="000B4C86">
      <w:pPr>
        <w:spacing w:after="0" w:line="240" w:lineRule="auto"/>
        <w:ind w:firstLine="709"/>
        <w:jc w:val="both"/>
        <w:rPr>
          <w:rFonts w:ascii="Times New Roman" w:hAnsi="Times New Roman" w:cs="Times New Roman"/>
          <w:b/>
          <w:sz w:val="24"/>
        </w:rPr>
      </w:pPr>
      <w:r>
        <w:rPr>
          <w:rFonts w:ascii="Times New Roman" w:hAnsi="Times New Roman" w:cs="Times New Roman"/>
          <w:b/>
          <w:sz w:val="24"/>
        </w:rPr>
        <w:t>Оценка функционирования системы инновационного менеджмента</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Анализ функционирования СИМ со стороны руководства проводится по итогам проведения проверок ИСМ. </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Анализ соответствия инновационной концепции (видения), стратегии и методов стратегическим направлениям деятельности, анализ адекватности установленных показателей эффективности инновационной деятельности, а также анализ изменений внешних и внутренних факторов, связанных с СИМ проводится не реже 1 раза в пять лет на уровне ПАО «Россети» в рамках актуализации ПИР ПАО «Россети». </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Результаты анализа приводятся в ПИР ПАО «Россети» и учитываются в рамках разработки и актуализации ПИР ПАО «Россети Сибирь».</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Ресурсы необходимые для разработки, внедрения и обеспечения функционирования СИМ Общества определены в ПИР Общества. Ресурсное обеспечение ПИР осуществляется за счет инвестиционной программы и бизнес-плана Общества. Планирование и актуализация объема затрат на ПИР носят регулярный характер, потребность в ресурсном обеспечении устанавливается ежегодно в среднесрочном плане ПИР (далее – ССП ПИР).</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Анализ текущих изменений контекста организации на уровне Общества проводится с учетом требований регламентирующих ОРД и писем ПАО «Россети» в области инновационного развития.</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Цели и показатели эффективности инновационной деятельности (инновационных проектов, инициатив и процессов) приведены в ПИР Общества. Мониторинг и оценка достижения целевых показателей инновационной деятельности проводится ежегодно в рамках формирования отчета генерального директора о ходе реализации Программы инновационного развития ПАО «Россети Сибирь» за отчетный период (далее – отчет по ПИР). Состав показателей эффективности ПИР соответствует целям и задачам инновационного развития Общества.</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В ПАО «Россети Сибирь» организован мониторинг выполнения мероприятий ССП ПИР, при необходимости разрабатываются и реализуются корректирующие мероприятия.</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Информация о результатах реализации инновационных проектов и мероприятий, оценка достижения инновационных целей, а также информация о достижении показателей эффективности инновационной деятельности за отчетный период приведена в отчете по ПИР.</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lastRenderedPageBreak/>
        <w:t>Для интегральной оценки эффективности СИМ в Обществе используется ФКПЭ «Эффективность инновационной деятельности», транслированный на должностные лица и подразделения Общества, задействованные в инновационном развитии Общества.</w:t>
      </w:r>
    </w:p>
    <w:p w:rsidR="00D602D4" w:rsidRDefault="00D602D4">
      <w:pPr>
        <w:spacing w:after="0" w:line="240" w:lineRule="auto"/>
        <w:ind w:firstLine="709"/>
        <w:jc w:val="both"/>
        <w:rPr>
          <w:rFonts w:ascii="Times New Roman" w:hAnsi="Times New Roman" w:cs="Times New Roman"/>
          <w:sz w:val="24"/>
        </w:rPr>
      </w:pP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В 2024 году проведен внутренний аудит системы инновационного менеджмента в филиалах ПАО «Россети Сибирь»: «Алтайэнерго», «Кузбассэнерго-РЭС» (согласно Программы внутренних проверок систем менеджмента на 2024 год), составлен отчет о результатах внутреннего аудита. </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Для устранения выявленных несоответствий разработан План корректирующих и предупреждающих мероприятий (ПКМ), утвержденный приказом от 21.08.2024 № 214 «О результатах внутренней проверки ИСМ». Мероприятия, предусмотренные в ПКМ выполняются в полном объеме и в установленные сроки.</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В период с 05.08.2024 по 21.08.2024 Ассоциацией по сертификации «Русский Регистр» проведен ресертификационный аудит СИМ, по результатам которого Обществом подтверждено соответствие системы требованиям ГОСТ Р 56273.1-2014 и рекомендациям ISO 56002:2019, выданы сертификаты соответствия № 24.1293.026, № 24.1294.026.</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Оценка эффективности мер, принимаемых для повышения потенциальных возможностей организации и снижения рисков проводится ежегодно в рамках функционирования системы управления рисками Общества. В соответствии с требованиями СО 2.062 «Методика самооценки эффективности контрольных процедур и системы внутреннего контроля процессов. Методика» по направлению инновационного развития в СО 3.036БП сформирована матрица контролей (рисков), реализуются контрольные процедуры. По итогам года формируется отчет об эффективности контрольных процедур и эффективности системы внутреннего контроля.</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rPr>
        <w:t>Дальнейшее совершенствование СИМ планируется в соответствии с утвержденным планом по корректирующим и предупреждающим мероприятиям по устранению нарушений/недостатков, выявленным в результате проверок СИМ.</w:t>
      </w:r>
    </w:p>
    <w:p w:rsidR="00D602D4" w:rsidRDefault="00D602D4">
      <w:pPr>
        <w:spacing w:after="0" w:line="240" w:lineRule="auto"/>
        <w:jc w:val="both"/>
        <w:rPr>
          <w:rFonts w:ascii="Times New Roman" w:hAnsi="Times New Roman" w:cs="Times New Roman"/>
          <w:sz w:val="24"/>
          <w:szCs w:val="24"/>
        </w:rPr>
      </w:pPr>
    </w:p>
    <w:p w:rsidR="00D602D4" w:rsidRDefault="000B4C86">
      <w:pPr>
        <w:pStyle w:val="13"/>
        <w:rPr>
          <w:rFonts w:ascii="Times New Roman" w:hAnsi="Times New Roman" w:cs="Times New Roman"/>
          <w:sz w:val="24"/>
          <w:szCs w:val="24"/>
        </w:rPr>
      </w:pPr>
      <w:bookmarkStart w:id="44" w:name="_Toc47"/>
      <w:r>
        <w:rPr>
          <w:rFonts w:ascii="Times New Roman" w:eastAsia="Times New Roman" w:hAnsi="Times New Roman" w:cs="Times New Roman"/>
          <w:b/>
          <w:color w:val="000000" w:themeColor="text1"/>
          <w:sz w:val="26"/>
          <w:szCs w:val="26"/>
        </w:rPr>
        <w:t>3.1.10. Импортозамещение и взаимодействие с производителями оборудования</w:t>
      </w:r>
      <w:bookmarkEnd w:id="44"/>
    </w:p>
    <w:p w:rsidR="00D602D4" w:rsidRDefault="00D602D4">
      <w:pPr>
        <w:pStyle w:val="13"/>
        <w:spacing w:before="0" w:line="240" w:lineRule="auto"/>
        <w:rPr>
          <w:rFonts w:ascii="Times New Roman" w:eastAsia="Times New Roman" w:hAnsi="Times New Roman" w:cs="Times New Roman"/>
        </w:rPr>
      </w:pPr>
    </w:p>
    <w:p w:rsidR="00D602D4" w:rsidRDefault="000B4C86">
      <w:pPr>
        <w:spacing w:after="0"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первом полугодии 2024 года в ПАО «Россети Сибирь» действовало распоряжение от 12.03.2020 № 1/126-р «Об исполнении мероприятий корпоративного Плана импортозамещения», а с 10.07.2024 начал действовать приказ от 10.07.2024 №1/173-пр «Об исполнении мероприятий корпоративного Плана импортозамещения». В соответствии с вышеуказанными организационно-распорядительными документами проводились мероприятия, направленные на исполнение данного плана.</w:t>
      </w:r>
    </w:p>
    <w:p w:rsidR="00D602D4" w:rsidRDefault="000B4C86">
      <w:pPr>
        <w:spacing w:after="0"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Были проведены следующие мероприятия:</w:t>
      </w:r>
    </w:p>
    <w:p w:rsidR="00D602D4" w:rsidRDefault="000B4C86">
      <w:pPr>
        <w:spacing w:after="0"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проведен анализ текущего использования импортного оборудования. На основании проведенного анализа определено, что в ПАО Россети Сибирь оборудования, требующего в ближайшей перспективе замены или ремонта, а также потребности в закупке иностранных запасных частей отсутствует;</w:t>
      </w:r>
    </w:p>
    <w:p w:rsidR="00D602D4" w:rsidRDefault="000B4C86">
      <w:pPr>
        <w:spacing w:after="0"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запланировано финансирование затрат на НИОКР согласно сценарным условиям бизнес-планирования Общества, направленных в том числе на разработку импортозамещающей продукции;</w:t>
      </w:r>
    </w:p>
    <w:p w:rsidR="00D602D4" w:rsidRDefault="000B4C86">
      <w:pPr>
        <w:pBdr>
          <w:top w:val="none" w:sz="4" w:space="0" w:color="000000"/>
          <w:left w:val="none" w:sz="4" w:space="0" w:color="000000"/>
          <w:bottom w:val="none" w:sz="4" w:space="0" w:color="000000"/>
          <w:right w:val="none" w:sz="4" w:space="0" w:color="000000"/>
        </w:pBdr>
        <w:spacing w:after="0" w:line="240" w:lineRule="auto"/>
        <w:ind w:firstLine="709"/>
        <w:jc w:val="both"/>
        <w:rPr>
          <w:color w:val="000000" w:themeColor="text1"/>
        </w:rPr>
      </w:pPr>
      <w:r>
        <w:rPr>
          <w:rFonts w:ascii="Times New Roman" w:hAnsi="Times New Roman" w:cs="Times New Roman"/>
          <w:color w:val="000000" w:themeColor="text1"/>
          <w:sz w:val="24"/>
          <w:szCs w:val="24"/>
        </w:rPr>
        <w:t xml:space="preserve">- в 2024 году заключен один новый лицензионный договор на предоставление права использования изобретения (патенты на изобретения № 2799980, № 2809032, № 2812783 полученные по результатам НИОКР "Разработка устройств селективного определения поврежденного присоединения и расстояния от подстанции до места возникновения </w:t>
      </w:r>
      <w:r>
        <w:rPr>
          <w:rFonts w:ascii="Times New Roman" w:hAnsi="Times New Roman" w:cs="Times New Roman"/>
          <w:color w:val="000000" w:themeColor="text1"/>
          <w:sz w:val="24"/>
          <w:szCs w:val="24"/>
        </w:rPr>
        <w:lastRenderedPageBreak/>
        <w:t>однофазного замыкания на землю в распределительных сетях 6–35 кВ"), лицензиат АО "ПО "ЭТП", срок действия ранее заключенных лицензионных договоров не истек;</w:t>
      </w:r>
    </w:p>
    <w:p w:rsidR="00D602D4" w:rsidRDefault="000B4C86">
      <w:pPr>
        <w:spacing w:after="0"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реестр объектов интеллектуальной собственности, полученных в результате выполнения НИОКР ПАО «Россети Сибирь» сформирован, утвержден и размещен на официальном сайте ПАО «Россети Сибирь» в разделе «Инновационная деятельность»;</w:t>
      </w:r>
    </w:p>
    <w:p w:rsidR="00D602D4" w:rsidRDefault="000B4C86">
      <w:pPr>
        <w:spacing w:after="0"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бизнес планом на 2024 год предусмотрены затраты на НИОКР в размере 60,65 млн руб. без НДС, что составляет 0,19% от объема собственной выручки запланированной на начало отчетного периода. Планирование и согласование НИОКР по проектам направленным, в том числе, на разработку импортозамещающей продукции выполняется в соответствии с Регламентом формирования и реализации Программы НИОКР Группы компаний «Россети», утвержденного приказом ПАО «Россети» от 28.08.2019 № 173;</w:t>
      </w:r>
    </w:p>
    <w:p w:rsidR="00D602D4" w:rsidRDefault="000B4C86">
      <w:pPr>
        <w:spacing w:after="0"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в 2024 году доля импортного оборудования в объёме закупок составила 1,23%, что значительно ниже целевого значения.</w:t>
      </w:r>
    </w:p>
    <w:p w:rsidR="00D602D4" w:rsidRDefault="000B4C86">
      <w:pPr>
        <w:spacing w:after="0"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Тестирование, апробация, пилотное внедрение на объектах ПАО «Россети Сибирь» отечественных аналогов импортной продукции на предмет соответствия требованиям ПАО «Россети» и совместимости с эксплуатируемым оборудованием в 2024 году не проводилось.</w:t>
      </w:r>
    </w:p>
    <w:p w:rsidR="00D602D4" w:rsidRDefault="00D602D4">
      <w:pPr>
        <w:spacing w:after="0" w:line="240" w:lineRule="auto"/>
        <w:ind w:firstLine="709"/>
        <w:jc w:val="both"/>
        <w:rPr>
          <w:rFonts w:ascii="Times New Roman" w:hAnsi="Times New Roman" w:cs="Times New Roman"/>
          <w:color w:val="000000" w:themeColor="text1"/>
          <w:sz w:val="24"/>
          <w:szCs w:val="24"/>
        </w:rPr>
      </w:pPr>
    </w:p>
    <w:p w:rsidR="00D602D4" w:rsidRDefault="000B4C86">
      <w:pPr>
        <w:spacing w:after="0" w:line="240" w:lineRule="auto"/>
        <w:ind w:firstLine="709"/>
        <w:jc w:val="both"/>
        <w:rPr>
          <w:rFonts w:ascii="Times New Roman" w:hAnsi="Times New Roman" w:cs="Times New Roman"/>
          <w:color w:val="000000" w:themeColor="text1"/>
          <w:sz w:val="24"/>
          <w:szCs w:val="24"/>
        </w:rPr>
      </w:pPr>
      <w:bookmarkStart w:id="45" w:name="_Toc48"/>
      <w:r>
        <w:rPr>
          <w:rFonts w:ascii="Times New Roman" w:eastAsia="Times New Roman" w:hAnsi="Times New Roman" w:cs="Times New Roman"/>
          <w:b/>
          <w:color w:val="000000" w:themeColor="text1"/>
          <w:sz w:val="26"/>
          <w:szCs w:val="26"/>
        </w:rPr>
        <w:t>3.2. Финансовые результаты</w:t>
      </w:r>
      <w:bookmarkEnd w:id="45"/>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итогам 2024 года финансовый результат составил (- 696) млн рублей, </w:t>
      </w:r>
      <w:r>
        <w:rPr>
          <w:rFonts w:ascii="Times New Roman" w:eastAsia="Times New Roman" w:hAnsi="Times New Roman" w:cs="Times New Roman"/>
          <w:bCs/>
          <w:sz w:val="24"/>
          <w:szCs w:val="24"/>
        </w:rPr>
        <w:t xml:space="preserve">показатель </w:t>
      </w:r>
      <w:r>
        <w:rPr>
          <w:rFonts w:ascii="Times New Roman" w:eastAsia="Times New Roman" w:hAnsi="Times New Roman" w:cs="Times New Roman"/>
          <w:bCs/>
          <w:sz w:val="24"/>
          <w:szCs w:val="24"/>
          <w:lang w:val="en-US"/>
        </w:rPr>
        <w:t>EBITDA</w:t>
      </w:r>
      <w:r>
        <w:rPr>
          <w:rFonts w:ascii="Times New Roman" w:eastAsia="Times New Roman" w:hAnsi="Times New Roman" w:cs="Times New Roman"/>
          <w:bCs/>
          <w:sz w:val="24"/>
          <w:szCs w:val="24"/>
        </w:rPr>
        <w:t xml:space="preserve"> 13 196 млн рублей, увеличение относительно прошлого года обусловлено ростом совокупной выручки от реализации услуг, улучшением сальдо прочих операционных доходов (расходов) и частично нивелировано ростом себестоимости и процентных расходов.</w:t>
      </w:r>
    </w:p>
    <w:p w:rsidR="00D602D4" w:rsidRDefault="000B4C86">
      <w:pPr>
        <w:spacing w:after="0" w:line="240" w:lineRule="auto"/>
        <w:ind w:firstLine="709"/>
        <w:jc w:val="both"/>
        <w:rPr>
          <w:rFonts w:ascii="Times New Roman" w:hAnsi="Times New Roman" w:cs="Times New Roman"/>
          <w:bCs/>
          <w:sz w:val="28"/>
          <w:szCs w:val="28"/>
        </w:rPr>
      </w:pPr>
      <w:r>
        <w:rPr>
          <w:rFonts w:ascii="Times New Roman" w:eastAsia="Times New Roman" w:hAnsi="Times New Roman" w:cs="Times New Roman"/>
          <w:bCs/>
          <w:sz w:val="24"/>
          <w:szCs w:val="24"/>
        </w:rPr>
        <w:t>Совокупная выручка по итогам 2024 года увеличилась на 12% до 77 875 млн рублей, в том числе выручка от реализации услуг по передаче электроэнергии составила 73 716 млн рублей, увеличение на 6 717 млн рублей (10%), в основном за счет ежегодной индексации тарифов на услуги по передаче электроэнергии и увеличения полезного отпуска.</w:t>
      </w:r>
    </w:p>
    <w:p w:rsidR="00D602D4" w:rsidRDefault="000B4C86">
      <w:pPr>
        <w:spacing w:after="0" w:line="240" w:lineRule="auto"/>
        <w:ind w:firstLine="709"/>
        <w:jc w:val="both"/>
        <w:rPr>
          <w:rFonts w:ascii="Times New Roman" w:hAnsi="Times New Roman" w:cs="Times New Roman"/>
          <w:bCs/>
          <w:sz w:val="28"/>
          <w:szCs w:val="28"/>
        </w:rPr>
      </w:pPr>
      <w:r>
        <w:rPr>
          <w:rFonts w:ascii="Times New Roman" w:eastAsia="Times New Roman" w:hAnsi="Times New Roman" w:cs="Times New Roman"/>
          <w:bCs/>
          <w:sz w:val="24"/>
          <w:szCs w:val="24"/>
        </w:rPr>
        <w:t>Себестоимость с учетом управленческих и коммерческих расходов составила 72 467 млн рублей, увеличение на 9% относительно прошлого года, обусловлено ростом неподконтрольных менеджменту Общества расходов:</w:t>
      </w:r>
    </w:p>
    <w:p w:rsidR="00D602D4" w:rsidRDefault="000B4C86">
      <w:pPr>
        <w:spacing w:after="0" w:line="240" w:lineRule="auto"/>
        <w:ind w:firstLine="709"/>
        <w:jc w:val="both"/>
        <w:rPr>
          <w:rFonts w:ascii="Times New Roman" w:hAnsi="Times New Roman" w:cs="Times New Roman"/>
          <w:bCs/>
          <w:sz w:val="28"/>
          <w:szCs w:val="28"/>
        </w:rPr>
      </w:pPr>
      <w:r>
        <w:rPr>
          <w:rFonts w:ascii="Times New Roman" w:eastAsia="Times New Roman" w:hAnsi="Times New Roman" w:cs="Times New Roman"/>
          <w:bCs/>
          <w:sz w:val="24"/>
          <w:szCs w:val="24"/>
        </w:rPr>
        <w:t>– на оплату услуг по передаче электроэнергии по сетям иных собственников (ЕНЭС, ТСО), в основном за счет увеличения ставки на содержание сетей ЕНЭС на 7,1% и роста цены на оплату потерь в сетях ЕНЭС на 16,5%;</w:t>
      </w:r>
    </w:p>
    <w:p w:rsidR="00D602D4" w:rsidRDefault="000B4C86">
      <w:pPr>
        <w:spacing w:after="0" w:line="240" w:lineRule="auto"/>
        <w:ind w:firstLine="709"/>
        <w:jc w:val="both"/>
        <w:rPr>
          <w:rFonts w:ascii="Times New Roman" w:hAnsi="Times New Roman" w:cs="Times New Roman"/>
          <w:bCs/>
          <w:sz w:val="28"/>
          <w:szCs w:val="28"/>
        </w:rPr>
      </w:pPr>
      <w:r>
        <w:rPr>
          <w:rFonts w:ascii="Times New Roman" w:eastAsia="Times New Roman" w:hAnsi="Times New Roman" w:cs="Times New Roman"/>
          <w:bCs/>
          <w:sz w:val="24"/>
          <w:szCs w:val="24"/>
        </w:rPr>
        <w:t>– на электроэнергию для компенсации технологических потерь за счет увеличения отпуска электроэнергии в сеть. Обществом осуществляется непрерывная работа в части снижения затрат на оплату потерь электроэнергии, в том числе установка интеллектуальных приборов учета и проведение системной работы по выявлению фактов безучетного потребления электроэнергии. По итогам 2024 года суммарный эффект по снижению потерь по сравнению с прошлым годом увеличился на 170 млн рублей;</w:t>
      </w:r>
    </w:p>
    <w:p w:rsidR="00D602D4" w:rsidRDefault="000B4C86">
      <w:pPr>
        <w:spacing w:after="0" w:line="240" w:lineRule="auto"/>
        <w:ind w:firstLine="709"/>
        <w:jc w:val="both"/>
        <w:rPr>
          <w:rFonts w:ascii="Times New Roman" w:hAnsi="Times New Roman" w:cs="Times New Roman"/>
          <w:bCs/>
          <w:sz w:val="28"/>
          <w:szCs w:val="28"/>
        </w:rPr>
      </w:pPr>
      <w:r>
        <w:rPr>
          <w:rFonts w:ascii="Times New Roman" w:eastAsia="Times New Roman" w:hAnsi="Times New Roman" w:cs="Times New Roman"/>
          <w:bCs/>
          <w:sz w:val="24"/>
          <w:szCs w:val="24"/>
        </w:rPr>
        <w:t>– текущей индексацией цен в пределах уровня инфляции.</w:t>
      </w:r>
    </w:p>
    <w:p w:rsidR="00D602D4" w:rsidRDefault="000B4C86">
      <w:pPr>
        <w:spacing w:after="0" w:line="240" w:lineRule="auto"/>
        <w:ind w:firstLine="709"/>
        <w:jc w:val="both"/>
        <w:rPr>
          <w:rFonts w:ascii="Times New Roman" w:hAnsi="Times New Roman" w:cs="Times New Roman"/>
          <w:bCs/>
          <w:sz w:val="28"/>
          <w:szCs w:val="28"/>
        </w:rPr>
      </w:pPr>
      <w:r>
        <w:rPr>
          <w:rFonts w:ascii="Times New Roman" w:eastAsia="Times New Roman" w:hAnsi="Times New Roman" w:cs="Times New Roman"/>
          <w:bCs/>
          <w:sz w:val="24"/>
          <w:szCs w:val="24"/>
        </w:rPr>
        <w:t>Сальдо прочих операционных доходов (расходов) улучшилось по сравнению с прошлым годом, в основном за счет отражения доходов от восстановления резерва по сомнительным долгам по договорам передачи электроэнергии в связи с погашением задолженности потребителями.</w:t>
      </w:r>
    </w:p>
    <w:p w:rsidR="00D602D4" w:rsidRDefault="000B4C86">
      <w:pPr>
        <w:spacing w:after="0" w:line="240" w:lineRule="auto"/>
        <w:ind w:firstLine="709"/>
        <w:jc w:val="both"/>
        <w:rPr>
          <w:rFonts w:ascii="Times New Roman" w:hAnsi="Times New Roman" w:cs="Times New Roman"/>
          <w:bCs/>
          <w:sz w:val="28"/>
          <w:szCs w:val="28"/>
        </w:rPr>
      </w:pPr>
      <w:r>
        <w:rPr>
          <w:rFonts w:ascii="Times New Roman" w:eastAsia="Times New Roman" w:hAnsi="Times New Roman" w:cs="Times New Roman"/>
          <w:bCs/>
          <w:sz w:val="24"/>
          <w:szCs w:val="24"/>
        </w:rPr>
        <w:t>Процентные доходы и расходы показали отрицательную динамику на 2 767 млн рублей, в основном за счет увеличения расходов на обслуживание долга, вследствие повышения Центральным Банком Российской Федерации ключевой ставки в течение 2023 и 2024 годов.</w:t>
      </w:r>
    </w:p>
    <w:p w:rsidR="00D602D4" w:rsidRDefault="00D602D4">
      <w:pPr>
        <w:tabs>
          <w:tab w:val="left" w:pos="-426"/>
          <w:tab w:val="left" w:pos="9356"/>
        </w:tabs>
        <w:spacing w:after="0" w:line="240" w:lineRule="auto"/>
        <w:ind w:firstLine="709"/>
        <w:jc w:val="right"/>
        <w:rPr>
          <w:rFonts w:ascii="Times New Roman" w:hAnsi="Times New Roman" w:cs="Times New Roman"/>
          <w:sz w:val="28"/>
          <w:szCs w:val="28"/>
        </w:rPr>
      </w:pPr>
    </w:p>
    <w:p w:rsidR="00D602D4" w:rsidRDefault="00D602D4">
      <w:pPr>
        <w:tabs>
          <w:tab w:val="left" w:pos="-426"/>
          <w:tab w:val="left" w:pos="9356"/>
        </w:tabs>
        <w:spacing w:after="0" w:line="240" w:lineRule="auto"/>
        <w:ind w:firstLine="709"/>
        <w:jc w:val="right"/>
        <w:rPr>
          <w:rFonts w:ascii="Times New Roman" w:eastAsia="Times New Roman" w:hAnsi="Times New Roman" w:cs="Times New Roman"/>
          <w:sz w:val="24"/>
          <w:szCs w:val="24"/>
        </w:rPr>
      </w:pPr>
    </w:p>
    <w:p w:rsidR="00D602D4" w:rsidRDefault="000B4C86">
      <w:pPr>
        <w:tabs>
          <w:tab w:val="left" w:pos="-426"/>
          <w:tab w:val="left" w:pos="9356"/>
        </w:tabs>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Таблица 36</w:t>
      </w:r>
    </w:p>
    <w:p w:rsidR="00D602D4" w:rsidRDefault="000B4C86">
      <w:pPr>
        <w:tabs>
          <w:tab w:val="left" w:pos="9356"/>
        </w:tabs>
        <w:spacing w:after="0" w:line="240" w:lineRule="auto"/>
        <w:ind w:firstLine="709"/>
        <w:jc w:val="center"/>
        <w:rPr>
          <w:rFonts w:ascii="Times New Roman" w:hAnsi="Times New Roman" w:cs="Times New Roman"/>
          <w:b/>
        </w:rPr>
      </w:pPr>
      <w:r>
        <w:rPr>
          <w:rFonts w:ascii="Times New Roman" w:eastAsia="Times New Roman" w:hAnsi="Times New Roman" w:cs="Times New Roman"/>
          <w:b/>
          <w:sz w:val="24"/>
          <w:szCs w:val="24"/>
        </w:rPr>
        <w:t>Основные финансово-экономические показатели, млн рублей</w:t>
      </w:r>
    </w:p>
    <w:tbl>
      <w:tblPr>
        <w:tblW w:w="9757" w:type="dxa"/>
        <w:tblInd w:w="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2"/>
        <w:gridCol w:w="4308"/>
        <w:gridCol w:w="1196"/>
        <w:gridCol w:w="1195"/>
        <w:gridCol w:w="1196"/>
        <w:gridCol w:w="1330"/>
      </w:tblGrid>
      <w:tr w:rsidR="00D602D4">
        <w:trPr>
          <w:trHeight w:val="326"/>
          <w:tblHeader/>
        </w:trPr>
        <w:tc>
          <w:tcPr>
            <w:tcW w:w="532" w:type="dxa"/>
            <w:shd w:val="clear" w:color="FFFFFF" w:fill="FFFFFF"/>
            <w:vAlign w:val="center"/>
          </w:tcPr>
          <w:p w:rsidR="00D602D4" w:rsidRDefault="000B4C86">
            <w:pPr>
              <w:tabs>
                <w:tab w:val="left" w:pos="9356"/>
              </w:tabs>
              <w:spacing w:after="0" w:line="240" w:lineRule="auto"/>
              <w:ind w:left="-425" w:firstLine="284"/>
              <w:jc w:val="center"/>
              <w:rPr>
                <w:rFonts w:ascii="Times New Roman" w:hAnsi="Times New Roman" w:cs="Times New Roman"/>
                <w:bCs/>
              </w:rPr>
            </w:pPr>
            <w:r>
              <w:rPr>
                <w:rFonts w:ascii="Times New Roman" w:eastAsia="Times New Roman" w:hAnsi="Times New Roman" w:cs="Times New Roman"/>
                <w:sz w:val="20"/>
                <w:szCs w:val="20"/>
              </w:rPr>
              <w:t xml:space="preserve"> </w:t>
            </w:r>
            <w:r>
              <w:rPr>
                <w:rFonts w:ascii="Times New Roman" w:eastAsia="Times New Roman" w:hAnsi="Times New Roman" w:cs="Times New Roman"/>
                <w:bCs/>
                <w:sz w:val="20"/>
                <w:szCs w:val="20"/>
              </w:rPr>
              <w:t>№ п/п</w:t>
            </w:r>
          </w:p>
        </w:tc>
        <w:tc>
          <w:tcPr>
            <w:tcW w:w="4308" w:type="dxa"/>
            <w:shd w:val="clear" w:color="FFFFFF" w:fill="FFFFFF"/>
            <w:noWrap/>
            <w:vAlign w:val="center"/>
          </w:tcPr>
          <w:p w:rsidR="00D602D4" w:rsidRDefault="000B4C86">
            <w:pPr>
              <w:tabs>
                <w:tab w:val="left" w:pos="9356"/>
              </w:tabs>
              <w:spacing w:after="0" w:line="240" w:lineRule="auto"/>
              <w:ind w:left="-425" w:firstLine="284"/>
              <w:jc w:val="center"/>
              <w:rPr>
                <w:rFonts w:ascii="Times New Roman" w:hAnsi="Times New Roman" w:cs="Times New Roman"/>
                <w:bCs/>
              </w:rPr>
            </w:pPr>
            <w:r>
              <w:rPr>
                <w:rFonts w:ascii="Times New Roman" w:eastAsia="Times New Roman" w:hAnsi="Times New Roman" w:cs="Times New Roman"/>
                <w:bCs/>
                <w:sz w:val="20"/>
                <w:szCs w:val="20"/>
              </w:rPr>
              <w:t>Показатель</w:t>
            </w:r>
          </w:p>
        </w:tc>
        <w:tc>
          <w:tcPr>
            <w:tcW w:w="1196" w:type="dxa"/>
            <w:shd w:val="clear" w:color="FFFFFF" w:fill="FFFFFF"/>
            <w:vAlign w:val="center"/>
          </w:tcPr>
          <w:p w:rsidR="00D602D4" w:rsidRDefault="000B4C86">
            <w:pPr>
              <w:tabs>
                <w:tab w:val="left" w:pos="9356"/>
              </w:tabs>
              <w:spacing w:after="0" w:line="240" w:lineRule="auto"/>
              <w:ind w:left="-20"/>
              <w:jc w:val="center"/>
              <w:rPr>
                <w:rFonts w:ascii="Times New Roman" w:hAnsi="Times New Roman" w:cs="Times New Roman"/>
                <w:bCs/>
              </w:rPr>
            </w:pPr>
            <w:r>
              <w:rPr>
                <w:rFonts w:ascii="Times New Roman" w:eastAsia="Times New Roman" w:hAnsi="Times New Roman" w:cs="Times New Roman"/>
                <w:bCs/>
                <w:sz w:val="20"/>
                <w:szCs w:val="20"/>
              </w:rPr>
              <w:t>2022 год</w:t>
            </w:r>
          </w:p>
        </w:tc>
        <w:tc>
          <w:tcPr>
            <w:tcW w:w="1195" w:type="dxa"/>
            <w:shd w:val="clear" w:color="FFFFFF" w:fill="FFFFFF"/>
            <w:vAlign w:val="center"/>
          </w:tcPr>
          <w:p w:rsidR="00D602D4" w:rsidRDefault="000B4C86">
            <w:pPr>
              <w:tabs>
                <w:tab w:val="left" w:pos="9356"/>
              </w:tabs>
              <w:spacing w:after="0" w:line="240" w:lineRule="auto"/>
              <w:ind w:left="-20"/>
              <w:jc w:val="center"/>
              <w:rPr>
                <w:rFonts w:ascii="Times New Roman" w:hAnsi="Times New Roman" w:cs="Times New Roman"/>
                <w:bCs/>
              </w:rPr>
            </w:pPr>
            <w:r>
              <w:rPr>
                <w:rFonts w:ascii="Times New Roman" w:eastAsia="Times New Roman" w:hAnsi="Times New Roman" w:cs="Times New Roman"/>
                <w:bCs/>
                <w:sz w:val="20"/>
                <w:szCs w:val="20"/>
              </w:rPr>
              <w:t>2023 год</w:t>
            </w:r>
          </w:p>
        </w:tc>
        <w:tc>
          <w:tcPr>
            <w:tcW w:w="1196" w:type="dxa"/>
            <w:vAlign w:val="center"/>
          </w:tcPr>
          <w:p w:rsidR="00D602D4" w:rsidRDefault="000B4C86">
            <w:pPr>
              <w:tabs>
                <w:tab w:val="left" w:pos="9356"/>
              </w:tabs>
              <w:spacing w:after="0" w:line="240" w:lineRule="auto"/>
              <w:ind w:left="-20"/>
              <w:jc w:val="center"/>
              <w:rPr>
                <w:rFonts w:ascii="Times New Roman" w:hAnsi="Times New Roman" w:cs="Times New Roman"/>
                <w:bCs/>
              </w:rPr>
            </w:pPr>
            <w:r>
              <w:rPr>
                <w:rFonts w:ascii="Times New Roman" w:eastAsia="Times New Roman" w:hAnsi="Times New Roman" w:cs="Times New Roman"/>
                <w:bCs/>
                <w:sz w:val="20"/>
                <w:szCs w:val="20"/>
              </w:rPr>
              <w:t>2024 год</w:t>
            </w:r>
          </w:p>
        </w:tc>
        <w:tc>
          <w:tcPr>
            <w:tcW w:w="1330" w:type="dxa"/>
          </w:tcPr>
          <w:p w:rsidR="00D602D4" w:rsidRDefault="000B4C86">
            <w:pPr>
              <w:tabs>
                <w:tab w:val="left" w:pos="9356"/>
              </w:tabs>
              <w:spacing w:after="0" w:line="240" w:lineRule="auto"/>
              <w:ind w:left="-20"/>
              <w:jc w:val="center"/>
              <w:rPr>
                <w:rFonts w:ascii="Times New Roman" w:hAnsi="Times New Roman" w:cs="Times New Roman"/>
                <w:bCs/>
              </w:rPr>
            </w:pPr>
            <w:r>
              <w:rPr>
                <w:rFonts w:ascii="Times New Roman" w:eastAsia="Times New Roman" w:hAnsi="Times New Roman" w:cs="Times New Roman"/>
                <w:bCs/>
                <w:sz w:val="20"/>
                <w:szCs w:val="20"/>
              </w:rPr>
              <w:t>Изменение</w:t>
            </w:r>
          </w:p>
          <w:p w:rsidR="00D602D4" w:rsidRDefault="000B4C86">
            <w:pPr>
              <w:tabs>
                <w:tab w:val="left" w:pos="9356"/>
              </w:tabs>
              <w:spacing w:after="0" w:line="240" w:lineRule="auto"/>
              <w:ind w:left="-20"/>
              <w:jc w:val="center"/>
              <w:rPr>
                <w:rFonts w:ascii="Times New Roman" w:hAnsi="Times New Roman" w:cs="Times New Roman"/>
                <w:bCs/>
              </w:rPr>
            </w:pPr>
            <w:r>
              <w:rPr>
                <w:rFonts w:ascii="Times New Roman" w:eastAsia="Times New Roman" w:hAnsi="Times New Roman" w:cs="Times New Roman"/>
                <w:bCs/>
                <w:sz w:val="20"/>
                <w:szCs w:val="20"/>
              </w:rPr>
              <w:t>2024/2023,%</w:t>
            </w:r>
          </w:p>
        </w:tc>
      </w:tr>
      <w:tr w:rsidR="00D602D4">
        <w:trPr>
          <w:trHeight w:val="189"/>
        </w:trPr>
        <w:tc>
          <w:tcPr>
            <w:tcW w:w="532" w:type="dxa"/>
            <w:shd w:val="clear" w:color="FFFFFF" w:fill="FFFFFF"/>
            <w:vAlign w:val="center"/>
          </w:tcPr>
          <w:p w:rsidR="00D602D4" w:rsidRDefault="000B4C86">
            <w:pPr>
              <w:tabs>
                <w:tab w:val="left" w:pos="9356"/>
              </w:tabs>
              <w:spacing w:after="0" w:line="240" w:lineRule="auto"/>
              <w:ind w:left="-426" w:firstLine="284"/>
              <w:jc w:val="center"/>
              <w:rPr>
                <w:rFonts w:ascii="Times New Roman" w:hAnsi="Times New Roman" w:cs="Times New Roman"/>
                <w:bCs/>
              </w:rPr>
            </w:pPr>
            <w:r>
              <w:rPr>
                <w:rFonts w:ascii="Times New Roman" w:eastAsia="Times New Roman" w:hAnsi="Times New Roman" w:cs="Times New Roman"/>
                <w:bCs/>
                <w:sz w:val="20"/>
                <w:szCs w:val="20"/>
              </w:rPr>
              <w:t>1</w:t>
            </w:r>
          </w:p>
        </w:tc>
        <w:tc>
          <w:tcPr>
            <w:tcW w:w="4308" w:type="dxa"/>
            <w:shd w:val="clear" w:color="FFFFFF" w:fill="FFFFFF"/>
            <w:vAlign w:val="center"/>
          </w:tcPr>
          <w:p w:rsidR="00D602D4" w:rsidRDefault="000B4C86">
            <w:pPr>
              <w:tabs>
                <w:tab w:val="left" w:pos="9356"/>
              </w:tabs>
              <w:spacing w:after="0" w:line="240" w:lineRule="auto"/>
              <w:ind w:left="-108"/>
              <w:jc w:val="center"/>
              <w:rPr>
                <w:rFonts w:ascii="Times New Roman" w:hAnsi="Times New Roman" w:cs="Times New Roman"/>
                <w:b/>
                <w:bCs/>
              </w:rPr>
            </w:pPr>
            <w:r>
              <w:rPr>
                <w:rFonts w:ascii="Times New Roman" w:eastAsia="Times New Roman" w:hAnsi="Times New Roman" w:cs="Times New Roman"/>
                <w:b/>
                <w:bCs/>
                <w:sz w:val="20"/>
                <w:szCs w:val="20"/>
              </w:rPr>
              <w:t xml:space="preserve"> Выручка от реализации продукции (услуг), в том числе:</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     64 629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     69 232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     77 875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b/>
                <w:color w:val="000000"/>
              </w:rPr>
            </w:pPr>
            <w:r>
              <w:rPr>
                <w:rFonts w:ascii="Times New Roman" w:eastAsia="Times New Roman" w:hAnsi="Times New Roman" w:cs="Times New Roman"/>
                <w:b/>
                <w:color w:val="000000"/>
                <w:sz w:val="20"/>
                <w:szCs w:val="20"/>
              </w:rPr>
              <w:t>12</w:t>
            </w:r>
          </w:p>
        </w:tc>
      </w:tr>
      <w:tr w:rsidR="00D602D4">
        <w:trPr>
          <w:trHeight w:val="189"/>
        </w:trPr>
        <w:tc>
          <w:tcPr>
            <w:tcW w:w="532" w:type="dxa"/>
            <w:shd w:val="clear" w:color="FFFFFF" w:fill="FFFFFF"/>
            <w:vAlign w:val="center"/>
          </w:tcPr>
          <w:p w:rsidR="00D602D4" w:rsidRDefault="000B4C86">
            <w:pPr>
              <w:tabs>
                <w:tab w:val="left" w:pos="9356"/>
              </w:tabs>
              <w:spacing w:after="0" w:line="240" w:lineRule="auto"/>
              <w:ind w:left="-426" w:firstLine="284"/>
              <w:jc w:val="center"/>
              <w:rPr>
                <w:rFonts w:ascii="Times New Roman" w:hAnsi="Times New Roman" w:cs="Times New Roman"/>
                <w:bCs/>
              </w:rPr>
            </w:pPr>
            <w:r>
              <w:rPr>
                <w:rFonts w:ascii="Times New Roman" w:eastAsia="Times New Roman" w:hAnsi="Times New Roman" w:cs="Times New Roman"/>
                <w:bCs/>
                <w:sz w:val="20"/>
                <w:szCs w:val="20"/>
              </w:rPr>
              <w:t>1.1.</w:t>
            </w:r>
          </w:p>
        </w:tc>
        <w:tc>
          <w:tcPr>
            <w:tcW w:w="4308" w:type="dxa"/>
            <w:shd w:val="clear" w:color="FFFFFF" w:fill="FFFFFF"/>
            <w:vAlign w:val="center"/>
          </w:tcPr>
          <w:p w:rsidR="00D602D4" w:rsidRDefault="000B4C86">
            <w:pPr>
              <w:tabs>
                <w:tab w:val="left" w:pos="9356"/>
              </w:tabs>
              <w:spacing w:after="0" w:line="240" w:lineRule="auto"/>
              <w:ind w:left="-108"/>
              <w:jc w:val="center"/>
              <w:rPr>
                <w:rFonts w:ascii="Times New Roman" w:hAnsi="Times New Roman" w:cs="Times New Roman"/>
                <w:bCs/>
              </w:rPr>
            </w:pPr>
            <w:r>
              <w:rPr>
                <w:rFonts w:ascii="Times New Roman" w:eastAsia="Times New Roman" w:hAnsi="Times New Roman" w:cs="Times New Roman"/>
                <w:bCs/>
                <w:sz w:val="20"/>
                <w:szCs w:val="20"/>
              </w:rPr>
              <w:t xml:space="preserve"> От передачи электроэнергии</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60 025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66 999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73 716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10</w:t>
            </w:r>
          </w:p>
        </w:tc>
      </w:tr>
      <w:tr w:rsidR="00D602D4">
        <w:trPr>
          <w:trHeight w:val="189"/>
        </w:trPr>
        <w:tc>
          <w:tcPr>
            <w:tcW w:w="532" w:type="dxa"/>
            <w:shd w:val="clear" w:color="FFFFFF" w:fill="FFFFFF"/>
            <w:vAlign w:val="center"/>
          </w:tcPr>
          <w:p w:rsidR="00D602D4" w:rsidRDefault="000B4C86">
            <w:pPr>
              <w:tabs>
                <w:tab w:val="left" w:pos="9356"/>
              </w:tabs>
              <w:spacing w:after="0" w:line="240" w:lineRule="auto"/>
              <w:ind w:left="-426" w:firstLine="284"/>
              <w:jc w:val="center"/>
              <w:rPr>
                <w:rFonts w:ascii="Times New Roman" w:hAnsi="Times New Roman" w:cs="Times New Roman"/>
                <w:bCs/>
              </w:rPr>
            </w:pPr>
            <w:r>
              <w:rPr>
                <w:rFonts w:ascii="Times New Roman" w:eastAsia="Times New Roman" w:hAnsi="Times New Roman" w:cs="Times New Roman"/>
                <w:bCs/>
                <w:sz w:val="20"/>
                <w:szCs w:val="20"/>
              </w:rPr>
              <w:t>1.2.</w:t>
            </w:r>
          </w:p>
        </w:tc>
        <w:tc>
          <w:tcPr>
            <w:tcW w:w="4308" w:type="dxa"/>
            <w:shd w:val="clear" w:color="FFFFFF" w:fill="FFFFFF"/>
            <w:vAlign w:val="center"/>
          </w:tcPr>
          <w:p w:rsidR="00D602D4" w:rsidRDefault="000B4C86">
            <w:pPr>
              <w:tabs>
                <w:tab w:val="left" w:pos="9356"/>
              </w:tabs>
              <w:spacing w:after="0" w:line="240" w:lineRule="auto"/>
              <w:ind w:left="-108"/>
              <w:jc w:val="center"/>
              <w:rPr>
                <w:rFonts w:ascii="Times New Roman" w:hAnsi="Times New Roman" w:cs="Times New Roman"/>
                <w:bCs/>
              </w:rPr>
            </w:pPr>
            <w:r>
              <w:rPr>
                <w:rFonts w:ascii="Times New Roman" w:eastAsia="Times New Roman" w:hAnsi="Times New Roman" w:cs="Times New Roman"/>
                <w:bCs/>
                <w:sz w:val="20"/>
                <w:szCs w:val="20"/>
              </w:rPr>
              <w:t xml:space="preserve"> От технологического присоединения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785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1 350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2 816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109</w:t>
            </w:r>
          </w:p>
        </w:tc>
      </w:tr>
      <w:tr w:rsidR="00D602D4">
        <w:trPr>
          <w:trHeight w:val="189"/>
        </w:trPr>
        <w:tc>
          <w:tcPr>
            <w:tcW w:w="532" w:type="dxa"/>
            <w:shd w:val="clear" w:color="FFFFFF" w:fill="FFFFFF"/>
            <w:vAlign w:val="center"/>
          </w:tcPr>
          <w:p w:rsidR="00D602D4" w:rsidRDefault="000B4C86">
            <w:pPr>
              <w:tabs>
                <w:tab w:val="left" w:pos="9356"/>
              </w:tabs>
              <w:spacing w:after="0" w:line="240" w:lineRule="auto"/>
              <w:ind w:left="-426" w:firstLine="284"/>
              <w:jc w:val="center"/>
              <w:rPr>
                <w:rFonts w:ascii="Times New Roman" w:hAnsi="Times New Roman" w:cs="Times New Roman"/>
                <w:bCs/>
              </w:rPr>
            </w:pPr>
            <w:r>
              <w:rPr>
                <w:rFonts w:ascii="Times New Roman" w:eastAsia="Times New Roman" w:hAnsi="Times New Roman" w:cs="Times New Roman"/>
                <w:bCs/>
                <w:sz w:val="20"/>
                <w:szCs w:val="20"/>
              </w:rPr>
              <w:t>1.3.</w:t>
            </w:r>
          </w:p>
        </w:tc>
        <w:tc>
          <w:tcPr>
            <w:tcW w:w="4308" w:type="dxa"/>
            <w:shd w:val="clear" w:color="FFFFFF" w:fill="FFFFFF"/>
            <w:vAlign w:val="center"/>
          </w:tcPr>
          <w:p w:rsidR="00D602D4" w:rsidRDefault="000B4C86">
            <w:pPr>
              <w:tabs>
                <w:tab w:val="left" w:pos="9356"/>
              </w:tabs>
              <w:spacing w:after="0" w:line="240" w:lineRule="auto"/>
              <w:ind w:left="-108"/>
              <w:jc w:val="center"/>
              <w:rPr>
                <w:rFonts w:ascii="Times New Roman" w:hAnsi="Times New Roman" w:cs="Times New Roman"/>
                <w:bCs/>
              </w:rPr>
            </w:pPr>
            <w:r>
              <w:rPr>
                <w:rFonts w:ascii="Times New Roman" w:eastAsia="Times New Roman" w:hAnsi="Times New Roman" w:cs="Times New Roman"/>
                <w:sz w:val="20"/>
                <w:szCs w:val="20"/>
              </w:rPr>
              <w:t xml:space="preserve"> От продажи электроэнергии</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3 197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w:t>
            </w:r>
          </w:p>
        </w:tc>
      </w:tr>
      <w:tr w:rsidR="00D602D4">
        <w:trPr>
          <w:trHeight w:val="189"/>
        </w:trPr>
        <w:tc>
          <w:tcPr>
            <w:tcW w:w="532" w:type="dxa"/>
            <w:shd w:val="clear" w:color="FFFFFF" w:fill="FFFFFF"/>
            <w:vAlign w:val="center"/>
          </w:tcPr>
          <w:p w:rsidR="00D602D4" w:rsidRDefault="000B4C86">
            <w:pPr>
              <w:tabs>
                <w:tab w:val="left" w:pos="9356"/>
              </w:tabs>
              <w:spacing w:after="0" w:line="240" w:lineRule="auto"/>
              <w:ind w:left="-426" w:firstLine="284"/>
              <w:jc w:val="center"/>
              <w:rPr>
                <w:rFonts w:ascii="Times New Roman" w:hAnsi="Times New Roman" w:cs="Times New Roman"/>
                <w:bCs/>
              </w:rPr>
            </w:pPr>
            <w:r>
              <w:rPr>
                <w:rFonts w:ascii="Times New Roman" w:eastAsia="Times New Roman" w:hAnsi="Times New Roman" w:cs="Times New Roman"/>
                <w:bCs/>
                <w:sz w:val="20"/>
                <w:szCs w:val="20"/>
              </w:rPr>
              <w:t>1.4.</w:t>
            </w:r>
          </w:p>
        </w:tc>
        <w:tc>
          <w:tcPr>
            <w:tcW w:w="4308" w:type="dxa"/>
            <w:shd w:val="clear" w:color="FFFFFF" w:fill="FFFFFF"/>
            <w:vAlign w:val="center"/>
          </w:tcPr>
          <w:p w:rsidR="00D602D4" w:rsidRDefault="000B4C86">
            <w:pPr>
              <w:tabs>
                <w:tab w:val="left" w:pos="9356"/>
              </w:tabs>
              <w:spacing w:after="0" w:line="240" w:lineRule="auto"/>
              <w:ind w:left="-108"/>
              <w:jc w:val="center"/>
              <w:rPr>
                <w:rFonts w:ascii="Times New Roman" w:hAnsi="Times New Roman" w:cs="Times New Roman"/>
                <w:bCs/>
              </w:rPr>
            </w:pPr>
            <w:r>
              <w:rPr>
                <w:rFonts w:ascii="Times New Roman" w:eastAsia="Times New Roman" w:hAnsi="Times New Roman" w:cs="Times New Roman"/>
                <w:bCs/>
                <w:sz w:val="20"/>
                <w:szCs w:val="20"/>
              </w:rPr>
              <w:t xml:space="preserve"> От прочей деятельности</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622</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883</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1 343</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52</w:t>
            </w:r>
          </w:p>
        </w:tc>
      </w:tr>
      <w:tr w:rsidR="00D602D4">
        <w:trPr>
          <w:trHeight w:val="189"/>
        </w:trPr>
        <w:tc>
          <w:tcPr>
            <w:tcW w:w="532" w:type="dxa"/>
            <w:shd w:val="clear" w:color="FFFFFF" w:fill="FFFFFF"/>
            <w:vAlign w:val="center"/>
          </w:tcPr>
          <w:p w:rsidR="00D602D4" w:rsidRDefault="000B4C86">
            <w:pPr>
              <w:tabs>
                <w:tab w:val="left" w:pos="9356"/>
              </w:tabs>
              <w:spacing w:after="0" w:line="240" w:lineRule="auto"/>
              <w:ind w:left="-426" w:firstLine="284"/>
              <w:jc w:val="center"/>
              <w:rPr>
                <w:rFonts w:ascii="Times New Roman" w:hAnsi="Times New Roman" w:cs="Times New Roman"/>
                <w:b/>
                <w:bCs/>
              </w:rPr>
            </w:pPr>
            <w:r>
              <w:rPr>
                <w:rFonts w:ascii="Times New Roman" w:eastAsia="Times New Roman" w:hAnsi="Times New Roman" w:cs="Times New Roman"/>
                <w:b/>
                <w:bCs/>
                <w:sz w:val="20"/>
                <w:szCs w:val="20"/>
              </w:rPr>
              <w:t>2</w:t>
            </w:r>
          </w:p>
        </w:tc>
        <w:tc>
          <w:tcPr>
            <w:tcW w:w="4308" w:type="dxa"/>
            <w:shd w:val="clear" w:color="FFFFFF" w:fill="FFFFFF"/>
            <w:vAlign w:val="center"/>
          </w:tcPr>
          <w:p w:rsidR="00D602D4" w:rsidRDefault="000B4C86">
            <w:pPr>
              <w:tabs>
                <w:tab w:val="left" w:pos="9356"/>
              </w:tabs>
              <w:spacing w:after="0" w:line="240" w:lineRule="auto"/>
              <w:ind w:left="-108"/>
              <w:jc w:val="center"/>
              <w:rPr>
                <w:rFonts w:ascii="Times New Roman" w:hAnsi="Times New Roman" w:cs="Times New Roman"/>
                <w:b/>
                <w:bCs/>
              </w:rPr>
            </w:pPr>
            <w:r>
              <w:rPr>
                <w:rFonts w:ascii="Times New Roman" w:eastAsia="Times New Roman" w:hAnsi="Times New Roman" w:cs="Times New Roman"/>
                <w:b/>
                <w:bCs/>
                <w:sz w:val="20"/>
                <w:szCs w:val="20"/>
              </w:rPr>
              <w:t xml:space="preserve"> Себестоимость продукции (услуг)</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-57 218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-61 150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-66 851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b/>
                <w:color w:val="000000"/>
              </w:rPr>
            </w:pPr>
            <w:r>
              <w:rPr>
                <w:rFonts w:ascii="Times New Roman" w:eastAsia="Times New Roman" w:hAnsi="Times New Roman" w:cs="Times New Roman"/>
                <w:b/>
                <w:color w:val="000000"/>
                <w:sz w:val="20"/>
                <w:szCs w:val="20"/>
              </w:rPr>
              <w:t>9</w:t>
            </w:r>
          </w:p>
        </w:tc>
      </w:tr>
      <w:tr w:rsidR="00D602D4">
        <w:trPr>
          <w:trHeight w:val="189"/>
        </w:trPr>
        <w:tc>
          <w:tcPr>
            <w:tcW w:w="532" w:type="dxa"/>
            <w:shd w:val="clear" w:color="FFFFFF" w:fill="FFFFFF"/>
            <w:vAlign w:val="center"/>
          </w:tcPr>
          <w:p w:rsidR="00D602D4" w:rsidRDefault="000B4C86">
            <w:pPr>
              <w:tabs>
                <w:tab w:val="left" w:pos="9356"/>
              </w:tabs>
              <w:spacing w:after="0" w:line="240" w:lineRule="auto"/>
              <w:ind w:left="-426" w:firstLine="284"/>
              <w:jc w:val="center"/>
              <w:rPr>
                <w:rFonts w:ascii="Times New Roman" w:hAnsi="Times New Roman" w:cs="Times New Roman"/>
                <w:bCs/>
              </w:rPr>
            </w:pPr>
            <w:r>
              <w:rPr>
                <w:rFonts w:ascii="Times New Roman" w:eastAsia="Times New Roman" w:hAnsi="Times New Roman" w:cs="Times New Roman"/>
                <w:bCs/>
                <w:sz w:val="20"/>
                <w:szCs w:val="20"/>
              </w:rPr>
              <w:t>3</w:t>
            </w:r>
          </w:p>
        </w:tc>
        <w:tc>
          <w:tcPr>
            <w:tcW w:w="4308" w:type="dxa"/>
            <w:shd w:val="clear" w:color="FFFFFF" w:fill="FFFFFF"/>
            <w:vAlign w:val="center"/>
          </w:tcPr>
          <w:p w:rsidR="00D602D4" w:rsidRDefault="000B4C86">
            <w:pPr>
              <w:tabs>
                <w:tab w:val="left" w:pos="9356"/>
              </w:tabs>
              <w:spacing w:after="0" w:line="240" w:lineRule="auto"/>
              <w:ind w:left="-108"/>
              <w:jc w:val="center"/>
              <w:rPr>
                <w:rFonts w:ascii="Times New Roman" w:hAnsi="Times New Roman" w:cs="Times New Roman"/>
                <w:bCs/>
              </w:rPr>
            </w:pPr>
            <w:r>
              <w:rPr>
                <w:rFonts w:ascii="Times New Roman" w:eastAsia="Times New Roman" w:hAnsi="Times New Roman" w:cs="Times New Roman"/>
                <w:bCs/>
                <w:sz w:val="20"/>
                <w:szCs w:val="20"/>
              </w:rPr>
              <w:t xml:space="preserve"> Валовая прибыль</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7 411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8 083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11 024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36</w:t>
            </w:r>
          </w:p>
        </w:tc>
      </w:tr>
      <w:tr w:rsidR="00D602D4">
        <w:trPr>
          <w:trHeight w:val="189"/>
        </w:trPr>
        <w:tc>
          <w:tcPr>
            <w:tcW w:w="532" w:type="dxa"/>
            <w:shd w:val="clear" w:color="FFFFFF" w:fill="FFFFFF"/>
            <w:vAlign w:val="center"/>
          </w:tcPr>
          <w:p w:rsidR="00D602D4" w:rsidRDefault="000B4C86">
            <w:pPr>
              <w:tabs>
                <w:tab w:val="left" w:pos="9356"/>
              </w:tabs>
              <w:spacing w:after="0" w:line="240" w:lineRule="auto"/>
              <w:ind w:left="-426" w:firstLine="284"/>
              <w:jc w:val="center"/>
              <w:rPr>
                <w:rFonts w:ascii="Times New Roman" w:hAnsi="Times New Roman" w:cs="Times New Roman"/>
                <w:b/>
                <w:bCs/>
              </w:rPr>
            </w:pPr>
            <w:r>
              <w:rPr>
                <w:rFonts w:ascii="Times New Roman" w:eastAsia="Times New Roman" w:hAnsi="Times New Roman" w:cs="Times New Roman"/>
                <w:b/>
                <w:bCs/>
                <w:sz w:val="20"/>
                <w:szCs w:val="20"/>
              </w:rPr>
              <w:t>4</w:t>
            </w:r>
          </w:p>
        </w:tc>
        <w:tc>
          <w:tcPr>
            <w:tcW w:w="4308" w:type="dxa"/>
            <w:shd w:val="clear" w:color="FFFFFF" w:fill="FFFFFF"/>
            <w:vAlign w:val="center"/>
          </w:tcPr>
          <w:p w:rsidR="00D602D4" w:rsidRDefault="000B4C86">
            <w:pPr>
              <w:tabs>
                <w:tab w:val="left" w:pos="9356"/>
              </w:tabs>
              <w:spacing w:after="0" w:line="240" w:lineRule="auto"/>
              <w:ind w:left="-108"/>
              <w:jc w:val="center"/>
              <w:rPr>
                <w:rFonts w:ascii="Times New Roman" w:hAnsi="Times New Roman" w:cs="Times New Roman"/>
                <w:b/>
                <w:bCs/>
              </w:rPr>
            </w:pPr>
            <w:r>
              <w:rPr>
                <w:rFonts w:ascii="Times New Roman" w:eastAsia="Times New Roman" w:hAnsi="Times New Roman" w:cs="Times New Roman"/>
                <w:b/>
                <w:bCs/>
                <w:sz w:val="20"/>
                <w:szCs w:val="20"/>
              </w:rPr>
              <w:t xml:space="preserve"> Управленческие расходы</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-4 533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-5 001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-5 589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b/>
                <w:color w:val="000000"/>
              </w:rPr>
            </w:pPr>
            <w:r>
              <w:rPr>
                <w:rFonts w:ascii="Times New Roman" w:eastAsia="Times New Roman" w:hAnsi="Times New Roman" w:cs="Times New Roman"/>
                <w:b/>
                <w:color w:val="000000"/>
                <w:sz w:val="20"/>
                <w:szCs w:val="20"/>
              </w:rPr>
              <w:t>12</w:t>
            </w:r>
          </w:p>
        </w:tc>
      </w:tr>
      <w:tr w:rsidR="00D602D4">
        <w:trPr>
          <w:trHeight w:val="189"/>
        </w:trPr>
        <w:tc>
          <w:tcPr>
            <w:tcW w:w="532" w:type="dxa"/>
            <w:shd w:val="clear" w:color="FFFFFF" w:fill="FFFFFF"/>
            <w:vAlign w:val="center"/>
          </w:tcPr>
          <w:p w:rsidR="00D602D4" w:rsidRDefault="000B4C86">
            <w:pPr>
              <w:tabs>
                <w:tab w:val="left" w:pos="9356"/>
              </w:tabs>
              <w:spacing w:after="0" w:line="240" w:lineRule="auto"/>
              <w:ind w:left="-426" w:firstLine="284"/>
              <w:jc w:val="center"/>
              <w:rPr>
                <w:rFonts w:ascii="Times New Roman" w:hAnsi="Times New Roman" w:cs="Times New Roman"/>
                <w:b/>
                <w:bCs/>
              </w:rPr>
            </w:pPr>
            <w:r>
              <w:rPr>
                <w:rFonts w:ascii="Times New Roman" w:eastAsia="Times New Roman" w:hAnsi="Times New Roman" w:cs="Times New Roman"/>
                <w:b/>
                <w:bCs/>
                <w:sz w:val="20"/>
                <w:szCs w:val="20"/>
              </w:rPr>
              <w:t>5</w:t>
            </w:r>
          </w:p>
        </w:tc>
        <w:tc>
          <w:tcPr>
            <w:tcW w:w="4308" w:type="dxa"/>
            <w:shd w:val="clear" w:color="FFFFFF" w:fill="FFFFFF"/>
            <w:vAlign w:val="center"/>
          </w:tcPr>
          <w:p w:rsidR="00D602D4" w:rsidRDefault="000B4C86">
            <w:pPr>
              <w:tabs>
                <w:tab w:val="left" w:pos="9356"/>
              </w:tabs>
              <w:spacing w:after="0" w:line="240" w:lineRule="auto"/>
              <w:ind w:left="-108"/>
              <w:jc w:val="center"/>
              <w:rPr>
                <w:rFonts w:ascii="Times New Roman" w:hAnsi="Times New Roman" w:cs="Times New Roman"/>
                <w:b/>
                <w:bCs/>
              </w:rPr>
            </w:pPr>
            <w:r>
              <w:rPr>
                <w:rFonts w:ascii="Times New Roman" w:eastAsia="Times New Roman" w:hAnsi="Times New Roman" w:cs="Times New Roman"/>
                <w:b/>
                <w:bCs/>
                <w:sz w:val="20"/>
                <w:szCs w:val="20"/>
              </w:rPr>
              <w:t xml:space="preserve"> Коммерческие расходы</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-191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-31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-28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b/>
                <w:color w:val="000000"/>
              </w:rPr>
            </w:pPr>
            <w:r>
              <w:rPr>
                <w:rFonts w:ascii="Times New Roman" w:eastAsia="Times New Roman" w:hAnsi="Times New Roman" w:cs="Times New Roman"/>
                <w:b/>
                <w:color w:val="000000"/>
                <w:sz w:val="20"/>
                <w:szCs w:val="20"/>
              </w:rPr>
              <w:t>-11</w:t>
            </w:r>
          </w:p>
        </w:tc>
      </w:tr>
      <w:tr w:rsidR="00D602D4">
        <w:trPr>
          <w:trHeight w:val="189"/>
        </w:trPr>
        <w:tc>
          <w:tcPr>
            <w:tcW w:w="532" w:type="dxa"/>
            <w:shd w:val="clear" w:color="FFFFFF" w:fill="FFFFFF"/>
            <w:vAlign w:val="center"/>
          </w:tcPr>
          <w:p w:rsidR="00D602D4" w:rsidRDefault="000B4C86">
            <w:pPr>
              <w:tabs>
                <w:tab w:val="left" w:pos="9356"/>
              </w:tabs>
              <w:spacing w:after="0" w:line="240" w:lineRule="auto"/>
              <w:ind w:left="-426" w:firstLine="284"/>
              <w:jc w:val="center"/>
              <w:rPr>
                <w:rFonts w:ascii="Times New Roman" w:hAnsi="Times New Roman" w:cs="Times New Roman"/>
                <w:sz w:val="20"/>
                <w:szCs w:val="20"/>
              </w:rPr>
            </w:pPr>
            <w:r>
              <w:rPr>
                <w:rFonts w:ascii="Times New Roman" w:eastAsia="Times New Roman" w:hAnsi="Times New Roman" w:cs="Times New Roman"/>
                <w:sz w:val="20"/>
                <w:szCs w:val="20"/>
              </w:rPr>
              <w:t>6</w:t>
            </w:r>
          </w:p>
        </w:tc>
        <w:tc>
          <w:tcPr>
            <w:tcW w:w="4308" w:type="dxa"/>
            <w:shd w:val="clear" w:color="FFFFFF" w:fill="FFFFFF"/>
            <w:vAlign w:val="center"/>
          </w:tcPr>
          <w:p w:rsidR="00D602D4" w:rsidRDefault="000B4C86">
            <w:pPr>
              <w:tabs>
                <w:tab w:val="left" w:pos="9356"/>
              </w:tabs>
              <w:spacing w:after="0" w:line="240" w:lineRule="auto"/>
              <w:ind w:left="-108"/>
              <w:jc w:val="center"/>
              <w:rPr>
                <w:rFonts w:ascii="Times New Roman" w:hAnsi="Times New Roman" w:cs="Times New Roman"/>
                <w:bCs/>
              </w:rPr>
            </w:pPr>
            <w:r>
              <w:rPr>
                <w:rFonts w:ascii="Times New Roman" w:eastAsia="Times New Roman" w:hAnsi="Times New Roman" w:cs="Times New Roman"/>
                <w:bCs/>
                <w:sz w:val="20"/>
                <w:szCs w:val="20"/>
              </w:rPr>
              <w:t xml:space="preserve"> Прибыль (убыток) от продаж</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2 687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3 050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5 408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77</w:t>
            </w:r>
          </w:p>
        </w:tc>
      </w:tr>
      <w:tr w:rsidR="00D602D4">
        <w:trPr>
          <w:trHeight w:val="180"/>
        </w:trPr>
        <w:tc>
          <w:tcPr>
            <w:tcW w:w="532" w:type="dxa"/>
            <w:shd w:val="clear" w:color="FFFFFF" w:fill="FFFFFF"/>
            <w:vAlign w:val="center"/>
          </w:tcPr>
          <w:p w:rsidR="00D602D4" w:rsidRDefault="000B4C86">
            <w:pPr>
              <w:tabs>
                <w:tab w:val="left" w:pos="9356"/>
              </w:tabs>
              <w:spacing w:after="0" w:line="240" w:lineRule="auto"/>
              <w:ind w:left="-426" w:firstLine="284"/>
              <w:jc w:val="center"/>
              <w:rPr>
                <w:rFonts w:ascii="Times New Roman" w:hAnsi="Times New Roman" w:cs="Times New Roman"/>
                <w:sz w:val="20"/>
                <w:szCs w:val="20"/>
              </w:rPr>
            </w:pPr>
            <w:r>
              <w:rPr>
                <w:rFonts w:ascii="Times New Roman" w:eastAsia="Times New Roman" w:hAnsi="Times New Roman" w:cs="Times New Roman"/>
                <w:sz w:val="20"/>
                <w:szCs w:val="20"/>
              </w:rPr>
              <w:t>7</w:t>
            </w:r>
          </w:p>
        </w:tc>
        <w:tc>
          <w:tcPr>
            <w:tcW w:w="4308" w:type="dxa"/>
            <w:shd w:val="clear" w:color="FFFFFF" w:fill="FFFFFF"/>
            <w:vAlign w:val="center"/>
          </w:tcPr>
          <w:p w:rsidR="00D602D4" w:rsidRDefault="000B4C86">
            <w:pPr>
              <w:tabs>
                <w:tab w:val="left" w:pos="9356"/>
              </w:tabs>
              <w:spacing w:after="0" w:line="240" w:lineRule="auto"/>
              <w:ind w:left="-108"/>
              <w:jc w:val="center"/>
              <w:rPr>
                <w:rFonts w:ascii="Times New Roman" w:hAnsi="Times New Roman" w:cs="Times New Roman"/>
                <w:sz w:val="20"/>
                <w:szCs w:val="20"/>
              </w:rPr>
            </w:pPr>
            <w:r>
              <w:rPr>
                <w:rFonts w:ascii="Times New Roman" w:eastAsia="Times New Roman" w:hAnsi="Times New Roman" w:cs="Times New Roman"/>
                <w:sz w:val="20"/>
                <w:szCs w:val="20"/>
              </w:rPr>
              <w:t xml:space="preserve"> Проценты к получению</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280</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204</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344</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68</w:t>
            </w:r>
          </w:p>
        </w:tc>
      </w:tr>
      <w:tr w:rsidR="00D602D4">
        <w:trPr>
          <w:trHeight w:val="180"/>
        </w:trPr>
        <w:tc>
          <w:tcPr>
            <w:tcW w:w="532" w:type="dxa"/>
            <w:shd w:val="clear" w:color="FFFFFF" w:fill="FFFFFF"/>
            <w:noWrap/>
            <w:vAlign w:val="center"/>
          </w:tcPr>
          <w:p w:rsidR="00D602D4" w:rsidRDefault="000B4C86">
            <w:pPr>
              <w:tabs>
                <w:tab w:val="left" w:pos="9356"/>
              </w:tabs>
              <w:spacing w:after="0" w:line="240" w:lineRule="auto"/>
              <w:ind w:left="-426" w:firstLine="284"/>
              <w:jc w:val="center"/>
              <w:rPr>
                <w:rFonts w:ascii="Times New Roman" w:hAnsi="Times New Roman" w:cs="Times New Roman"/>
                <w:sz w:val="20"/>
                <w:szCs w:val="20"/>
              </w:rPr>
            </w:pPr>
            <w:r>
              <w:rPr>
                <w:rFonts w:ascii="Times New Roman" w:eastAsia="Times New Roman" w:hAnsi="Times New Roman" w:cs="Times New Roman"/>
                <w:sz w:val="20"/>
                <w:szCs w:val="20"/>
              </w:rPr>
              <w:t>8</w:t>
            </w:r>
          </w:p>
        </w:tc>
        <w:tc>
          <w:tcPr>
            <w:tcW w:w="4308" w:type="dxa"/>
            <w:shd w:val="clear" w:color="FFFFFF" w:fill="FFFFFF"/>
            <w:noWrap/>
            <w:vAlign w:val="center"/>
          </w:tcPr>
          <w:p w:rsidR="00D602D4" w:rsidRDefault="000B4C86">
            <w:pPr>
              <w:tabs>
                <w:tab w:val="left" w:pos="9356"/>
              </w:tabs>
              <w:spacing w:after="0" w:line="240" w:lineRule="auto"/>
              <w:ind w:left="-108"/>
              <w:jc w:val="center"/>
              <w:rPr>
                <w:rFonts w:ascii="Times New Roman" w:hAnsi="Times New Roman" w:cs="Times New Roman"/>
                <w:sz w:val="20"/>
                <w:szCs w:val="20"/>
              </w:rPr>
            </w:pPr>
            <w:r>
              <w:rPr>
                <w:rFonts w:ascii="Times New Roman" w:eastAsia="Times New Roman" w:hAnsi="Times New Roman" w:cs="Times New Roman"/>
                <w:sz w:val="20"/>
                <w:szCs w:val="20"/>
              </w:rPr>
              <w:t xml:space="preserve"> Проценты к уплате</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-4 340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-4 134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-7 040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70</w:t>
            </w:r>
          </w:p>
        </w:tc>
      </w:tr>
      <w:tr w:rsidR="00D602D4">
        <w:trPr>
          <w:trHeight w:val="180"/>
        </w:trPr>
        <w:tc>
          <w:tcPr>
            <w:tcW w:w="532" w:type="dxa"/>
            <w:shd w:val="clear" w:color="FFFFFF" w:fill="FFFFFF"/>
            <w:noWrap/>
            <w:vAlign w:val="center"/>
          </w:tcPr>
          <w:p w:rsidR="00D602D4" w:rsidRDefault="000B4C86">
            <w:pPr>
              <w:tabs>
                <w:tab w:val="left" w:pos="9356"/>
              </w:tabs>
              <w:spacing w:after="0" w:line="240" w:lineRule="auto"/>
              <w:ind w:left="-426" w:firstLine="284"/>
              <w:jc w:val="center"/>
              <w:rPr>
                <w:rFonts w:ascii="Times New Roman" w:hAnsi="Times New Roman" w:cs="Times New Roman"/>
                <w:sz w:val="20"/>
                <w:szCs w:val="20"/>
              </w:rPr>
            </w:pPr>
            <w:r>
              <w:rPr>
                <w:rFonts w:ascii="Times New Roman" w:eastAsia="Times New Roman" w:hAnsi="Times New Roman" w:cs="Times New Roman"/>
                <w:sz w:val="20"/>
                <w:szCs w:val="20"/>
              </w:rPr>
              <w:t>9</w:t>
            </w:r>
          </w:p>
        </w:tc>
        <w:tc>
          <w:tcPr>
            <w:tcW w:w="4308" w:type="dxa"/>
            <w:shd w:val="clear" w:color="FFFFFF" w:fill="FFFFFF"/>
            <w:noWrap/>
            <w:vAlign w:val="center"/>
          </w:tcPr>
          <w:p w:rsidR="00D602D4" w:rsidRDefault="000B4C86">
            <w:pPr>
              <w:tabs>
                <w:tab w:val="left" w:pos="9356"/>
              </w:tabs>
              <w:spacing w:after="0" w:line="240" w:lineRule="auto"/>
              <w:ind w:left="-108"/>
              <w:jc w:val="center"/>
              <w:rPr>
                <w:rFonts w:ascii="Times New Roman" w:hAnsi="Times New Roman" w:cs="Times New Roman"/>
                <w:sz w:val="20"/>
                <w:szCs w:val="20"/>
              </w:rPr>
            </w:pPr>
            <w:r>
              <w:rPr>
                <w:rFonts w:ascii="Times New Roman" w:eastAsia="Times New Roman" w:hAnsi="Times New Roman" w:cs="Times New Roman"/>
                <w:sz w:val="20"/>
                <w:szCs w:val="20"/>
              </w:rPr>
              <w:t xml:space="preserve"> Доходы от участия в других организациях</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5</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7</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8</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16</w:t>
            </w:r>
          </w:p>
        </w:tc>
      </w:tr>
      <w:tr w:rsidR="00D602D4">
        <w:trPr>
          <w:trHeight w:val="180"/>
        </w:trPr>
        <w:tc>
          <w:tcPr>
            <w:tcW w:w="532" w:type="dxa"/>
            <w:shd w:val="clear" w:color="FFFFFF" w:fill="FFFFFF"/>
            <w:noWrap/>
            <w:vAlign w:val="center"/>
          </w:tcPr>
          <w:p w:rsidR="00D602D4" w:rsidRDefault="000B4C86">
            <w:pPr>
              <w:tabs>
                <w:tab w:val="left" w:pos="9356"/>
              </w:tabs>
              <w:spacing w:after="0" w:line="240" w:lineRule="auto"/>
              <w:ind w:left="-426" w:firstLine="284"/>
              <w:jc w:val="center"/>
              <w:rPr>
                <w:rFonts w:ascii="Times New Roman" w:hAnsi="Times New Roman" w:cs="Times New Roman"/>
                <w:sz w:val="20"/>
                <w:szCs w:val="20"/>
              </w:rPr>
            </w:pPr>
            <w:r>
              <w:rPr>
                <w:rFonts w:ascii="Times New Roman" w:eastAsia="Times New Roman" w:hAnsi="Times New Roman" w:cs="Times New Roman"/>
                <w:sz w:val="20"/>
                <w:szCs w:val="20"/>
              </w:rPr>
              <w:t>10</w:t>
            </w:r>
          </w:p>
        </w:tc>
        <w:tc>
          <w:tcPr>
            <w:tcW w:w="4308" w:type="dxa"/>
            <w:shd w:val="clear" w:color="FFFFFF" w:fill="FFFFFF"/>
            <w:noWrap/>
            <w:vAlign w:val="center"/>
          </w:tcPr>
          <w:p w:rsidR="00D602D4" w:rsidRDefault="000B4C86">
            <w:pPr>
              <w:tabs>
                <w:tab w:val="left" w:pos="9356"/>
              </w:tabs>
              <w:spacing w:after="0" w:line="240" w:lineRule="auto"/>
              <w:ind w:left="-108"/>
              <w:jc w:val="center"/>
              <w:rPr>
                <w:rFonts w:ascii="Times New Roman" w:hAnsi="Times New Roman" w:cs="Times New Roman"/>
                <w:sz w:val="20"/>
                <w:szCs w:val="20"/>
              </w:rPr>
            </w:pPr>
            <w:r>
              <w:rPr>
                <w:rFonts w:ascii="Times New Roman" w:eastAsia="Times New Roman" w:hAnsi="Times New Roman" w:cs="Times New Roman"/>
                <w:sz w:val="20"/>
                <w:szCs w:val="20"/>
              </w:rPr>
              <w:t xml:space="preserve"> Прочие доходы</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4 522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10 161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6 198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-39</w:t>
            </w:r>
          </w:p>
        </w:tc>
      </w:tr>
      <w:tr w:rsidR="00D602D4">
        <w:trPr>
          <w:trHeight w:val="180"/>
        </w:trPr>
        <w:tc>
          <w:tcPr>
            <w:tcW w:w="532" w:type="dxa"/>
            <w:shd w:val="clear" w:color="FFFFFF" w:fill="FFFFFF"/>
            <w:noWrap/>
            <w:vAlign w:val="bottom"/>
          </w:tcPr>
          <w:p w:rsidR="00D602D4" w:rsidRDefault="000B4C86">
            <w:pPr>
              <w:tabs>
                <w:tab w:val="left" w:pos="9356"/>
              </w:tabs>
              <w:spacing w:after="0" w:line="240" w:lineRule="auto"/>
              <w:ind w:left="-426" w:firstLine="284"/>
              <w:jc w:val="center"/>
              <w:rPr>
                <w:rFonts w:ascii="Times New Roman" w:hAnsi="Times New Roman" w:cs="Times New Roman"/>
                <w:bCs/>
              </w:rPr>
            </w:pPr>
            <w:r>
              <w:rPr>
                <w:rFonts w:ascii="Times New Roman" w:eastAsia="Times New Roman" w:hAnsi="Times New Roman" w:cs="Times New Roman"/>
                <w:bCs/>
                <w:sz w:val="20"/>
                <w:szCs w:val="20"/>
              </w:rPr>
              <w:t>11</w:t>
            </w:r>
          </w:p>
        </w:tc>
        <w:tc>
          <w:tcPr>
            <w:tcW w:w="4308" w:type="dxa"/>
            <w:shd w:val="clear" w:color="FFFFFF" w:fill="FFFFFF"/>
            <w:noWrap/>
            <w:vAlign w:val="center"/>
          </w:tcPr>
          <w:p w:rsidR="00D602D4" w:rsidRDefault="000B4C86">
            <w:pPr>
              <w:tabs>
                <w:tab w:val="left" w:pos="9356"/>
              </w:tabs>
              <w:spacing w:after="0" w:line="240" w:lineRule="auto"/>
              <w:ind w:left="-108"/>
              <w:jc w:val="center"/>
              <w:rPr>
                <w:rFonts w:ascii="Times New Roman" w:hAnsi="Times New Roman" w:cs="Times New Roman"/>
                <w:sz w:val="20"/>
                <w:szCs w:val="20"/>
              </w:rPr>
            </w:pPr>
            <w:r>
              <w:rPr>
                <w:rFonts w:ascii="Times New Roman" w:eastAsia="Times New Roman" w:hAnsi="Times New Roman" w:cs="Times New Roman"/>
                <w:sz w:val="20"/>
                <w:szCs w:val="20"/>
              </w:rPr>
              <w:t xml:space="preserve"> Прочие расходы</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-3 706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-10 068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-4 883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-52</w:t>
            </w:r>
          </w:p>
        </w:tc>
      </w:tr>
      <w:tr w:rsidR="00D602D4">
        <w:trPr>
          <w:trHeight w:val="189"/>
        </w:trPr>
        <w:tc>
          <w:tcPr>
            <w:tcW w:w="532" w:type="dxa"/>
            <w:shd w:val="clear" w:color="FFFFFF" w:fill="FFFFFF"/>
            <w:noWrap/>
            <w:vAlign w:val="bottom"/>
          </w:tcPr>
          <w:p w:rsidR="00D602D4" w:rsidRDefault="000B4C86">
            <w:pPr>
              <w:tabs>
                <w:tab w:val="left" w:pos="9356"/>
              </w:tabs>
              <w:spacing w:after="0" w:line="240" w:lineRule="auto"/>
              <w:jc w:val="center"/>
              <w:rPr>
                <w:rFonts w:ascii="Times New Roman" w:hAnsi="Times New Roman" w:cs="Times New Roman"/>
                <w:b/>
                <w:bCs/>
              </w:rPr>
            </w:pPr>
            <w:r>
              <w:rPr>
                <w:rFonts w:ascii="Times New Roman" w:eastAsia="Times New Roman" w:hAnsi="Times New Roman" w:cs="Times New Roman"/>
                <w:b/>
                <w:bCs/>
                <w:sz w:val="20"/>
                <w:szCs w:val="20"/>
              </w:rPr>
              <w:t>12</w:t>
            </w:r>
          </w:p>
        </w:tc>
        <w:tc>
          <w:tcPr>
            <w:tcW w:w="4308" w:type="dxa"/>
            <w:shd w:val="clear" w:color="FFFFFF" w:fill="FFFFFF"/>
            <w:noWrap/>
            <w:vAlign w:val="bottom"/>
          </w:tcPr>
          <w:p w:rsidR="00D602D4" w:rsidRDefault="000B4C86">
            <w:pPr>
              <w:tabs>
                <w:tab w:val="left" w:pos="9356"/>
              </w:tabs>
              <w:spacing w:after="0" w:line="240" w:lineRule="auto"/>
              <w:ind w:left="-108"/>
              <w:jc w:val="center"/>
              <w:rPr>
                <w:rFonts w:ascii="Times New Roman" w:hAnsi="Times New Roman" w:cs="Times New Roman"/>
                <w:b/>
                <w:bCs/>
              </w:rPr>
            </w:pPr>
            <w:r>
              <w:rPr>
                <w:rFonts w:ascii="Times New Roman" w:eastAsia="Times New Roman" w:hAnsi="Times New Roman" w:cs="Times New Roman"/>
                <w:b/>
                <w:bCs/>
                <w:sz w:val="20"/>
                <w:szCs w:val="20"/>
              </w:rPr>
              <w:t xml:space="preserve"> Прибыль (убыток) до налогообложения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-551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-780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            35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b/>
                <w:color w:val="000000"/>
              </w:rPr>
            </w:pPr>
            <w:r>
              <w:rPr>
                <w:rFonts w:ascii="Times New Roman" w:eastAsia="Times New Roman" w:hAnsi="Times New Roman" w:cs="Times New Roman"/>
                <w:b/>
                <w:color w:val="000000"/>
                <w:sz w:val="20"/>
                <w:szCs w:val="20"/>
              </w:rPr>
              <w:t>105</w:t>
            </w:r>
          </w:p>
        </w:tc>
      </w:tr>
      <w:tr w:rsidR="00D602D4">
        <w:trPr>
          <w:trHeight w:val="180"/>
        </w:trPr>
        <w:tc>
          <w:tcPr>
            <w:tcW w:w="532" w:type="dxa"/>
            <w:shd w:val="clear" w:color="FFFFFF" w:fill="FFFFFF"/>
            <w:vAlign w:val="bottom"/>
          </w:tcPr>
          <w:p w:rsidR="00D602D4" w:rsidRDefault="000B4C86">
            <w:pPr>
              <w:tabs>
                <w:tab w:val="left" w:pos="9356"/>
              </w:tabs>
              <w:spacing w:after="0" w:line="240" w:lineRule="auto"/>
              <w:ind w:left="-426" w:firstLine="284"/>
              <w:jc w:val="center"/>
              <w:rPr>
                <w:rFonts w:ascii="Times New Roman" w:hAnsi="Times New Roman" w:cs="Times New Roman"/>
                <w:bCs/>
              </w:rPr>
            </w:pPr>
            <w:r>
              <w:rPr>
                <w:rFonts w:ascii="Times New Roman" w:eastAsia="Times New Roman" w:hAnsi="Times New Roman" w:cs="Times New Roman"/>
                <w:bCs/>
                <w:sz w:val="20"/>
                <w:szCs w:val="20"/>
              </w:rPr>
              <w:t>13</w:t>
            </w:r>
          </w:p>
        </w:tc>
        <w:tc>
          <w:tcPr>
            <w:tcW w:w="4308" w:type="dxa"/>
            <w:shd w:val="clear" w:color="FFFFFF" w:fill="FFFFFF"/>
            <w:vAlign w:val="bottom"/>
          </w:tcPr>
          <w:p w:rsidR="00D602D4" w:rsidRDefault="000B4C86">
            <w:pPr>
              <w:tabs>
                <w:tab w:val="left" w:pos="9356"/>
              </w:tabs>
              <w:spacing w:after="0" w:line="240" w:lineRule="auto"/>
              <w:ind w:left="-108"/>
              <w:jc w:val="center"/>
              <w:rPr>
                <w:rFonts w:ascii="Times New Roman" w:hAnsi="Times New Roman" w:cs="Times New Roman"/>
                <w:bCs/>
              </w:rPr>
            </w:pPr>
            <w:r>
              <w:rPr>
                <w:rFonts w:ascii="Times New Roman" w:eastAsia="Times New Roman" w:hAnsi="Times New Roman" w:cs="Times New Roman"/>
                <w:bCs/>
                <w:sz w:val="20"/>
                <w:szCs w:val="20"/>
              </w:rPr>
              <w:t xml:space="preserve"> Налог на прибыль и иные платежи</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344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            51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color w:val="000000"/>
              </w:rPr>
            </w:pPr>
            <w:r>
              <w:rPr>
                <w:rFonts w:ascii="Times New Roman" w:eastAsia="Times New Roman" w:hAnsi="Times New Roman" w:cs="Times New Roman"/>
                <w:color w:val="000000"/>
                <w:sz w:val="20"/>
                <w:szCs w:val="20"/>
              </w:rPr>
              <w:t xml:space="preserve">-732 </w:t>
            </w:r>
          </w:p>
        </w:tc>
        <w:tc>
          <w:tcPr>
            <w:tcW w:w="1330" w:type="dxa"/>
            <w:shd w:val="clear" w:color="000000" w:fill="FFFFFF"/>
            <w:vAlign w:val="center"/>
          </w:tcPr>
          <w:p w:rsidR="00D602D4" w:rsidRDefault="000B4C86">
            <w:pPr>
              <w:spacing w:after="0" w:line="240" w:lineRule="auto"/>
              <w:jc w:val="center"/>
              <w:rPr>
                <w:rFonts w:ascii="Times New Roman" w:hAnsi="Times New Roman" w:cs="Times New Roman"/>
                <w:color w:val="000000"/>
              </w:rPr>
            </w:pPr>
            <w:r>
              <w:rPr>
                <w:rFonts w:ascii="Times New Roman" w:eastAsia="Times New Roman" w:hAnsi="Times New Roman" w:cs="Times New Roman"/>
                <w:color w:val="000000"/>
                <w:sz w:val="20"/>
                <w:szCs w:val="20"/>
              </w:rPr>
              <w:t>1537</w:t>
            </w:r>
          </w:p>
        </w:tc>
      </w:tr>
      <w:tr w:rsidR="00D602D4">
        <w:trPr>
          <w:trHeight w:val="189"/>
        </w:trPr>
        <w:tc>
          <w:tcPr>
            <w:tcW w:w="532" w:type="dxa"/>
            <w:shd w:val="clear" w:color="FFFFFF" w:fill="FFFFFF"/>
            <w:vAlign w:val="bottom"/>
          </w:tcPr>
          <w:p w:rsidR="00D602D4" w:rsidRDefault="000B4C86">
            <w:pPr>
              <w:tabs>
                <w:tab w:val="left" w:pos="9356"/>
              </w:tabs>
              <w:spacing w:after="0" w:line="240" w:lineRule="auto"/>
              <w:ind w:left="-426" w:firstLine="284"/>
              <w:jc w:val="center"/>
              <w:rPr>
                <w:rFonts w:ascii="Times New Roman" w:hAnsi="Times New Roman" w:cs="Times New Roman"/>
                <w:b/>
                <w:bCs/>
              </w:rPr>
            </w:pPr>
            <w:r>
              <w:rPr>
                <w:rFonts w:ascii="Times New Roman" w:eastAsia="Times New Roman" w:hAnsi="Times New Roman" w:cs="Times New Roman"/>
                <w:b/>
                <w:bCs/>
                <w:sz w:val="20"/>
                <w:szCs w:val="20"/>
              </w:rPr>
              <w:t>14</w:t>
            </w:r>
          </w:p>
        </w:tc>
        <w:tc>
          <w:tcPr>
            <w:tcW w:w="4308" w:type="dxa"/>
            <w:shd w:val="clear" w:color="FFFFFF" w:fill="FFFFFF"/>
            <w:vAlign w:val="bottom"/>
          </w:tcPr>
          <w:p w:rsidR="00D602D4" w:rsidRDefault="000B4C86">
            <w:pPr>
              <w:tabs>
                <w:tab w:val="left" w:pos="9356"/>
              </w:tabs>
              <w:spacing w:after="0" w:line="240" w:lineRule="auto"/>
              <w:ind w:left="-108"/>
              <w:jc w:val="center"/>
              <w:rPr>
                <w:rFonts w:ascii="Times New Roman" w:hAnsi="Times New Roman" w:cs="Times New Roman"/>
                <w:b/>
                <w:bCs/>
              </w:rPr>
            </w:pPr>
            <w:r>
              <w:rPr>
                <w:rFonts w:ascii="Times New Roman" w:eastAsia="Times New Roman" w:hAnsi="Times New Roman" w:cs="Times New Roman"/>
                <w:b/>
                <w:bCs/>
                <w:sz w:val="20"/>
                <w:szCs w:val="20"/>
              </w:rPr>
              <w:t xml:space="preserve"> Чистая прибыль (убыток)</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-207 </w:t>
            </w:r>
          </w:p>
        </w:tc>
        <w:tc>
          <w:tcPr>
            <w:tcW w:w="1195"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-729 </w:t>
            </w:r>
          </w:p>
        </w:tc>
        <w:tc>
          <w:tcPr>
            <w:tcW w:w="1196" w:type="dxa"/>
            <w:shd w:val="clear" w:color="FFFFFF"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-696 </w:t>
            </w:r>
          </w:p>
        </w:tc>
        <w:tc>
          <w:tcPr>
            <w:tcW w:w="1330" w:type="dxa"/>
            <w:shd w:val="clear" w:color="000000" w:fill="FFFFFF"/>
            <w:vAlign w:val="center"/>
          </w:tcPr>
          <w:p w:rsidR="00D602D4" w:rsidRDefault="000B4C86">
            <w:pPr>
              <w:spacing w:after="0" w:line="240" w:lineRule="auto"/>
              <w:ind w:right="-20"/>
              <w:jc w:val="center"/>
              <w:rPr>
                <w:rFonts w:ascii="Times New Roman" w:hAnsi="Times New Roman" w:cs="Times New Roman"/>
                <w:b/>
                <w:color w:val="000000"/>
              </w:rPr>
            </w:pPr>
            <w:r>
              <w:rPr>
                <w:rFonts w:ascii="Times New Roman" w:eastAsia="Times New Roman" w:hAnsi="Times New Roman" w:cs="Times New Roman"/>
                <w:b/>
                <w:color w:val="000000"/>
                <w:sz w:val="20"/>
                <w:szCs w:val="20"/>
              </w:rPr>
              <w:t>4</w:t>
            </w:r>
          </w:p>
        </w:tc>
      </w:tr>
      <w:tr w:rsidR="00D602D4">
        <w:trPr>
          <w:trHeight w:val="42"/>
        </w:trPr>
        <w:tc>
          <w:tcPr>
            <w:tcW w:w="532" w:type="dxa"/>
            <w:shd w:val="clear" w:color="FFFFFF" w:fill="FFFFFF"/>
            <w:vAlign w:val="bottom"/>
          </w:tcPr>
          <w:p w:rsidR="00D602D4" w:rsidRDefault="000B4C86">
            <w:pPr>
              <w:tabs>
                <w:tab w:val="left" w:pos="9356"/>
              </w:tabs>
              <w:spacing w:after="0" w:line="240" w:lineRule="auto"/>
              <w:ind w:left="-426" w:firstLine="284"/>
              <w:jc w:val="center"/>
              <w:rPr>
                <w:rFonts w:ascii="Times New Roman" w:hAnsi="Times New Roman" w:cs="Times New Roman"/>
                <w:b/>
                <w:bCs/>
              </w:rPr>
            </w:pPr>
            <w:r>
              <w:rPr>
                <w:rFonts w:ascii="Times New Roman" w:eastAsia="Times New Roman" w:hAnsi="Times New Roman" w:cs="Times New Roman"/>
                <w:b/>
                <w:bCs/>
                <w:sz w:val="20"/>
                <w:szCs w:val="20"/>
              </w:rPr>
              <w:t>15</w:t>
            </w:r>
          </w:p>
        </w:tc>
        <w:tc>
          <w:tcPr>
            <w:tcW w:w="4308" w:type="dxa"/>
            <w:shd w:val="clear" w:color="FFFFFF" w:fill="FFFFFF"/>
            <w:vAlign w:val="bottom"/>
          </w:tcPr>
          <w:p w:rsidR="00D602D4" w:rsidRDefault="000B4C86">
            <w:pPr>
              <w:tabs>
                <w:tab w:val="left" w:pos="9356"/>
              </w:tabs>
              <w:spacing w:after="0" w:line="240" w:lineRule="auto"/>
              <w:ind w:left="-108"/>
              <w:jc w:val="center"/>
              <w:rPr>
                <w:rFonts w:ascii="Times New Roman" w:hAnsi="Times New Roman" w:cs="Times New Roman"/>
                <w:b/>
                <w:bCs/>
              </w:rPr>
            </w:pPr>
            <w:r>
              <w:rPr>
                <w:rFonts w:ascii="Times New Roman" w:eastAsia="Times New Roman" w:hAnsi="Times New Roman" w:cs="Times New Roman"/>
                <w:b/>
                <w:bCs/>
                <w:sz w:val="20"/>
                <w:szCs w:val="20"/>
              </w:rPr>
              <w:t xml:space="preserve"> </w:t>
            </w:r>
            <w:r>
              <w:rPr>
                <w:rFonts w:ascii="Times New Roman" w:eastAsia="Times New Roman" w:hAnsi="Times New Roman" w:cs="Times New Roman"/>
                <w:b/>
                <w:bCs/>
                <w:sz w:val="20"/>
                <w:szCs w:val="20"/>
                <w:lang w:val="en-US"/>
              </w:rPr>
              <w:t>EBITDA</w:t>
            </w:r>
            <w:r>
              <w:rPr>
                <w:rFonts w:ascii="Times New Roman" w:eastAsia="Times New Roman" w:hAnsi="Times New Roman" w:cs="Times New Roman"/>
                <w:b/>
                <w:bCs/>
                <w:sz w:val="20"/>
                <w:szCs w:val="20"/>
              </w:rPr>
              <w:t>*</w:t>
            </w:r>
          </w:p>
        </w:tc>
        <w:tc>
          <w:tcPr>
            <w:tcW w:w="1196" w:type="dxa"/>
            <w:shd w:val="clear" w:color="000000"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       9 439 </w:t>
            </w:r>
          </w:p>
        </w:tc>
        <w:tc>
          <w:tcPr>
            <w:tcW w:w="1195" w:type="dxa"/>
            <w:shd w:val="clear" w:color="000000"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       9 171 </w:t>
            </w:r>
          </w:p>
        </w:tc>
        <w:tc>
          <w:tcPr>
            <w:tcW w:w="1196" w:type="dxa"/>
            <w:shd w:val="clear" w:color="000000" w:fill="FFFFFF"/>
            <w:vAlign w:val="center"/>
          </w:tcPr>
          <w:p w:rsidR="00D602D4" w:rsidRDefault="000B4C86">
            <w:pPr>
              <w:spacing w:after="0" w:line="240" w:lineRule="auto"/>
              <w:jc w:val="right"/>
              <w:rPr>
                <w:rFonts w:ascii="Times New Roman" w:hAnsi="Times New Roman" w:cs="Times New Roman"/>
                <w:b/>
                <w:color w:val="000000"/>
              </w:rPr>
            </w:pPr>
            <w:r>
              <w:rPr>
                <w:rFonts w:ascii="Times New Roman" w:eastAsia="Times New Roman" w:hAnsi="Times New Roman" w:cs="Times New Roman"/>
                <w:b/>
                <w:color w:val="000000"/>
                <w:sz w:val="20"/>
                <w:szCs w:val="20"/>
              </w:rPr>
              <w:t xml:space="preserve">     13 196 </w:t>
            </w:r>
          </w:p>
        </w:tc>
        <w:tc>
          <w:tcPr>
            <w:tcW w:w="1330" w:type="dxa"/>
            <w:shd w:val="clear" w:color="000000" w:fill="FFFFFF"/>
            <w:vAlign w:val="center"/>
          </w:tcPr>
          <w:p w:rsidR="00D602D4" w:rsidRDefault="000B4C86">
            <w:pPr>
              <w:spacing w:after="0" w:line="240" w:lineRule="auto"/>
              <w:ind w:right="-20"/>
              <w:jc w:val="center"/>
              <w:rPr>
                <w:rFonts w:ascii="Times New Roman" w:hAnsi="Times New Roman" w:cs="Times New Roman"/>
                <w:b/>
                <w:color w:val="000000"/>
              </w:rPr>
            </w:pPr>
            <w:r>
              <w:rPr>
                <w:rFonts w:ascii="Times New Roman" w:eastAsia="Times New Roman" w:hAnsi="Times New Roman" w:cs="Times New Roman"/>
                <w:b/>
                <w:color w:val="000000"/>
                <w:sz w:val="20"/>
                <w:szCs w:val="20"/>
              </w:rPr>
              <w:t>44</w:t>
            </w:r>
          </w:p>
        </w:tc>
      </w:tr>
      <w:tr w:rsidR="00D602D4">
        <w:trPr>
          <w:trHeight w:val="230"/>
        </w:trPr>
        <w:tc>
          <w:tcPr>
            <w:tcW w:w="532" w:type="dxa"/>
            <w:vMerge w:val="restart"/>
            <w:shd w:val="clear" w:color="FFFFFF" w:fill="FFFFFF"/>
            <w:vAlign w:val="bottom"/>
          </w:tcPr>
          <w:p w:rsidR="00D602D4" w:rsidRDefault="000B4C86">
            <w:pPr>
              <w:tabs>
                <w:tab w:val="left" w:pos="9356"/>
              </w:tabs>
              <w:spacing w:after="0" w:line="240" w:lineRule="auto"/>
              <w:ind w:left="-426" w:firstLine="28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16</w:t>
            </w:r>
          </w:p>
        </w:tc>
        <w:tc>
          <w:tcPr>
            <w:tcW w:w="4308" w:type="dxa"/>
            <w:vMerge w:val="restart"/>
            <w:shd w:val="clear" w:color="FFFFFF" w:fill="FFFFFF"/>
            <w:vAlign w:val="bottom"/>
          </w:tcPr>
          <w:p w:rsidR="00D602D4" w:rsidRDefault="000B4C86">
            <w:pPr>
              <w:widowControl w:val="0"/>
              <w:spacing w:after="0" w:line="240" w:lineRule="auto"/>
              <w:ind w:left="22" w:right="-143"/>
              <w:jc w:val="center"/>
              <w:rPr>
                <w:rFonts w:ascii="Times New Roman" w:hAnsi="Times New Roman" w:cs="Times New Roman"/>
                <w:sz w:val="24"/>
                <w:szCs w:val="24"/>
              </w:rPr>
            </w:pPr>
            <w:r>
              <w:rPr>
                <w:rFonts w:ascii="Times New Roman" w:eastAsia="Times New Roman" w:hAnsi="Times New Roman" w:cs="Times New Roman"/>
                <w:sz w:val="20"/>
                <w:szCs w:val="20"/>
              </w:rPr>
              <w:t>Чистый долг/ EBITDA**</w:t>
            </w:r>
          </w:p>
        </w:tc>
        <w:tc>
          <w:tcPr>
            <w:tcW w:w="1196"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4,4</w:t>
            </w:r>
          </w:p>
        </w:tc>
        <w:tc>
          <w:tcPr>
            <w:tcW w:w="1195"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5,5</w:t>
            </w:r>
          </w:p>
        </w:tc>
        <w:tc>
          <w:tcPr>
            <w:tcW w:w="1196"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highlight w:val="yellow"/>
              </w:rPr>
            </w:pPr>
            <w:r>
              <w:rPr>
                <w:rFonts w:ascii="Times New Roman" w:eastAsia="SimSun" w:hAnsi="Times New Roman" w:cs="Times New Roman"/>
                <w:sz w:val="20"/>
                <w:szCs w:val="20"/>
              </w:rPr>
              <w:t>3,8</w:t>
            </w:r>
          </w:p>
        </w:tc>
        <w:tc>
          <w:tcPr>
            <w:tcW w:w="1330" w:type="dxa"/>
            <w:vMerge w:val="restart"/>
            <w:shd w:val="clear" w:color="000000" w:fill="FFFFFF"/>
            <w:vAlign w:val="center"/>
          </w:tcPr>
          <w:p w:rsidR="00D602D4" w:rsidRDefault="000B4C86">
            <w:pPr>
              <w:spacing w:after="0" w:line="240" w:lineRule="auto"/>
              <w:jc w:val="center"/>
              <w:rPr>
                <w:rFonts w:ascii="Times New Roman" w:eastAsia="SimSun" w:hAnsi="Times New Roman" w:cs="Times New Roman"/>
              </w:rPr>
            </w:pPr>
            <w:r>
              <w:rPr>
                <w:rFonts w:ascii="Times New Roman" w:eastAsia="SimSun" w:hAnsi="Times New Roman" w:cs="Times New Roman"/>
                <w:sz w:val="20"/>
                <w:szCs w:val="20"/>
              </w:rPr>
              <w:t>-32</w:t>
            </w:r>
          </w:p>
        </w:tc>
      </w:tr>
      <w:tr w:rsidR="00D602D4">
        <w:trPr>
          <w:trHeight w:val="230"/>
        </w:trPr>
        <w:tc>
          <w:tcPr>
            <w:tcW w:w="532" w:type="dxa"/>
            <w:vMerge w:val="restart"/>
            <w:shd w:val="clear" w:color="FFFFFF" w:fill="FFFFFF"/>
            <w:vAlign w:val="bottom"/>
          </w:tcPr>
          <w:p w:rsidR="00D602D4" w:rsidRDefault="000B4C86">
            <w:pPr>
              <w:tabs>
                <w:tab w:val="left" w:pos="9356"/>
              </w:tabs>
              <w:spacing w:after="0" w:line="240" w:lineRule="auto"/>
              <w:ind w:left="-426" w:firstLine="28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17</w:t>
            </w:r>
          </w:p>
        </w:tc>
        <w:tc>
          <w:tcPr>
            <w:tcW w:w="4308" w:type="dxa"/>
            <w:vMerge w:val="restart"/>
            <w:shd w:val="clear" w:color="FFFFFF" w:fill="FFFFFF"/>
            <w:vAlign w:val="bottom"/>
          </w:tcPr>
          <w:p w:rsidR="00D602D4" w:rsidRDefault="000B4C86">
            <w:pPr>
              <w:widowControl w:val="0"/>
              <w:spacing w:after="0" w:line="240" w:lineRule="auto"/>
              <w:ind w:left="22" w:right="-143"/>
              <w:jc w:val="center"/>
              <w:rPr>
                <w:rFonts w:ascii="Times New Roman" w:hAnsi="Times New Roman" w:cs="Times New Roman"/>
                <w:sz w:val="24"/>
                <w:szCs w:val="24"/>
              </w:rPr>
            </w:pPr>
            <w:r>
              <w:rPr>
                <w:rFonts w:ascii="Times New Roman" w:eastAsia="Times New Roman" w:hAnsi="Times New Roman" w:cs="Times New Roman"/>
                <w:sz w:val="20"/>
                <w:szCs w:val="20"/>
              </w:rPr>
              <w:t>Коэффициент текущей ликвидности</w:t>
            </w:r>
          </w:p>
        </w:tc>
        <w:tc>
          <w:tcPr>
            <w:tcW w:w="1196"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0,3</w:t>
            </w:r>
          </w:p>
        </w:tc>
        <w:tc>
          <w:tcPr>
            <w:tcW w:w="1195"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0,5</w:t>
            </w:r>
          </w:p>
        </w:tc>
        <w:tc>
          <w:tcPr>
            <w:tcW w:w="1196"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0,3</w:t>
            </w:r>
          </w:p>
        </w:tc>
        <w:tc>
          <w:tcPr>
            <w:tcW w:w="1330" w:type="dxa"/>
            <w:vMerge w:val="restart"/>
            <w:shd w:val="clear" w:color="000000" w:fill="FFFFFF"/>
            <w:vAlign w:val="center"/>
          </w:tcPr>
          <w:p w:rsidR="00D602D4" w:rsidRDefault="000B4C86">
            <w:pPr>
              <w:spacing w:after="0" w:line="240" w:lineRule="auto"/>
              <w:jc w:val="center"/>
              <w:rPr>
                <w:rFonts w:ascii="Times New Roman" w:eastAsia="SimSun" w:hAnsi="Times New Roman" w:cs="Times New Roman"/>
              </w:rPr>
            </w:pPr>
            <w:r>
              <w:rPr>
                <w:rFonts w:ascii="Times New Roman" w:eastAsia="SimSun" w:hAnsi="Times New Roman" w:cs="Times New Roman"/>
                <w:sz w:val="20"/>
                <w:szCs w:val="20"/>
              </w:rPr>
              <w:t>-43</w:t>
            </w:r>
          </w:p>
        </w:tc>
      </w:tr>
      <w:tr w:rsidR="00D602D4">
        <w:trPr>
          <w:trHeight w:val="230"/>
        </w:trPr>
        <w:tc>
          <w:tcPr>
            <w:tcW w:w="532" w:type="dxa"/>
            <w:vMerge w:val="restart"/>
            <w:shd w:val="clear" w:color="FFFFFF" w:fill="FFFFFF"/>
            <w:vAlign w:val="bottom"/>
          </w:tcPr>
          <w:p w:rsidR="00D602D4" w:rsidRDefault="000B4C86">
            <w:pPr>
              <w:tabs>
                <w:tab w:val="left" w:pos="9356"/>
              </w:tabs>
              <w:spacing w:after="0" w:line="240" w:lineRule="auto"/>
              <w:ind w:left="-426" w:firstLine="28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18</w:t>
            </w:r>
          </w:p>
        </w:tc>
        <w:tc>
          <w:tcPr>
            <w:tcW w:w="4308" w:type="dxa"/>
            <w:vMerge w:val="restart"/>
            <w:shd w:val="clear" w:color="FFFFFF" w:fill="FFFFFF"/>
            <w:vAlign w:val="bottom"/>
          </w:tcPr>
          <w:p w:rsidR="00D602D4" w:rsidRDefault="000B4C86">
            <w:pPr>
              <w:widowControl w:val="0"/>
              <w:spacing w:after="0" w:line="240" w:lineRule="auto"/>
              <w:ind w:left="22" w:right="-143"/>
              <w:jc w:val="center"/>
              <w:rPr>
                <w:rFonts w:ascii="Times New Roman" w:hAnsi="Times New Roman" w:cs="Times New Roman"/>
                <w:sz w:val="24"/>
                <w:szCs w:val="24"/>
              </w:rPr>
            </w:pPr>
            <w:r>
              <w:rPr>
                <w:rFonts w:ascii="Times New Roman" w:eastAsia="Times New Roman" w:hAnsi="Times New Roman" w:cs="Times New Roman"/>
                <w:sz w:val="20"/>
                <w:szCs w:val="20"/>
              </w:rPr>
              <w:t>Финансовый рычаг</w:t>
            </w:r>
          </w:p>
        </w:tc>
        <w:tc>
          <w:tcPr>
            <w:tcW w:w="1196"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3,6</w:t>
            </w:r>
          </w:p>
        </w:tc>
        <w:tc>
          <w:tcPr>
            <w:tcW w:w="1195"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4,7</w:t>
            </w:r>
          </w:p>
        </w:tc>
        <w:tc>
          <w:tcPr>
            <w:tcW w:w="1196"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5,7</w:t>
            </w:r>
          </w:p>
        </w:tc>
        <w:tc>
          <w:tcPr>
            <w:tcW w:w="1330" w:type="dxa"/>
            <w:vMerge w:val="restart"/>
            <w:shd w:val="clear" w:color="000000" w:fill="FFFFFF"/>
            <w:vAlign w:val="center"/>
          </w:tcPr>
          <w:p w:rsidR="00D602D4" w:rsidRDefault="000B4C86">
            <w:pPr>
              <w:spacing w:after="0" w:line="240" w:lineRule="auto"/>
              <w:jc w:val="center"/>
              <w:rPr>
                <w:rFonts w:ascii="Times New Roman" w:eastAsia="SimSun" w:hAnsi="Times New Roman" w:cs="Times New Roman"/>
              </w:rPr>
            </w:pPr>
            <w:r>
              <w:rPr>
                <w:rFonts w:ascii="Times New Roman" w:eastAsia="SimSun" w:hAnsi="Times New Roman" w:cs="Times New Roman"/>
                <w:sz w:val="20"/>
                <w:szCs w:val="20"/>
              </w:rPr>
              <w:t>22</w:t>
            </w:r>
          </w:p>
        </w:tc>
      </w:tr>
      <w:tr w:rsidR="00D602D4">
        <w:trPr>
          <w:trHeight w:val="230"/>
        </w:trPr>
        <w:tc>
          <w:tcPr>
            <w:tcW w:w="532" w:type="dxa"/>
            <w:vMerge w:val="restart"/>
            <w:shd w:val="clear" w:color="FFFFFF" w:fill="FFFFFF"/>
            <w:vAlign w:val="bottom"/>
          </w:tcPr>
          <w:p w:rsidR="00D602D4" w:rsidRDefault="000B4C86">
            <w:pPr>
              <w:tabs>
                <w:tab w:val="left" w:pos="9356"/>
              </w:tabs>
              <w:spacing w:after="0" w:line="240" w:lineRule="auto"/>
              <w:ind w:left="-426" w:firstLine="28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19</w:t>
            </w:r>
          </w:p>
        </w:tc>
        <w:tc>
          <w:tcPr>
            <w:tcW w:w="4308" w:type="dxa"/>
            <w:vMerge w:val="restart"/>
            <w:shd w:val="clear" w:color="FFFFFF" w:fill="FFFFFF"/>
            <w:vAlign w:val="bottom"/>
          </w:tcPr>
          <w:p w:rsidR="00D602D4" w:rsidRDefault="000B4C86">
            <w:pPr>
              <w:widowControl w:val="0"/>
              <w:spacing w:after="0" w:line="240" w:lineRule="auto"/>
              <w:ind w:left="22" w:right="-143"/>
              <w:jc w:val="center"/>
              <w:rPr>
                <w:rFonts w:ascii="Times New Roman" w:hAnsi="Times New Roman" w:cs="Times New Roman"/>
                <w:sz w:val="24"/>
                <w:szCs w:val="24"/>
              </w:rPr>
            </w:pPr>
            <w:r>
              <w:rPr>
                <w:rFonts w:ascii="Times New Roman" w:eastAsia="Times New Roman" w:hAnsi="Times New Roman" w:cs="Times New Roman"/>
                <w:sz w:val="20"/>
                <w:szCs w:val="20"/>
              </w:rPr>
              <w:t>Доля долгосрочных заемных средств</w:t>
            </w:r>
          </w:p>
        </w:tc>
        <w:tc>
          <w:tcPr>
            <w:tcW w:w="1196"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0,36</w:t>
            </w:r>
          </w:p>
        </w:tc>
        <w:tc>
          <w:tcPr>
            <w:tcW w:w="1195"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0,90</w:t>
            </w:r>
          </w:p>
        </w:tc>
        <w:tc>
          <w:tcPr>
            <w:tcW w:w="1196"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0,29</w:t>
            </w:r>
          </w:p>
        </w:tc>
        <w:tc>
          <w:tcPr>
            <w:tcW w:w="1330" w:type="dxa"/>
            <w:vMerge w:val="restart"/>
            <w:shd w:val="clear" w:color="000000" w:fill="FFFFFF"/>
            <w:vAlign w:val="center"/>
          </w:tcPr>
          <w:p w:rsidR="00D602D4" w:rsidRDefault="000B4C86">
            <w:pPr>
              <w:spacing w:after="0" w:line="240" w:lineRule="auto"/>
              <w:jc w:val="center"/>
              <w:rPr>
                <w:rFonts w:ascii="Times New Roman" w:eastAsia="SimSun" w:hAnsi="Times New Roman" w:cs="Times New Roman"/>
              </w:rPr>
            </w:pPr>
            <w:r>
              <w:rPr>
                <w:rFonts w:ascii="Times New Roman" w:eastAsia="SimSun" w:hAnsi="Times New Roman" w:cs="Times New Roman"/>
                <w:sz w:val="20"/>
                <w:szCs w:val="20"/>
              </w:rPr>
              <w:t>-68</w:t>
            </w:r>
          </w:p>
        </w:tc>
      </w:tr>
      <w:tr w:rsidR="00D602D4">
        <w:trPr>
          <w:trHeight w:val="230"/>
        </w:trPr>
        <w:tc>
          <w:tcPr>
            <w:tcW w:w="532" w:type="dxa"/>
            <w:vMerge w:val="restart"/>
            <w:shd w:val="clear" w:color="FFFFFF" w:fill="FFFFFF"/>
            <w:vAlign w:val="bottom"/>
          </w:tcPr>
          <w:p w:rsidR="00D602D4" w:rsidRDefault="000B4C86">
            <w:pPr>
              <w:tabs>
                <w:tab w:val="left" w:pos="9356"/>
              </w:tabs>
              <w:spacing w:after="0" w:line="240" w:lineRule="auto"/>
              <w:ind w:left="-426" w:firstLine="28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20</w:t>
            </w:r>
          </w:p>
        </w:tc>
        <w:tc>
          <w:tcPr>
            <w:tcW w:w="4308" w:type="dxa"/>
            <w:vMerge w:val="restart"/>
            <w:shd w:val="clear" w:color="FFFFFF" w:fill="FFFFFF"/>
            <w:vAlign w:val="bottom"/>
          </w:tcPr>
          <w:p w:rsidR="00D602D4" w:rsidRDefault="000B4C86">
            <w:pPr>
              <w:widowControl w:val="0"/>
              <w:spacing w:after="0" w:line="240" w:lineRule="auto"/>
              <w:ind w:left="22" w:right="-143"/>
              <w:jc w:val="center"/>
              <w:rPr>
                <w:rFonts w:ascii="Times New Roman" w:hAnsi="Times New Roman" w:cs="Times New Roman"/>
                <w:sz w:val="24"/>
                <w:szCs w:val="24"/>
              </w:rPr>
            </w:pPr>
            <w:r>
              <w:rPr>
                <w:rFonts w:ascii="Times New Roman" w:eastAsia="Times New Roman" w:hAnsi="Times New Roman" w:cs="Times New Roman"/>
                <w:sz w:val="20"/>
                <w:szCs w:val="20"/>
              </w:rPr>
              <w:t>Чистый денежный поток, млн руб.</w:t>
            </w:r>
          </w:p>
        </w:tc>
        <w:tc>
          <w:tcPr>
            <w:tcW w:w="1196"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1 695,6</w:t>
            </w:r>
          </w:p>
        </w:tc>
        <w:tc>
          <w:tcPr>
            <w:tcW w:w="1195"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-2 883,0</w:t>
            </w:r>
          </w:p>
        </w:tc>
        <w:tc>
          <w:tcPr>
            <w:tcW w:w="1196" w:type="dxa"/>
            <w:vMerge w:val="restart"/>
            <w:shd w:val="clear" w:color="000000" w:fill="FFFFFF"/>
            <w:vAlign w:val="center"/>
          </w:tcPr>
          <w:p w:rsidR="00D602D4" w:rsidRDefault="000B4C86">
            <w:pPr>
              <w:spacing w:after="0" w:line="240" w:lineRule="auto"/>
              <w:jc w:val="right"/>
              <w:rPr>
                <w:rFonts w:ascii="Times New Roman" w:eastAsia="SimSun" w:hAnsi="Times New Roman" w:cs="Times New Roman"/>
              </w:rPr>
            </w:pPr>
            <w:r>
              <w:rPr>
                <w:rFonts w:ascii="Times New Roman" w:eastAsia="SimSun" w:hAnsi="Times New Roman" w:cs="Times New Roman"/>
                <w:sz w:val="20"/>
                <w:szCs w:val="20"/>
              </w:rPr>
              <w:t>-5 283,7</w:t>
            </w:r>
          </w:p>
        </w:tc>
        <w:tc>
          <w:tcPr>
            <w:tcW w:w="1330" w:type="dxa"/>
            <w:vMerge w:val="restart"/>
            <w:shd w:val="clear" w:color="000000" w:fill="FFFFFF"/>
            <w:vAlign w:val="center"/>
          </w:tcPr>
          <w:p w:rsidR="00D602D4" w:rsidRDefault="000B4C86">
            <w:pPr>
              <w:spacing w:after="0" w:line="240" w:lineRule="auto"/>
              <w:jc w:val="center"/>
              <w:rPr>
                <w:rFonts w:ascii="Times New Roman" w:eastAsia="SimSun" w:hAnsi="Times New Roman" w:cs="Times New Roman"/>
              </w:rPr>
            </w:pPr>
            <w:r>
              <w:rPr>
                <w:rFonts w:ascii="Times New Roman" w:eastAsia="SimSun" w:hAnsi="Times New Roman" w:cs="Times New Roman"/>
                <w:sz w:val="20"/>
                <w:szCs w:val="20"/>
              </w:rPr>
              <w:t>83</w:t>
            </w:r>
          </w:p>
        </w:tc>
      </w:tr>
    </w:tbl>
    <w:p w:rsidR="00D602D4" w:rsidRDefault="000B4C86">
      <w:pPr>
        <w:pStyle w:val="afd"/>
        <w:tabs>
          <w:tab w:val="left" w:pos="9356"/>
        </w:tabs>
        <w:spacing w:after="0"/>
        <w:ind w:firstLine="709"/>
        <w:jc w:val="both"/>
        <w:rPr>
          <w:rFonts w:eastAsia="Calibri"/>
        </w:rPr>
      </w:pPr>
      <w:r>
        <w:rPr>
          <w:rFonts w:eastAsia="Calibri"/>
          <w:i/>
          <w:iCs/>
        </w:rPr>
        <w:t xml:space="preserve">* показатель EBITDA рассчитан следующим образом: </w:t>
      </w:r>
      <w:r>
        <w:rPr>
          <w:i/>
          <w:iCs/>
        </w:rPr>
        <w:t xml:space="preserve">прибыль до налогообложения – проценты к уплате - амортизация </w:t>
      </w:r>
    </w:p>
    <w:p w:rsidR="00D602D4" w:rsidRDefault="000B4C86">
      <w:pPr>
        <w:tabs>
          <w:tab w:val="left" w:pos="9356"/>
        </w:tabs>
        <w:spacing w:after="0" w:line="240" w:lineRule="auto"/>
        <w:ind w:firstLine="709"/>
        <w:jc w:val="both"/>
        <w:rPr>
          <w:rFonts w:ascii="Times New Roman" w:hAnsi="Times New Roman" w:cs="Times New Roman"/>
          <w:i/>
          <w:sz w:val="18"/>
          <w:szCs w:val="18"/>
        </w:rPr>
      </w:pPr>
      <w:r>
        <w:rPr>
          <w:rFonts w:ascii="Times New Roman" w:hAnsi="Times New Roman" w:cs="Times New Roman"/>
          <w:i/>
          <w:iCs/>
          <w:sz w:val="24"/>
          <w:szCs w:val="24"/>
        </w:rPr>
        <w:t>** без учета чистого начисления/восстановления убытка от обесценения основных средств и активов в форме права пользования</w:t>
      </w:r>
    </w:p>
    <w:p w:rsidR="00D602D4" w:rsidRDefault="00D602D4">
      <w:pPr>
        <w:pStyle w:val="afd"/>
        <w:tabs>
          <w:tab w:val="left" w:pos="9356"/>
        </w:tabs>
        <w:spacing w:after="0"/>
        <w:ind w:left="-426" w:firstLine="284"/>
        <w:jc w:val="both"/>
      </w:pPr>
    </w:p>
    <w:p w:rsidR="00D602D4" w:rsidRDefault="000B4C86">
      <w:pPr>
        <w:spacing w:after="0" w:line="240" w:lineRule="auto"/>
        <w:rPr>
          <w:rFonts w:ascii="Times New Roman" w:eastAsia="SimSun" w:hAnsi="Times New Roman" w:cs="Times New Roman"/>
          <w:b/>
          <w:sz w:val="24"/>
          <w:szCs w:val="24"/>
          <w:highlight w:val="white"/>
        </w:rPr>
      </w:pPr>
      <w:r>
        <w:rPr>
          <w:rFonts w:ascii="Times New Roman" w:eastAsia="SimSun" w:hAnsi="Times New Roman" w:cs="Times New Roman"/>
          <w:b/>
          <w:sz w:val="24"/>
          <w:szCs w:val="24"/>
          <w:highlight w:val="white"/>
        </w:rPr>
        <w:t>Чистый долг/ EBITDA</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Снижение показателя относительно прошлого года обусловлено улучшением показателя </w:t>
      </w:r>
      <w:r>
        <w:rPr>
          <w:rFonts w:ascii="Times New Roman" w:eastAsia="SimSun" w:hAnsi="Times New Roman" w:cs="Times New Roman"/>
          <w:sz w:val="24"/>
          <w:szCs w:val="24"/>
          <w:highlight w:val="white"/>
        </w:rPr>
        <w:t xml:space="preserve">EBITDA. </w:t>
      </w:r>
    </w:p>
    <w:p w:rsidR="00D602D4" w:rsidRDefault="00D602D4">
      <w:pPr>
        <w:spacing w:after="0" w:line="240" w:lineRule="auto"/>
        <w:rPr>
          <w:rFonts w:ascii="Times New Roman" w:hAnsi="Times New Roman" w:cs="Times New Roman"/>
          <w:b/>
          <w:bCs/>
          <w:sz w:val="24"/>
          <w:szCs w:val="24"/>
          <w:highlight w:val="white"/>
        </w:rPr>
      </w:pPr>
    </w:p>
    <w:p w:rsidR="00D602D4" w:rsidRDefault="000B4C86">
      <w:pPr>
        <w:spacing w:after="0" w:line="240" w:lineRule="auto"/>
        <w:rPr>
          <w:rFonts w:ascii="Times New Roman" w:hAnsi="Times New Roman" w:cs="Times New Roman"/>
          <w:b/>
          <w:bCs/>
          <w:sz w:val="24"/>
          <w:szCs w:val="24"/>
        </w:rPr>
      </w:pPr>
      <w:r>
        <w:rPr>
          <w:rFonts w:ascii="Times New Roman" w:hAnsi="Times New Roman" w:cs="Times New Roman"/>
          <w:b/>
          <w:sz w:val="24"/>
          <w:szCs w:val="24"/>
          <w:highlight w:val="white"/>
        </w:rPr>
        <w:t>Коэффициент текущей ликвидности</w:t>
      </w:r>
    </w:p>
    <w:p w:rsidR="00D602D4" w:rsidRDefault="000B4C86">
      <w:pPr>
        <w:widowControl w:val="0"/>
        <w:tabs>
          <w:tab w:val="left" w:pos="0"/>
        </w:tabs>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Коэффициент текущей ликвидности позволяет оценить величину текущих активов, приходящихся на один рубль текущих обязательств, значение коэффициента по итогам 2024 года составляет 0,3. Снижение показателя обусловлено превышением темпа роста краткосрочных обязательств над темпом роста оборотных активов, что прежде всего связано с реклассификацией долгосрочных заемных средств в краткосрочные и увеличением авансов за услуги по технологическому присоединению по новым договорам.</w:t>
      </w:r>
    </w:p>
    <w:p w:rsidR="00D602D4" w:rsidRDefault="00D602D4">
      <w:pPr>
        <w:widowControl w:val="0"/>
        <w:tabs>
          <w:tab w:val="left" w:pos="0"/>
        </w:tabs>
        <w:spacing w:after="0" w:line="240" w:lineRule="auto"/>
        <w:ind w:firstLine="709"/>
        <w:jc w:val="both"/>
        <w:rPr>
          <w:rFonts w:ascii="Times New Roman" w:hAnsi="Times New Roman" w:cs="Times New Roman"/>
          <w:b/>
          <w:bCs/>
          <w:sz w:val="24"/>
          <w:szCs w:val="24"/>
          <w:highlight w:val="white"/>
        </w:rPr>
      </w:pPr>
    </w:p>
    <w:p w:rsidR="00D602D4" w:rsidRDefault="000B4C86">
      <w:pPr>
        <w:widowControl w:val="0"/>
        <w:tabs>
          <w:tab w:val="left" w:pos="0"/>
        </w:tabs>
        <w:spacing w:after="0" w:line="240" w:lineRule="auto"/>
        <w:jc w:val="both"/>
        <w:rPr>
          <w:rFonts w:ascii="Times New Roman" w:hAnsi="Times New Roman" w:cs="Times New Roman"/>
          <w:b/>
          <w:bCs/>
          <w:sz w:val="24"/>
          <w:szCs w:val="24"/>
        </w:rPr>
      </w:pPr>
      <w:r>
        <w:rPr>
          <w:rFonts w:ascii="Times New Roman" w:hAnsi="Times New Roman" w:cs="Times New Roman"/>
          <w:b/>
          <w:sz w:val="24"/>
          <w:szCs w:val="24"/>
          <w:highlight w:val="white"/>
        </w:rPr>
        <w:t>Финансовый рычаг</w:t>
      </w:r>
    </w:p>
    <w:p w:rsidR="00D602D4" w:rsidRDefault="000B4C86">
      <w:pPr>
        <w:widowControl w:val="0"/>
        <w:tabs>
          <w:tab w:val="left" w:pos="0"/>
        </w:tabs>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Финансовый рычаг позволяет оценить отношение суммы активов к собственному капиталу. Рост показателя. по итогам 2024 года свидетельствует об увеличении зависимости Общества от заемных средств.</w:t>
      </w:r>
    </w:p>
    <w:p w:rsidR="00D602D4" w:rsidRDefault="00D602D4">
      <w:pPr>
        <w:widowControl w:val="0"/>
        <w:tabs>
          <w:tab w:val="left" w:pos="0"/>
        </w:tabs>
        <w:spacing w:after="0" w:line="240" w:lineRule="auto"/>
        <w:ind w:firstLine="709"/>
        <w:jc w:val="both"/>
        <w:rPr>
          <w:rFonts w:ascii="Times New Roman" w:hAnsi="Times New Roman" w:cs="Times New Roman"/>
          <w:b/>
          <w:bCs/>
          <w:sz w:val="24"/>
          <w:szCs w:val="24"/>
          <w:highlight w:val="white"/>
        </w:rPr>
      </w:pPr>
    </w:p>
    <w:p w:rsidR="00D602D4" w:rsidRDefault="000B4C86">
      <w:pPr>
        <w:widowControl w:val="0"/>
        <w:tabs>
          <w:tab w:val="left" w:pos="0"/>
        </w:tabs>
        <w:spacing w:after="0" w:line="240" w:lineRule="auto"/>
        <w:jc w:val="both"/>
        <w:rPr>
          <w:rFonts w:ascii="Times New Roman" w:hAnsi="Times New Roman" w:cs="Times New Roman"/>
          <w:b/>
          <w:bCs/>
          <w:sz w:val="24"/>
          <w:szCs w:val="24"/>
        </w:rPr>
      </w:pPr>
      <w:r>
        <w:rPr>
          <w:rFonts w:ascii="Times New Roman" w:hAnsi="Times New Roman" w:cs="Times New Roman"/>
          <w:b/>
          <w:sz w:val="24"/>
          <w:szCs w:val="24"/>
          <w:highlight w:val="white"/>
        </w:rPr>
        <w:t>Доля долгосрочных заемных средств</w:t>
      </w:r>
    </w:p>
    <w:p w:rsidR="00D602D4" w:rsidRDefault="000B4C86">
      <w:pPr>
        <w:widowControl w:val="0"/>
        <w:tabs>
          <w:tab w:val="left" w:pos="0"/>
        </w:tabs>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Доля долгосрочных заемных средств по итогам 2024 года составляет 0,29. Снижение </w:t>
      </w:r>
      <w:r>
        <w:rPr>
          <w:rFonts w:ascii="Times New Roman" w:hAnsi="Times New Roman" w:cs="Times New Roman"/>
          <w:sz w:val="24"/>
          <w:szCs w:val="24"/>
          <w:highlight w:val="white"/>
        </w:rPr>
        <w:lastRenderedPageBreak/>
        <w:t>показателя относительно прошлого года обусловлено реклассификацией задолженности по кредитным договорам по срокам погашения.</w:t>
      </w:r>
    </w:p>
    <w:p w:rsidR="00D602D4" w:rsidRDefault="00D602D4">
      <w:pPr>
        <w:widowControl w:val="0"/>
        <w:tabs>
          <w:tab w:val="left" w:pos="0"/>
        </w:tabs>
        <w:spacing w:after="0" w:line="240" w:lineRule="auto"/>
        <w:ind w:firstLine="709"/>
        <w:jc w:val="both"/>
        <w:rPr>
          <w:rFonts w:ascii="Times New Roman" w:hAnsi="Times New Roman" w:cs="Times New Roman"/>
          <w:b/>
          <w:bCs/>
          <w:sz w:val="24"/>
          <w:szCs w:val="24"/>
          <w:highlight w:val="white"/>
        </w:rPr>
      </w:pPr>
    </w:p>
    <w:p w:rsidR="00D602D4" w:rsidRDefault="000B4C86">
      <w:pPr>
        <w:widowControl w:val="0"/>
        <w:tabs>
          <w:tab w:val="left" w:pos="0"/>
        </w:tabs>
        <w:spacing w:after="0" w:line="240" w:lineRule="auto"/>
        <w:jc w:val="both"/>
        <w:rPr>
          <w:rFonts w:ascii="Times New Roman" w:hAnsi="Times New Roman" w:cs="Times New Roman"/>
          <w:b/>
          <w:bCs/>
          <w:sz w:val="24"/>
          <w:szCs w:val="24"/>
        </w:rPr>
      </w:pPr>
      <w:r>
        <w:rPr>
          <w:rFonts w:ascii="Times New Roman" w:hAnsi="Times New Roman" w:cs="Times New Roman"/>
          <w:b/>
          <w:sz w:val="24"/>
          <w:szCs w:val="24"/>
          <w:highlight w:val="white"/>
        </w:rPr>
        <w:t>Чистый денежный поток</w:t>
      </w:r>
    </w:p>
    <w:p w:rsidR="00D602D4" w:rsidRDefault="000B4C86">
      <w:pPr>
        <w:widowControl w:val="0"/>
        <w:tabs>
          <w:tab w:val="left" w:pos="0"/>
        </w:tabs>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Чистый денежный поток составил – 5 283,7 млн. руб., снижение на 2 400,7 в сравнении с предыдущим периодом обусловлено увеличением расходов по процентным выплатам в связи с ростом ключевой ставки и уровня долга.</w:t>
      </w:r>
    </w:p>
    <w:p w:rsidR="00D602D4" w:rsidRDefault="00D602D4">
      <w:pPr>
        <w:pStyle w:val="23"/>
        <w:keepNext w:val="0"/>
        <w:widowControl w:val="0"/>
        <w:spacing w:before="0" w:line="240" w:lineRule="auto"/>
        <w:ind w:firstLine="709"/>
        <w:rPr>
          <w:rFonts w:ascii="Times New Roman" w:hAnsi="Times New Roman" w:cs="Times New Roman"/>
          <w:b/>
          <w:bCs/>
          <w:color w:val="auto"/>
          <w:sz w:val="24"/>
          <w:szCs w:val="24"/>
          <w:highlight w:val="white"/>
        </w:rPr>
      </w:pPr>
    </w:p>
    <w:p w:rsidR="00D602D4" w:rsidRDefault="000B4C86">
      <w:pPr>
        <w:pStyle w:val="23"/>
        <w:keepNext w:val="0"/>
        <w:widowControl w:val="0"/>
        <w:spacing w:before="0" w:line="240" w:lineRule="auto"/>
        <w:rPr>
          <w:rFonts w:ascii="Times New Roman" w:hAnsi="Times New Roman" w:cs="Times New Roman"/>
          <w:b/>
          <w:bCs/>
          <w:color w:val="auto"/>
          <w:sz w:val="24"/>
          <w:szCs w:val="24"/>
        </w:rPr>
      </w:pPr>
      <w:r>
        <w:rPr>
          <w:rFonts w:ascii="Times New Roman" w:hAnsi="Times New Roman" w:cs="Times New Roman"/>
          <w:b/>
          <w:color w:val="auto"/>
          <w:sz w:val="24"/>
          <w:szCs w:val="24"/>
          <w:highlight w:val="white"/>
        </w:rPr>
        <w:t>Облигации</w:t>
      </w:r>
    </w:p>
    <w:p w:rsidR="00D602D4" w:rsidRDefault="000B4C86">
      <w:pPr>
        <w:tabs>
          <w:tab w:val="left" w:pos="9356"/>
        </w:tabs>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27.07.2015 Советом директоров Общества (протокол от 30.07.2015 № 161/15) были утверждены Программа биржевых облигаций и Проспект ценных бумаг, согласно которым Общество может разместить биржевые облигации в объеме не более 7 500 000 000 (семи   миллиардов пятисот миллионов) рублей включительно, со сроком погашения выпуска не более, чем в 3 640 (три тысячи шестьсот сороковой) день с даты начала размещения биржевых облигаций отдельного выпуска, размещаемого в рамках программы биржевых облигаций.</w:t>
      </w:r>
    </w:p>
    <w:p w:rsidR="00D602D4" w:rsidRDefault="000B4C86">
      <w:pPr>
        <w:tabs>
          <w:tab w:val="left" w:pos="9356"/>
        </w:tabs>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07.09.2015 решением ЗАО «ФБ ММВБ» программе биржевых облигаций Общества присвоен идентификационный номер 4-12044-F-001P-02E.</w:t>
      </w:r>
    </w:p>
    <w:p w:rsidR="00D602D4" w:rsidRDefault="000B4C86">
      <w:pPr>
        <w:tabs>
          <w:tab w:val="left" w:pos="9356"/>
        </w:tabs>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03.08.2016 Советом директоров Общества (Протокол заседания Совета директоров № 199/16 от 05.08.2016, вопрос № 1) внесены (утверждены) изменения в Решение о выпуске ценных бумаг и Проспект ценных бумаг, согласно которым увеличен объем возможных к размещению Обществом биржевых облигаций до 25 000 000 000 (двадцати пяти миллиардов) рублей включительно. Максимальный срок для погашения биржевых облигаций, размещаемых в рамках программы: 10 920 (десять тысяч девятьсот двадцатый) день с даты начала размещения биржевых облигаций отдельного выпуска, размещаемого в рамках Программы биржевых облигаций. </w:t>
      </w:r>
    </w:p>
    <w:p w:rsidR="00D602D4" w:rsidRDefault="000B4C86">
      <w:pPr>
        <w:tabs>
          <w:tab w:val="left" w:pos="9356"/>
        </w:tabs>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Срок действия программы – бессрочная.</w:t>
      </w:r>
    </w:p>
    <w:p w:rsidR="00D602D4" w:rsidRDefault="000B4C86">
      <w:pPr>
        <w:tabs>
          <w:tab w:val="left" w:pos="9356"/>
        </w:tabs>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Размещение выпусков облигаций в 2024 году Обществом не осуществлялось.</w:t>
      </w:r>
    </w:p>
    <w:p w:rsidR="00D602D4" w:rsidRDefault="000B4C86">
      <w:pPr>
        <w:pStyle w:val="13"/>
        <w:rPr>
          <w:rFonts w:ascii="Times New Roman" w:hAnsi="Times New Roman" w:cs="Times New Roman"/>
          <w:color w:val="000000" w:themeColor="text1"/>
          <w:sz w:val="24"/>
          <w:szCs w:val="24"/>
        </w:rPr>
      </w:pPr>
      <w:bookmarkStart w:id="46" w:name="_Toc50"/>
      <w:r>
        <w:rPr>
          <w:rFonts w:ascii="Times New Roman" w:eastAsia="Times New Roman" w:hAnsi="Times New Roman" w:cs="Times New Roman"/>
          <w:b/>
          <w:color w:val="000000" w:themeColor="text1"/>
          <w:sz w:val="26"/>
          <w:szCs w:val="26"/>
        </w:rPr>
        <w:t>3.3. Тарифная политика</w:t>
      </w:r>
      <w:bookmarkEnd w:id="46"/>
    </w:p>
    <w:p w:rsidR="00D602D4" w:rsidRDefault="00D602D4">
      <w:pPr>
        <w:widowControl w:val="0"/>
        <w:spacing w:after="0" w:line="240" w:lineRule="auto"/>
        <w:ind w:firstLine="709"/>
        <w:jc w:val="both"/>
        <w:rPr>
          <w:rFonts w:ascii="Times New Roman" w:hAnsi="Times New Roman" w:cs="Times New Roman"/>
          <w:sz w:val="24"/>
          <w:szCs w:val="24"/>
        </w:rPr>
      </w:pPr>
    </w:p>
    <w:p w:rsidR="00D602D4" w:rsidRDefault="000B4C86">
      <w:pPr>
        <w:widowControl w:val="0"/>
        <w:spacing w:after="0" w:line="240" w:lineRule="auto"/>
        <w:ind w:firstLine="709"/>
        <w:jc w:val="both"/>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Основными видами деятельности ПАО «Россети Сибирь», подлежащими государственному регулированию, являются оказание услуг по передаче электрической энергии и технологическое присоединение к электрическим сетям. </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Тарифы на услуги по передаче электрической энергии и технологическое присоединение устанавливаются органами исполнительной власти в области государственного регулирования тарифов субъектов РФ на территориях деятельности Общества.</w:t>
      </w:r>
    </w:p>
    <w:p w:rsidR="00D602D4" w:rsidRDefault="00D602D4">
      <w:pPr>
        <w:spacing w:after="0" w:line="240" w:lineRule="auto"/>
        <w:ind w:firstLine="709"/>
        <w:jc w:val="both"/>
        <w:rPr>
          <w:rFonts w:ascii="Times New Roman" w:hAnsi="Times New Roman" w:cs="Times New Roman"/>
          <w:color w:val="000000" w:themeColor="text1"/>
          <w:sz w:val="24"/>
          <w:szCs w:val="24"/>
        </w:rPr>
      </w:pPr>
    </w:p>
    <w:p w:rsidR="00D602D4" w:rsidRDefault="000B4C86">
      <w:pPr>
        <w:pStyle w:val="23"/>
        <w:keepNext w:val="0"/>
        <w:widowControl w:val="0"/>
        <w:rPr>
          <w:rFonts w:ascii="Times New Roman" w:hAnsi="Times New Roman" w:cs="Times New Roman"/>
          <w:color w:val="000000" w:themeColor="text1"/>
          <w:sz w:val="24"/>
          <w:szCs w:val="24"/>
        </w:rPr>
      </w:pPr>
      <w:r>
        <w:rPr>
          <w:rFonts w:ascii="Times New Roman" w:eastAsia="Times New Roman" w:hAnsi="Times New Roman" w:cs="Times New Roman"/>
          <w:b/>
          <w:bCs/>
          <w:color w:val="000000" w:themeColor="text1"/>
          <w:sz w:val="24"/>
          <w:szCs w:val="24"/>
        </w:rPr>
        <w:t>Тарифы на услуги по передаче электроэнергии</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Услуги по передаче электрической энергии оказываются ПАО «Россети Сибирь» в восьми субъектах Российской Федерации: Алтайском крае, Республике Бурятия, Республике Алтай, Красноярском крае, Кемеровской области, Омской области, Республике Хакасия, Забайкальском крае. </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С 01.01.2024 тарифы на услуги по передаче электрической энергии установлены органами исполнительной власти в области государственного регулирования тарифов по регионам присутствия Общества. Регулирование тарифов на услуги по передаче электрической энергии по всем филиалам ПАО «Россети Сибирь» производится методом индексации необходимой валовой выручки.  </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Calibri" w:hAnsi="Times New Roman" w:cs="Times New Roman"/>
          <w:sz w:val="24"/>
          <w:szCs w:val="24"/>
        </w:rPr>
        <w:t xml:space="preserve">С 2024 года для филиалов Бурятэнерго, Кузбассэнерго-РЭС начался новый </w:t>
      </w:r>
      <w:r>
        <w:rPr>
          <w:rFonts w:ascii="Times New Roman" w:eastAsia="Calibri" w:hAnsi="Times New Roman" w:cs="Times New Roman"/>
          <w:sz w:val="24"/>
          <w:szCs w:val="24"/>
        </w:rPr>
        <w:lastRenderedPageBreak/>
        <w:t xml:space="preserve">долгосрочный период. </w:t>
      </w:r>
      <w:r>
        <w:rPr>
          <w:rFonts w:ascii="Times New Roman" w:hAnsi="Times New Roman" w:cs="Times New Roman"/>
          <w:sz w:val="24"/>
          <w:szCs w:val="24"/>
        </w:rPr>
        <w:t xml:space="preserve">Информация о периодах регулирования филиалов Общества приведена в таблице 31. </w:t>
      </w:r>
    </w:p>
    <w:p w:rsidR="00D602D4" w:rsidRDefault="000B4C86">
      <w:pPr>
        <w:widowControl w:val="0"/>
        <w:spacing w:after="0" w:line="240" w:lineRule="auto"/>
        <w:ind w:firstLine="709"/>
        <w:jc w:val="right"/>
        <w:rPr>
          <w:rFonts w:ascii="Times New Roman" w:eastAsia="Calibri" w:hAnsi="Times New Roman" w:cs="Times New Roman"/>
          <w:b/>
          <w:sz w:val="24"/>
          <w:szCs w:val="24"/>
        </w:rPr>
      </w:pPr>
      <w:r>
        <w:rPr>
          <w:rFonts w:ascii="Times New Roman" w:hAnsi="Times New Roman" w:cs="Times New Roman"/>
          <w:sz w:val="24"/>
          <w:szCs w:val="24"/>
        </w:rPr>
        <w:t>Таблица 37</w:t>
      </w:r>
    </w:p>
    <w:p w:rsidR="00D602D4" w:rsidRDefault="000B4C86">
      <w:pPr>
        <w:widowControl w:val="0"/>
        <w:spacing w:after="0" w:line="240" w:lineRule="auto"/>
        <w:ind w:firstLine="709"/>
        <w:jc w:val="center"/>
        <w:rPr>
          <w:rFonts w:ascii="Times New Roman" w:eastAsia="Calibri" w:hAnsi="Times New Roman" w:cs="Times New Roman"/>
          <w:b/>
          <w:sz w:val="24"/>
          <w:szCs w:val="24"/>
        </w:rPr>
      </w:pPr>
      <w:r>
        <w:rPr>
          <w:rFonts w:ascii="Times New Roman" w:eastAsia="Calibri" w:hAnsi="Times New Roman" w:cs="Times New Roman"/>
          <w:b/>
          <w:sz w:val="24"/>
          <w:szCs w:val="24"/>
        </w:rPr>
        <w:t>Периоды регулирования филиалов ПАО «Россети Сибирь»</w:t>
      </w:r>
    </w:p>
    <w:tbl>
      <w:tblPr>
        <w:tblW w:w="4951"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200" w:firstRow="0" w:lastRow="0" w:firstColumn="0" w:lastColumn="0" w:noHBand="1" w:noVBand="0"/>
      </w:tblPr>
      <w:tblGrid>
        <w:gridCol w:w="4948"/>
        <w:gridCol w:w="4949"/>
      </w:tblGrid>
      <w:tr w:rsidR="00D602D4">
        <w:trPr>
          <w:trHeight w:val="50"/>
          <w:jc w:val="center"/>
        </w:trPr>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Наименование филиала</w:t>
            </w:r>
          </w:p>
        </w:tc>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Период регулирования</w:t>
            </w:r>
          </w:p>
        </w:tc>
      </w:tr>
      <w:tr w:rsidR="00D602D4">
        <w:trPr>
          <w:trHeight w:val="60"/>
          <w:jc w:val="center"/>
        </w:trPr>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Алтайэнерго</w:t>
            </w:r>
          </w:p>
        </w:tc>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2023-2027</w:t>
            </w:r>
          </w:p>
        </w:tc>
      </w:tr>
      <w:tr w:rsidR="00D602D4">
        <w:trPr>
          <w:trHeight w:val="104"/>
          <w:jc w:val="center"/>
        </w:trPr>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Алтайэнерго (Горно-Алтайские электрические сети)</w:t>
            </w:r>
          </w:p>
        </w:tc>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2023-2027</w:t>
            </w:r>
          </w:p>
        </w:tc>
      </w:tr>
      <w:tr w:rsidR="00D602D4">
        <w:trPr>
          <w:trHeight w:val="104"/>
          <w:jc w:val="center"/>
        </w:trPr>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Бурятэнерго</w:t>
            </w:r>
          </w:p>
        </w:tc>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2024-2028</w:t>
            </w:r>
          </w:p>
        </w:tc>
      </w:tr>
      <w:tr w:rsidR="00D602D4">
        <w:trPr>
          <w:trHeight w:val="60"/>
          <w:jc w:val="center"/>
        </w:trPr>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Красноярскэнерго</w:t>
            </w:r>
          </w:p>
        </w:tc>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2023-2027</w:t>
            </w:r>
          </w:p>
        </w:tc>
      </w:tr>
      <w:tr w:rsidR="00D602D4">
        <w:trPr>
          <w:trHeight w:val="64"/>
          <w:jc w:val="center"/>
        </w:trPr>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Кузбассэнерго-РЭС</w:t>
            </w:r>
          </w:p>
        </w:tc>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2024-2028</w:t>
            </w:r>
          </w:p>
        </w:tc>
      </w:tr>
      <w:tr w:rsidR="00D602D4">
        <w:trPr>
          <w:trHeight w:val="60"/>
          <w:jc w:val="center"/>
        </w:trPr>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Омскэнерго</w:t>
            </w:r>
          </w:p>
        </w:tc>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2023-2027</w:t>
            </w:r>
          </w:p>
        </w:tc>
      </w:tr>
      <w:tr w:rsidR="00D602D4">
        <w:trPr>
          <w:trHeight w:val="60"/>
          <w:jc w:val="center"/>
        </w:trPr>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Хакасэнерго</w:t>
            </w:r>
          </w:p>
        </w:tc>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2022-2026</w:t>
            </w:r>
          </w:p>
        </w:tc>
      </w:tr>
      <w:tr w:rsidR="00D602D4">
        <w:trPr>
          <w:trHeight w:val="60"/>
          <w:jc w:val="center"/>
        </w:trPr>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Читаэнерго</w:t>
            </w:r>
          </w:p>
        </w:tc>
        <w:tc>
          <w:tcPr>
            <w:tcW w:w="25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FFFFFF" w:fill="FFFFFF"/>
            <w:vAlign w:val="center"/>
          </w:tcPr>
          <w:p w:rsidR="00D602D4" w:rsidRDefault="000B4C86">
            <w:pPr>
              <w:widowControl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2020-2024</w:t>
            </w:r>
          </w:p>
        </w:tc>
      </w:tr>
    </w:tbl>
    <w:p w:rsidR="00D602D4" w:rsidRDefault="00D602D4">
      <w:pPr>
        <w:widowControl w:val="0"/>
        <w:spacing w:after="0" w:line="240" w:lineRule="auto"/>
        <w:ind w:firstLine="709"/>
        <w:jc w:val="center"/>
        <w:rPr>
          <w:rFonts w:ascii="Times New Roman" w:eastAsia="Calibri" w:hAnsi="Times New Roman" w:cs="Times New Roman"/>
          <w:sz w:val="24"/>
          <w:szCs w:val="24"/>
        </w:rPr>
      </w:pP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соответствии с постановлением Правительства Российской Федерации от 31.08.2023 №1416 «О соглашениях об условиях осуществления регулируемых видов деятельности» заключено Соглашение между Региональной энергетической комиссией Омской области и ПАО «Россети Сибирь» (филиал «Омскэнерго») на период 2024-2033гг. Заключение Соглашения согласовано приказом ФАС России от 30.11.2023 №928/23.</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Во исполнение постановления Правительства Российской Федерации от 29.12.2011 № 1178 «О ценообразовании в области регулируемых цен (тарифов) в электроэнергетике» тарифы на услуги по передаче электроэнергии утверждены с разбивкой по группам потребителей, уровням напряжения, с периодами действия:</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 01.01.2024 по 30.06.2024;</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 01.07.2024 по 31.12.2024.</w:t>
      </w:r>
    </w:p>
    <w:p w:rsidR="00D602D4" w:rsidRDefault="000B4C86">
      <w:pPr>
        <w:widowControl w:val="0"/>
        <w:spacing w:after="0" w:line="240" w:lineRule="auto"/>
        <w:ind w:firstLine="709"/>
        <w:jc w:val="both"/>
      </w:pPr>
      <w:r>
        <w:rPr>
          <w:rFonts w:ascii="Times New Roman" w:eastAsia="Calibri" w:hAnsi="Times New Roman" w:cs="Times New Roman"/>
          <w:sz w:val="24"/>
          <w:szCs w:val="24"/>
        </w:rPr>
        <w:t xml:space="preserve">Информация об утвержденных тарифах на услуги по передаче электрической энергии регионов присутствия ПАО «Россети Сибирь» размещена на официальном сайте Общества в сети интернет по адресу: </w:t>
      </w:r>
      <w:hyperlink w:history="1">
        <w:r>
          <w:rPr>
            <w:rStyle w:val="ab"/>
            <w:rFonts w:ascii="Times New Roman" w:hAnsi="Times New Roman" w:cs="Times New Roman"/>
            <w:sz w:val="24"/>
            <w:szCs w:val="24"/>
          </w:rPr>
          <w:t>https://www.rosseti-sib.ru/raskritie-informatsii/raskrytie-informatsii-subektom-optovogo-i-roznichnogo-rynkov-elektroenergii/tarify-na-uslugi-po-peredache-elektricheskoy-energii-i-moshchnosti/</w:t>
        </w:r>
      </w:hyperlink>
      <w:r>
        <w:rPr>
          <w:rFonts w:ascii="Times New Roman" w:hAnsi="Times New Roman" w:cs="Times New Roman"/>
          <w:sz w:val="24"/>
          <w:szCs w:val="24"/>
        </w:rPr>
        <w:t xml:space="preserve"> .</w:t>
      </w:r>
    </w:p>
    <w:p w:rsidR="00D602D4" w:rsidRDefault="000B4C86">
      <w:pPr>
        <w:widowControl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Перечень тарифных решений регулирующих органов субъектов Российской Федерации  регионов присутствия Общества приведен в приложении № .  </w:t>
      </w:r>
    </w:p>
    <w:p w:rsidR="00D602D4" w:rsidRDefault="000B4C86">
      <w:pPr>
        <w:widowControl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соответствии с Федеральным законом от 06.11.2013 № 308-ФЗ «О внесении изменений в Федеральный закон «Об электроэнергетике» и статью 81 Федерального закона «Об акционерных Обществах» договоры «последней мили» действуют на территории Республики Бурятия, Забайкальского края до 01.07.2029. На данных территориях в отношении потребителей «последней мили» с 2014 года для расчета тарифа на услуги по передаче электрической энергии введен отдельный уровень напряжения ВН-1, а также установлена ставка перекрестного субсидирования. Размер ставки по состоянию на 01.01.2014 для Республики Бурятия определен в размере 550 рублей за тысячу киловатт-часов, для Забайкальского края – 420 рублей за тысячу киловатт-часов. С 01.07.2017 размер ставки перекрестного субсидирования в Республике Бурятия и Забайкальском крае определяется как разность размера ставки перекрестного субсидирования в предыдущем году и величины перекрестного субсидирования, составляющей не менее чем 7% от размера ставки перекрестного субсидирования по состоянию на 01.01.2014.</w:t>
      </w:r>
    </w:p>
    <w:p w:rsidR="00D602D4" w:rsidRDefault="000B4C86">
      <w:pPr>
        <w:widowControl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2024 году размер ставки перекрестного субсидирования по уровню напряжения ВН-1 установлен в размере:</w:t>
      </w:r>
    </w:p>
    <w:p w:rsidR="00D602D4" w:rsidRDefault="000B4C86">
      <w:pPr>
        <w:widowControl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в Республике Бурятия в 1 полугодии – 231 рубль за тысячу киловатт-часов, во 2 полугодии – 192,5 рублей за тысячу киловатт-часов;</w:t>
      </w:r>
    </w:p>
    <w:p w:rsidR="00D602D4" w:rsidRDefault="000B4C86">
      <w:pPr>
        <w:widowControl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в Забайкальском крае в 1 полугодии – 176,4 рублей за тысячу киловатт-часов, во 2 полугодии – 147 рублей за тысячу киловатт-часов.</w:t>
      </w:r>
    </w:p>
    <w:p w:rsidR="00D602D4" w:rsidRDefault="00D602D4">
      <w:pPr>
        <w:widowControl w:val="0"/>
        <w:spacing w:after="0" w:line="240" w:lineRule="auto"/>
        <w:ind w:firstLine="709"/>
        <w:jc w:val="both"/>
        <w:rPr>
          <w:rFonts w:ascii="Times New Roman" w:eastAsia="Calibri" w:hAnsi="Times New Roman" w:cs="Times New Roman"/>
          <w:sz w:val="24"/>
          <w:szCs w:val="24"/>
        </w:rPr>
      </w:pPr>
    </w:p>
    <w:p w:rsidR="00D602D4" w:rsidRDefault="000B4C86">
      <w:pPr>
        <w:spacing w:after="0" w:line="240" w:lineRule="auto"/>
        <w:jc w:val="center"/>
        <w:rPr>
          <w:rFonts w:ascii="Times New Roman" w:eastAsia="Times New Roman" w:hAnsi="Times New Roman" w:cs="Times New Roman"/>
          <w:sz w:val="24"/>
          <w:szCs w:val="24"/>
        </w:rPr>
      </w:pPr>
      <w:r>
        <w:rPr>
          <w:noProof/>
          <w:lang w:eastAsia="ru-RU"/>
        </w:rPr>
        <w:drawing>
          <wp:inline distT="0" distB="0" distL="0" distR="0">
            <wp:extent cx="5327650" cy="2305685"/>
            <wp:effectExtent l="0" t="0" r="6350" b="0"/>
            <wp:docPr id="32" name="Рисунок 1"/>
            <wp:cNvGraphicFramePr/>
            <a:graphic xmlns:a="http://schemas.openxmlformats.org/drawingml/2006/main">
              <a:graphicData uri="http://schemas.openxmlformats.org/drawingml/2006/picture">
                <pic:pic xmlns:pic="http://schemas.openxmlformats.org/drawingml/2006/picture">
                  <pic:nvPicPr>
                    <pic:cNvPr id="219907528" name="Диаграмма 1"/>
                    <pic:cNvPicPr>
                      <a:picLocks noChangeArrowheads="1"/>
                    </pic:cNvPicPr>
                  </pic:nvPicPr>
                  <pic:blipFill>
                    <a:blip r:embed="rId73"/>
                    <a:stretch/>
                  </pic:blipFill>
                  <pic:spPr bwMode="auto">
                    <a:xfrm>
                      <a:off x="0" y="0"/>
                      <a:ext cx="5327649" cy="2305683"/>
                    </a:xfrm>
                    <a:prstGeom prst="rect">
                      <a:avLst/>
                    </a:prstGeom>
                    <a:noFill/>
                    <a:ln>
                      <a:noFill/>
                    </a:ln>
                  </pic:spPr>
                </pic:pic>
              </a:graphicData>
            </a:graphic>
          </wp:inline>
        </w:drawing>
      </w:r>
    </w:p>
    <w:p w:rsidR="00D602D4" w:rsidRDefault="00D602D4">
      <w:pPr>
        <w:widowControl w:val="0"/>
        <w:spacing w:after="0" w:line="240" w:lineRule="auto"/>
        <w:ind w:firstLine="709"/>
        <w:jc w:val="both"/>
        <w:rPr>
          <w:rFonts w:ascii="Times New Roman" w:eastAsia="Calibri" w:hAnsi="Times New Roman" w:cs="Times New Roman"/>
          <w:sz w:val="24"/>
          <w:szCs w:val="24"/>
        </w:rPr>
      </w:pPr>
    </w:p>
    <w:p w:rsidR="00D602D4" w:rsidRDefault="000B4C86">
      <w:pPr>
        <w:widowControl w:val="0"/>
        <w:spacing w:after="0" w:line="240" w:lineRule="auto"/>
        <w:ind w:firstLine="709"/>
        <w:jc w:val="center"/>
        <w:rPr>
          <w:rFonts w:ascii="Times New Roman" w:eastAsia="Calibri" w:hAnsi="Times New Roman" w:cs="Times New Roman"/>
          <w:sz w:val="24"/>
          <w:szCs w:val="24"/>
        </w:rPr>
      </w:pPr>
      <w:r>
        <w:rPr>
          <w:rFonts w:ascii="Times New Roman" w:eastAsia="Calibri" w:hAnsi="Times New Roman" w:cs="Times New Roman"/>
          <w:sz w:val="24"/>
          <w:szCs w:val="24"/>
        </w:rPr>
        <w:t>Рис. 19  – Размер утвержденной необходимой валовой выручки</w:t>
      </w:r>
    </w:p>
    <w:p w:rsidR="00D602D4" w:rsidRDefault="000B4C86">
      <w:pPr>
        <w:widowControl w:val="0"/>
        <w:spacing w:after="0" w:line="240" w:lineRule="auto"/>
        <w:ind w:firstLine="709"/>
        <w:jc w:val="center"/>
        <w:rPr>
          <w:rFonts w:ascii="Times New Roman" w:eastAsia="Calibri" w:hAnsi="Times New Roman" w:cs="Times New Roman"/>
          <w:sz w:val="24"/>
          <w:szCs w:val="24"/>
        </w:rPr>
      </w:pPr>
      <w:r>
        <w:rPr>
          <w:rFonts w:ascii="Times New Roman" w:eastAsia="Calibri" w:hAnsi="Times New Roman" w:cs="Times New Roman"/>
          <w:sz w:val="24"/>
          <w:szCs w:val="24"/>
        </w:rPr>
        <w:t>в динамике за 2022–2024 гг.</w:t>
      </w:r>
    </w:p>
    <w:p w:rsidR="00D602D4" w:rsidRDefault="00D602D4">
      <w:pPr>
        <w:widowControl w:val="0"/>
        <w:spacing w:after="0" w:line="240" w:lineRule="auto"/>
        <w:ind w:firstLine="709"/>
        <w:jc w:val="both"/>
        <w:rPr>
          <w:rFonts w:ascii="Times New Roman" w:eastAsia="Calibri" w:hAnsi="Times New Roman" w:cs="Times New Roman"/>
          <w:sz w:val="24"/>
          <w:szCs w:val="24"/>
        </w:rPr>
      </w:pP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Calibri" w:hAnsi="Times New Roman" w:cs="Times New Roman"/>
          <w:sz w:val="24"/>
          <w:szCs w:val="24"/>
        </w:rPr>
        <w:t xml:space="preserve">Основные показатели по тарифам на услуги по передаче электрической энергии в разрезе филиалов Общества приведена в таблице № . </w:t>
      </w:r>
      <w:r>
        <w:rPr>
          <w:rFonts w:ascii="Times New Roman" w:hAnsi="Times New Roman" w:cs="Times New Roman"/>
          <w:sz w:val="24"/>
          <w:szCs w:val="24"/>
        </w:rPr>
        <w:t xml:space="preserve">Не согласившись с итогами принятых тарифно-балансовых решений на 2024 год, Общество обратилось в судебные инстанции и ФАС России. Разногласия и мероприятия по урегулированию разногласий в отношении принятых тарифно-балансовых решений приведены в приложении. </w:t>
      </w:r>
    </w:p>
    <w:p w:rsidR="00D602D4" w:rsidRDefault="000B4C86">
      <w:pPr>
        <w:widowControl w:val="0"/>
        <w:spacing w:after="0" w:line="240" w:lineRule="auto"/>
        <w:jc w:val="right"/>
        <w:rPr>
          <w:rFonts w:ascii="Times New Roman" w:hAnsi="Times New Roman" w:cs="Times New Roman"/>
          <w:sz w:val="24"/>
          <w:szCs w:val="24"/>
        </w:rPr>
      </w:pPr>
      <w:r>
        <w:rPr>
          <w:rFonts w:ascii="Times New Roman" w:hAnsi="Times New Roman" w:cs="Times New Roman"/>
          <w:bCs/>
          <w:sz w:val="24"/>
          <w:szCs w:val="24"/>
        </w:rPr>
        <w:t>Таблица 38</w:t>
      </w:r>
    </w:p>
    <w:p w:rsidR="00D602D4" w:rsidRDefault="000B4C86">
      <w:pPr>
        <w:widowControl w:val="0"/>
        <w:spacing w:after="5" w:line="252" w:lineRule="auto"/>
        <w:ind w:left="426" w:right="-143" w:hanging="426"/>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Показатели по тарифам на услуги по передаче электрической энергии </w:t>
      </w:r>
    </w:p>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
          <w:bCs/>
          <w:color w:val="000000"/>
          <w:sz w:val="20"/>
          <w:szCs w:val="20"/>
        </w:rPr>
        <w:t>и платы за технологическое присоединение (тарифная политика)</w:t>
      </w:r>
    </w:p>
    <w:tbl>
      <w:tblPr>
        <w:tblW w:w="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1"/>
        <w:gridCol w:w="1134"/>
        <w:gridCol w:w="1029"/>
        <w:gridCol w:w="1029"/>
        <w:gridCol w:w="1029"/>
        <w:gridCol w:w="1029"/>
      </w:tblGrid>
      <w:tr w:rsidR="00D602D4">
        <w:trPr>
          <w:cantSplit/>
          <w:jc w:val="center"/>
        </w:trPr>
        <w:tc>
          <w:tcPr>
            <w:tcW w:w="4531"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5" w:line="252" w:lineRule="auto"/>
              <w:ind w:left="-113" w:right="-114"/>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Показатели</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40"/>
              </w:tabs>
              <w:spacing w:after="5" w:line="252" w:lineRule="auto"/>
              <w:ind w:left="-111" w:right="-112"/>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Ед.изм.</w:t>
            </w:r>
          </w:p>
        </w:tc>
        <w:tc>
          <w:tcPr>
            <w:tcW w:w="4116" w:type="dxa"/>
            <w:gridSpan w:val="4"/>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
                <w:bCs/>
                <w:color w:val="000000"/>
                <w:sz w:val="16"/>
                <w:szCs w:val="16"/>
              </w:rPr>
              <w:t>Период</w:t>
            </w:r>
          </w:p>
        </w:tc>
      </w:tr>
      <w:tr w:rsidR="00D602D4">
        <w:trPr>
          <w:cantSplit/>
          <w:jc w:val="center"/>
        </w:trPr>
        <w:tc>
          <w:tcPr>
            <w:tcW w:w="4531"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rPr>
                <w:rFonts w:ascii="Times New Roman" w:eastAsia="Times New Roman" w:hAnsi="Times New Roman" w:cs="Times New Roman"/>
                <w:b/>
                <w:bCs/>
                <w:color w:val="000000"/>
                <w:sz w:val="16"/>
                <w:szCs w:val="16"/>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rPr>
                <w:rFonts w:ascii="Times New Roman" w:eastAsia="Times New Roman" w:hAnsi="Times New Roman" w:cs="Times New Roman"/>
                <w:b/>
                <w:bCs/>
                <w:color w:val="000000"/>
                <w:sz w:val="16"/>
                <w:szCs w:val="16"/>
              </w:rPr>
            </w:pP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5" w:line="252" w:lineRule="auto"/>
              <w:ind w:left="-96" w:right="-122"/>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2022 год</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5" w:line="252" w:lineRule="auto"/>
              <w:ind w:left="-113" w:right="-138"/>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2023 год</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5" w:line="252" w:lineRule="auto"/>
              <w:ind w:left="-100" w:right="-143"/>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2024 год</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5" w:line="252" w:lineRule="auto"/>
              <w:ind w:left="-107" w:right="-143"/>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изменение 2024/2023, %</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widowControl w:val="0"/>
              <w:tabs>
                <w:tab w:val="left" w:pos="40"/>
              </w:tabs>
              <w:spacing w:after="5" w:line="252" w:lineRule="auto"/>
              <w:ind w:left="-112"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5" w:line="252" w:lineRule="auto"/>
              <w:ind w:left="-110"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widowControl w:val="0"/>
              <w:spacing w:after="5" w:line="252" w:lineRule="auto"/>
              <w:ind w:left="-107"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5" w:line="252" w:lineRule="auto"/>
              <w:ind w:left="-108"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5</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5" w:line="252" w:lineRule="auto"/>
              <w:ind w:left="-105" w:right="-143" w:hanging="4"/>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right="39"/>
              <w:jc w:val="both"/>
              <w:rPr>
                <w:rFonts w:ascii="Times New Roman" w:eastAsia="Times New Roman" w:hAnsi="Times New Roman" w:cs="Times New Roman"/>
                <w:b/>
                <w:color w:val="000000"/>
                <w:sz w:val="20"/>
                <w:szCs w:val="20"/>
              </w:rPr>
            </w:pPr>
            <w:r>
              <w:rPr>
                <w:rFonts w:ascii="Times New Roman" w:eastAsia="Times New Roman" w:hAnsi="Times New Roman" w:cs="Times New Roman"/>
                <w:b/>
                <w:bCs/>
                <w:color w:val="000000"/>
                <w:sz w:val="20"/>
                <w:szCs w:val="20"/>
              </w:rPr>
              <w:t>НВВ по передаче электрической энергии, утвержденная в рамках тарифно-балансовых решений, в том числе:</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5" w:line="252" w:lineRule="auto"/>
              <w:ind w:left="426" w:right="-143" w:hanging="426"/>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61 616</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67 661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71 357</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5,5</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8 104</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9 741</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10 088</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 ПО «ГАЭС»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1 260</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1 578</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1 701</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7,8</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Бурятэнерго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6 882</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8 199</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8 921</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8,8</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15 133</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17 443</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18 589</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6,6</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 по Иркутской области</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32</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Кузбассэнерго-РЭС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12 977</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11 120</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10 404</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-6,4</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Омскэнерго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6 980</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8 049</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8 931</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Хакасэнерго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2 834</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3 117</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3 652</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17,2</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Читаэнерго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7 445</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8 382</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9 071</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8,2</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НВВ собственная</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32 871</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38 125</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38 915</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2,1</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4 732</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5 915</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6 072</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2,6</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 ПО «ГАЭС»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849</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1 144</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1 211</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5,9</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Бурятэнерго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4 050</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4 909</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5 252</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9 044</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10 429</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10 575</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 по Иркутской области</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20</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Кузбассэнерго-РЭС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5 989</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6 563</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5 663</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-13,7</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Омскэнерго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3 498</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4 172</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4 765</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14,2</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Хакасэнерго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1 291</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1 186</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1 481</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24,9</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Читаэнерго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3 418</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3 787</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3 895</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2,9</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lastRenderedPageBreak/>
              <w:t>Услуги ЕНЭС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12 180</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14 669</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16 293</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11,1</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1 525</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1 868</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1 956</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4,7</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 ПО «ГАЭС»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pPr>
            <w:r>
              <w:rPr>
                <w:rFonts w:ascii="Times New Roman" w:eastAsia="Times New Roman" w:hAnsi="Times New Roman" w:cs="Times New Roman"/>
                <w:bCs/>
                <w:color w:val="000000"/>
                <w:sz w:val="20"/>
                <w:szCs w:val="20"/>
              </w:rPr>
              <w:t>–</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Бурятэнерго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1 542</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1 838</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2 086</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13,5</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3 113</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3 871</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4 379</w:t>
            </w:r>
          </w:p>
        </w:tc>
        <w:tc>
          <w:tcPr>
            <w:tcW w:w="102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13,1</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 по Иркутской области</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Кузбассэнерго-РЭС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eastAsia="Times New Roman" w:hAnsi="Times New Roman" w:cs="Times New Roman"/>
                <w:iCs/>
                <w:color w:val="000000"/>
                <w:sz w:val="20"/>
                <w:szCs w:val="20"/>
              </w:rPr>
            </w:pPr>
            <w:r>
              <w:rPr>
                <w:rFonts w:ascii="Times New Roman" w:hAnsi="Times New Roman" w:cs="Times New Roman"/>
                <w:iCs/>
                <w:color w:val="000000"/>
                <w:sz w:val="20"/>
                <w:szCs w:val="20"/>
              </w:rPr>
              <w:t>2 095</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2 529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2 757</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9,0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Омскэнерго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1 555</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1 840</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2 028</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10,2</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Хакасэнерго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650</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785</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875</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11,5</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Читаэнерго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1 701</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1 939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2 211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14,1</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right="39"/>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Расходы на покупку потерь электрической энергии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5" w:line="252" w:lineRule="auto"/>
              <w:ind w:left="426" w:right="-143" w:hanging="426"/>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10 946</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12 241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12 961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5,9</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1 463</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1 600</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1 732</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8,2</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 ПО «ГАЭС»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243</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288</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11,2</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Бурятэнерго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1 087</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1 303</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1 446</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2 579</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2 642</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2 879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 по Иркутской области</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13</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100" w:afterAutospacing="1"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Кузбассэнерго-РЭС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1 785</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2 027</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1 984</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-2,1</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Омскэнерго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1 653</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1 795</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1 892</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Хакасэнерго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505</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720</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749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Читаэнерго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1 632</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1 882</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1 991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5,8</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right="39"/>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Затраты на услуги ТСО (в соответствии с действующей договорной схемой)</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tabs>
                <w:tab w:val="left" w:pos="9356"/>
              </w:tabs>
              <w:spacing w:after="5" w:line="252" w:lineRule="auto"/>
              <w:ind w:left="426" w:right="-143" w:hanging="426"/>
              <w:outlineLvl w:val="2"/>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5 618</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2 627</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3 189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21,4</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384</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357</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327</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-8,4</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 ПО «ГАЭС»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168</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175</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202</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15,2</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Бурятэнерго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203</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138</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-7,9</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397</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500</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756</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51,2</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 по Иркутской области</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Кузбассэнерго-РЭС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3 109</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Омскэнерго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274</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243</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246</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Хакасэнерго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389</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427</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547</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28,1</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Читаэнерго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695</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774</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973</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25,6</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right="39"/>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Котловой полезный отпуск электрической энергии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tabs>
                <w:tab w:val="left" w:pos="9356"/>
              </w:tabs>
              <w:spacing w:after="5" w:line="252" w:lineRule="auto"/>
              <w:ind w:right="-143"/>
              <w:outlineLvl w:val="2"/>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Млн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53 469</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55 175</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55 629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0,8</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6 902</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7 025</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7 145</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 ПО «ГАЭС»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444</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506</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6,9</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Бурятэнерго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4 241</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4 302</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4 340</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0,9</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12 022</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11 873</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12 375</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 по Иркутской области</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137</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hAnsi="Times New Roman" w:cs="Times New Roman"/>
                <w:sz w:val="20"/>
                <w:szCs w:val="20"/>
              </w:rPr>
              <w:t>-100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Кузбассэнерго-РЭС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eastAsia="Times New Roman" w:hAnsi="Times New Roman" w:cs="Times New Roman"/>
                <w:iCs/>
                <w:color w:val="000000"/>
                <w:sz w:val="20"/>
                <w:szCs w:val="20"/>
              </w:rPr>
            </w:pPr>
            <w:r>
              <w:rPr>
                <w:rFonts w:ascii="Times New Roman" w:hAnsi="Times New Roman" w:cs="Times New Roman"/>
                <w:iCs/>
                <w:color w:val="000000"/>
                <w:sz w:val="20"/>
                <w:szCs w:val="20"/>
              </w:rPr>
              <w:t>13 656</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14 859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14 577</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-1,9</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Омскэнерго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7 409</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7 649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7 570</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-1,0</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Хакасэнерго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2 730</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2 814</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2 988</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6,2</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Читаэнерго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ind w:left="426" w:right="-143" w:hanging="426"/>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6 063</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6 011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6 093</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iCs/>
                <w:color w:val="000000"/>
                <w:sz w:val="20"/>
                <w:szCs w:val="20"/>
              </w:rPr>
            </w:pPr>
            <w:r>
              <w:rPr>
                <w:rFonts w:ascii="Times New Roman" w:hAnsi="Times New Roman" w:cs="Times New Roman"/>
                <w:iCs/>
                <w:color w:val="000000"/>
                <w:sz w:val="20"/>
                <w:szCs w:val="20"/>
              </w:rPr>
              <w:t>1,4</w:t>
            </w:r>
          </w:p>
        </w:tc>
      </w:tr>
      <w:tr w:rsidR="00D602D4">
        <w:trPr>
          <w:cantSplit/>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right="39"/>
              <w:jc w:val="both"/>
              <w:rPr>
                <w:rFonts w:ascii="Times New Roman" w:eastAsia="Times New Roman" w:hAnsi="Times New Roman" w:cs="Times New Roman"/>
                <w:b/>
                <w:color w:val="000000"/>
                <w:sz w:val="20"/>
                <w:szCs w:val="20"/>
              </w:rPr>
            </w:pPr>
            <w:r>
              <w:rPr>
                <w:rFonts w:ascii="Times New Roman" w:eastAsia="Times New Roman" w:hAnsi="Times New Roman" w:cs="Times New Roman"/>
                <w:b/>
                <w:bCs/>
                <w:color w:val="000000"/>
                <w:sz w:val="20"/>
                <w:szCs w:val="20"/>
              </w:rPr>
              <w:t>Средний тариф на услуги по передаче электрической энергии в разрезе филиалов</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tabs>
                <w:tab w:val="left" w:pos="9356"/>
              </w:tabs>
              <w:spacing w:after="5" w:line="252" w:lineRule="auto"/>
              <w:ind w:right="-143"/>
              <w:outlineLvl w:val="2"/>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руб./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1,15</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1,23</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1,28</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4,6</w:t>
            </w:r>
          </w:p>
        </w:tc>
      </w:tr>
      <w:tr w:rsidR="00D602D4">
        <w:trPr>
          <w:cantSplit/>
          <w:trHeight w:val="70"/>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spacing w:after="5" w:line="252" w:lineRule="auto"/>
              <w:ind w:left="426" w:right="-143" w:hanging="426"/>
              <w:jc w:val="both"/>
              <w:outlineLvl w:val="2"/>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руб./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1,17</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w:t>
            </w:r>
          </w:p>
        </w:tc>
      </w:tr>
      <w:tr w:rsidR="00D602D4">
        <w:trPr>
          <w:cantSplit/>
          <w:trHeight w:val="70"/>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i/>
                <w:iCs/>
                <w:color w:val="000000"/>
                <w:sz w:val="20"/>
                <w:szCs w:val="20"/>
              </w:rPr>
              <w:t>Алтайэнерго ПО «ГАЭС»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spacing w:after="5" w:line="252" w:lineRule="auto"/>
              <w:ind w:left="426" w:right="-143" w:hanging="426"/>
              <w:jc w:val="both"/>
              <w:outlineLvl w:val="2"/>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руб./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2,84</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3,12</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3,14</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0,9</w:t>
            </w:r>
          </w:p>
        </w:tc>
      </w:tr>
      <w:tr w:rsidR="00D602D4">
        <w:trPr>
          <w:cantSplit/>
          <w:trHeight w:val="70"/>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Бурятэнерго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spacing w:after="5" w:line="252" w:lineRule="auto"/>
              <w:ind w:left="426" w:right="-143" w:hanging="426"/>
              <w:jc w:val="both"/>
              <w:outlineLvl w:val="2"/>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руб./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1,62</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1,91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2,06</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7,8</w:t>
            </w:r>
          </w:p>
        </w:tc>
      </w:tr>
      <w:tr w:rsidR="00D602D4">
        <w:trPr>
          <w:cantSplit/>
          <w:trHeight w:val="70"/>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spacing w:after="5" w:line="252" w:lineRule="auto"/>
              <w:ind w:left="426" w:right="-143" w:hanging="426"/>
              <w:jc w:val="both"/>
              <w:outlineLvl w:val="2"/>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руб./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1,26</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1,47</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1,50</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w:t>
            </w:r>
          </w:p>
        </w:tc>
      </w:tr>
      <w:tr w:rsidR="00D602D4">
        <w:trPr>
          <w:cantSplit/>
          <w:trHeight w:val="70"/>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tabs>
                <w:tab w:val="left" w:pos="9356"/>
              </w:tabs>
              <w:spacing w:after="5" w:line="252" w:lineRule="auto"/>
              <w:ind w:left="426" w:right="39" w:hanging="426"/>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i/>
                <w:iCs/>
                <w:color w:val="000000"/>
                <w:sz w:val="20"/>
                <w:szCs w:val="20"/>
              </w:rPr>
              <w:t>Красноярскэнерго по Иркутской области</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spacing w:after="5" w:line="252" w:lineRule="auto"/>
              <w:ind w:left="426" w:right="-143" w:hanging="426"/>
              <w:jc w:val="both"/>
              <w:outlineLvl w:val="2"/>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руб./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0,24</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Cs/>
                <w:color w:val="000000"/>
                <w:sz w:val="20"/>
                <w:szCs w:val="20"/>
              </w:rPr>
            </w:pPr>
            <w:r>
              <w:rPr>
                <w:rFonts w:ascii="Times New Roman" w:hAnsi="Times New Roman" w:cs="Times New Roman"/>
                <w:sz w:val="20"/>
                <w:szCs w:val="20"/>
              </w:rPr>
              <w:t>-100</w:t>
            </w:r>
          </w:p>
        </w:tc>
      </w:tr>
      <w:tr w:rsidR="00D602D4">
        <w:trPr>
          <w:cantSplit/>
          <w:trHeight w:val="70"/>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Кузбассэнерго-РЭС</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spacing w:after="5" w:line="252" w:lineRule="auto"/>
              <w:ind w:left="426" w:right="-143" w:hanging="426"/>
              <w:jc w:val="both"/>
              <w:outlineLvl w:val="2"/>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руб./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0,95</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0,75</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-4,6</w:t>
            </w:r>
          </w:p>
        </w:tc>
      </w:tr>
      <w:tr w:rsidR="00D602D4">
        <w:trPr>
          <w:cantSplit/>
          <w:trHeight w:val="70"/>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Омскэнерго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spacing w:after="5" w:line="252" w:lineRule="auto"/>
              <w:ind w:left="426" w:right="-143" w:hanging="426"/>
              <w:jc w:val="both"/>
              <w:outlineLvl w:val="2"/>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руб./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0,94</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1,05</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1,18</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12,1</w:t>
            </w:r>
          </w:p>
        </w:tc>
      </w:tr>
      <w:tr w:rsidR="00D602D4">
        <w:trPr>
          <w:cantSplit/>
          <w:trHeight w:val="70"/>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Хакасэнерго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spacing w:after="5" w:line="252" w:lineRule="auto"/>
              <w:ind w:left="426" w:right="-143" w:hanging="426"/>
              <w:jc w:val="both"/>
              <w:outlineLvl w:val="2"/>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руб./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1,04</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1,11</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1,22</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p>
        </w:tc>
      </w:tr>
      <w:tr w:rsidR="00D602D4">
        <w:trPr>
          <w:cantSplit/>
          <w:trHeight w:val="70"/>
          <w:jc w:val="center"/>
        </w:trPr>
        <w:tc>
          <w:tcPr>
            <w:tcW w:w="453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right"/>
              <w:rPr>
                <w:rFonts w:ascii="Times New Roman" w:eastAsia="Times New Roman" w:hAnsi="Times New Roman" w:cs="Times New Roman"/>
                <w:i/>
                <w:iCs/>
                <w:color w:val="000000"/>
                <w:sz w:val="20"/>
                <w:szCs w:val="20"/>
              </w:rPr>
            </w:pPr>
            <w:r>
              <w:rPr>
                <w:rFonts w:ascii="Times New Roman" w:eastAsia="Times New Roman" w:hAnsi="Times New Roman" w:cs="Times New Roman"/>
                <w:i/>
                <w:iCs/>
                <w:color w:val="000000"/>
                <w:sz w:val="20"/>
                <w:szCs w:val="20"/>
              </w:rPr>
              <w:t>Читаэнерго</w:t>
            </w:r>
          </w:p>
        </w:tc>
        <w:tc>
          <w:tcPr>
            <w:tcW w:w="1134"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spacing w:after="5" w:line="252" w:lineRule="auto"/>
              <w:ind w:left="426" w:right="-143" w:hanging="426"/>
              <w:jc w:val="both"/>
              <w:outlineLvl w:val="2"/>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руб./ кВт*ч</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1,23</w:t>
            </w:r>
          </w:p>
        </w:tc>
        <w:tc>
          <w:tcPr>
            <w:tcW w:w="102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1,49</w:t>
            </w:r>
          </w:p>
        </w:tc>
        <w:tc>
          <w:tcPr>
            <w:tcW w:w="102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6,8</w:t>
            </w:r>
          </w:p>
        </w:tc>
      </w:tr>
    </w:tbl>
    <w:p w:rsidR="00D602D4" w:rsidRDefault="000B4C86">
      <w:pPr>
        <w:tabs>
          <w:tab w:val="left" w:pos="142"/>
        </w:tabs>
        <w:spacing w:after="0" w:line="240" w:lineRule="auto"/>
        <w:ind w:left="93"/>
        <w:rPr>
          <w:rFonts w:ascii="Times New Roman" w:hAnsi="Times New Roman" w:cs="Times New Roman"/>
          <w:b/>
          <w:sz w:val="24"/>
          <w:szCs w:val="24"/>
        </w:rPr>
      </w:pPr>
      <w:r>
        <w:rPr>
          <w:rFonts w:ascii="Times New Roman" w:hAnsi="Times New Roman" w:cs="Times New Roman"/>
          <w:b/>
          <w:sz w:val="24"/>
          <w:szCs w:val="24"/>
        </w:rPr>
        <w:lastRenderedPageBreak/>
        <w:t>Плата за технологическое присоединение</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Оплата услуг по технологическому присоединению осуществляется в соответствии с действующим законодательством Российской Федерации на основании ставок платы, утвержденных уполномоченными органами исполнительной власти в области государственного регулирования тарифов. </w:t>
      </w:r>
    </w:p>
    <w:p w:rsidR="00D602D4" w:rsidRDefault="000B4C86">
      <w:pPr>
        <w:spacing w:after="0" w:line="240" w:lineRule="auto"/>
        <w:ind w:firstLine="709"/>
        <w:jc w:val="both"/>
        <w:rPr>
          <w:rFonts w:ascii="Times New Roman" w:eastAsia="Calibri" w:hAnsi="Times New Roman" w:cs="Times New Roman"/>
          <w:color w:val="000000"/>
          <w:sz w:val="24"/>
          <w:szCs w:val="24"/>
        </w:rPr>
      </w:pPr>
      <w:r>
        <w:rPr>
          <w:rFonts w:ascii="Times New Roman" w:eastAsia="Calibri" w:hAnsi="Times New Roman" w:cs="Times New Roman"/>
          <w:sz w:val="24"/>
          <w:szCs w:val="24"/>
        </w:rPr>
        <w:t xml:space="preserve">На 2024 год в соответствии с </w:t>
      </w:r>
      <w:r>
        <w:rPr>
          <w:rFonts w:ascii="Times New Roman" w:eastAsia="Calibri" w:hAnsi="Times New Roman" w:cs="Times New Roman"/>
          <w:color w:val="000000"/>
          <w:sz w:val="24"/>
          <w:szCs w:val="24"/>
        </w:rPr>
        <w:t xml:space="preserve">Методическими указаниями по определению размера платы за технологическое присоединение к электрическим сетям, утвержденными приказом ФАС России </w:t>
      </w:r>
      <w:r>
        <w:rPr>
          <w:rFonts w:ascii="Times New Roman" w:hAnsi="Times New Roman" w:cs="Times New Roman"/>
          <w:sz w:val="24"/>
          <w:szCs w:val="24"/>
        </w:rPr>
        <w:t>от 30.06.2022 № 490/22</w:t>
      </w:r>
      <w:r>
        <w:rPr>
          <w:rFonts w:ascii="Times New Roman" w:eastAsia="Calibri" w:hAnsi="Times New Roman" w:cs="Times New Roman"/>
          <w:color w:val="000000"/>
          <w:sz w:val="24"/>
          <w:szCs w:val="24"/>
        </w:rPr>
        <w:t xml:space="preserve"> установлены стандартизированные тарифные ставки, льготные ставки за 1 кВт запрашиваемой максимальной мощности, предусмотренной абзацем восьмым пункта 87 Основ ценообразования в области регулируемых цен (тарифов) в электроэнергетике, утвержденных постановлением Правительства Российской Федерации от 29.12.2011 № 1178 «О ценообразовании в области регулируемых цен (тарифов) в электроэнергетике» и формулы для расчета размера платы за технологическое присоединение энергопринимающих устройств.</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Льготные ставки платы за технологическое присоединение объектов в регионах присутствия ПАО «Россети Сибирь» на 2024 год установлены следующим образом.</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Льготная ставка за 1 кВт запрашиваемой максимальной мощности при технологическом присоединении объектов микрогенерации заявителей - физических лиц, в том числе при одновременном технологическом присоединении энергопринимающих устройств заявителей - физических лиц, максимальная мощность которых не превышает 15 кВт включительно (с учетом ранее присоединенных в данной точке присоединения энергопринимающих устройств), и объектов микрогенерации, а также энергопринимающих устройств заявителей - физических лиц, максимальная мощность которых не превышает 15 кВт включительно (с учетом ранее присоединенных в данной точке присоединения энергопринимающих устройств), устанавливается в отношении всей совокупности мероприятий по технологическому присоединению в размере не более 10 000 рублей за кВт (превышение указанного значения допускается по согласованию с федеральным органом исполнительной власти в области государственного регулирования тарифов) и не менее 3000 рублей за кВт - с 01.07.2022, 4000 рублей за кВт - с 01.07.2023 и 5000 рублей за кВт - с 01.07.2024 (а в случаях, предусмотренных абзацами одиннадцатым - девятнадцатым пункта 17 Правил технологического присоединения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 - в размере 1000 рублей за кВт) при присоединении энергопринимающих устройств и (или) объектов микрогенерации, присоединяемых по третьей категории надежности к объектам электросетевого хозяйства сетевой организации на уровне напряжения 0,4 кВ и ниже, при условии, что расстояние от границ участка заявителя до ближайшего объекта электрической сети необходимого заявителю класса напряжения, в которую подана заявка, составляет не более 300 метров в городах и поселках городского типа и не более 500 метров в сельской местности. Предусмотренные настоящим пунктом значения льготной ставки за 1 кВт запрашиваемой максимальной мощности ежегодно, начиная с 01.01.2023, индексируются с учетом совокупности индексов цен производителей по подразделу «Строительство» раздела «Капитальные вложения (инвестиции)», публикуемых Министерством экономического развития Российской Федерации (при отсутствии этого индекса используется индекс потребительских цен).</w:t>
      </w:r>
    </w:p>
    <w:p w:rsidR="00D602D4" w:rsidRDefault="00D602D4">
      <w:pPr>
        <w:spacing w:after="0" w:line="240" w:lineRule="auto"/>
        <w:jc w:val="right"/>
        <w:rPr>
          <w:rFonts w:ascii="Times New Roman" w:eastAsia="Calibri" w:hAnsi="Times New Roman" w:cs="Times New Roman"/>
          <w:sz w:val="24"/>
          <w:szCs w:val="24"/>
        </w:rPr>
      </w:pPr>
    </w:p>
    <w:p w:rsidR="00D602D4" w:rsidRDefault="00D602D4">
      <w:pPr>
        <w:spacing w:after="0" w:line="240" w:lineRule="auto"/>
        <w:jc w:val="right"/>
        <w:rPr>
          <w:rFonts w:ascii="Times New Roman" w:eastAsia="Calibri" w:hAnsi="Times New Roman" w:cs="Times New Roman"/>
          <w:sz w:val="24"/>
          <w:szCs w:val="24"/>
        </w:rPr>
      </w:pPr>
    </w:p>
    <w:p w:rsidR="00D602D4" w:rsidRDefault="00D602D4">
      <w:pPr>
        <w:spacing w:after="0" w:line="240" w:lineRule="auto"/>
        <w:jc w:val="right"/>
        <w:rPr>
          <w:rFonts w:ascii="Times New Roman" w:eastAsia="Calibri" w:hAnsi="Times New Roman" w:cs="Times New Roman"/>
          <w:sz w:val="24"/>
          <w:szCs w:val="24"/>
        </w:rPr>
      </w:pPr>
    </w:p>
    <w:p w:rsidR="00D602D4" w:rsidRDefault="00D602D4">
      <w:pPr>
        <w:spacing w:after="0" w:line="240" w:lineRule="auto"/>
        <w:jc w:val="right"/>
        <w:rPr>
          <w:rFonts w:ascii="Times New Roman" w:eastAsia="Calibri" w:hAnsi="Times New Roman" w:cs="Times New Roman"/>
          <w:sz w:val="24"/>
          <w:szCs w:val="24"/>
        </w:rPr>
      </w:pPr>
    </w:p>
    <w:p w:rsidR="00D602D4" w:rsidRDefault="00D602D4">
      <w:pPr>
        <w:spacing w:after="0" w:line="240" w:lineRule="auto"/>
        <w:jc w:val="right"/>
        <w:rPr>
          <w:rFonts w:ascii="Times New Roman" w:eastAsia="Calibri" w:hAnsi="Times New Roman" w:cs="Times New Roman"/>
          <w:sz w:val="24"/>
          <w:szCs w:val="24"/>
        </w:rPr>
      </w:pPr>
    </w:p>
    <w:p w:rsidR="00D602D4" w:rsidRDefault="000B4C86">
      <w:pPr>
        <w:spacing w:after="0" w:line="240"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lastRenderedPageBreak/>
        <w:t>Таблица 39</w:t>
      </w:r>
    </w:p>
    <w:tbl>
      <w:tblPr>
        <w:tblW w:w="9756" w:type="dxa"/>
        <w:tblInd w:w="113" w:type="dxa"/>
        <w:shd w:val="clear" w:color="auto" w:fill="E2EFD9" w:themeFill="accent6" w:themeFillTint="33"/>
        <w:tblLayout w:type="fixed"/>
        <w:tblLook w:val="04A0" w:firstRow="1" w:lastRow="0" w:firstColumn="1" w:lastColumn="0" w:noHBand="0" w:noVBand="1"/>
      </w:tblPr>
      <w:tblGrid>
        <w:gridCol w:w="1030"/>
        <w:gridCol w:w="2068"/>
        <w:gridCol w:w="1986"/>
        <w:gridCol w:w="2334"/>
        <w:gridCol w:w="2338"/>
      </w:tblGrid>
      <w:tr w:rsidR="00D602D4">
        <w:trPr>
          <w:trHeight w:val="397"/>
        </w:trPr>
        <w:tc>
          <w:tcPr>
            <w:tcW w:w="1030" w:type="dxa"/>
            <w:vMerge w:val="restart"/>
            <w:tcBorders>
              <w:top w:val="single" w:sz="8" w:space="0" w:color="000000"/>
              <w:left w:val="single" w:sz="8"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b/>
                <w:bCs/>
                <w:color w:val="000000"/>
                <w:sz w:val="20"/>
                <w:szCs w:val="16"/>
                <w:lang w:eastAsia="ru-RU"/>
              </w:rPr>
            </w:pPr>
            <w:r>
              <w:rPr>
                <w:rFonts w:ascii="Times New Roman" w:eastAsia="Times New Roman" w:hAnsi="Times New Roman" w:cs="Times New Roman"/>
                <w:b/>
                <w:bCs/>
                <w:color w:val="000000"/>
                <w:sz w:val="20"/>
                <w:szCs w:val="16"/>
                <w:lang w:eastAsia="ru-RU"/>
              </w:rPr>
              <w:t>№</w:t>
            </w:r>
          </w:p>
        </w:tc>
        <w:tc>
          <w:tcPr>
            <w:tcW w:w="2068" w:type="dxa"/>
            <w:vMerge w:val="restart"/>
            <w:tcBorders>
              <w:top w:val="single" w:sz="8" w:space="0" w:color="000000"/>
              <w:left w:val="single" w:sz="8"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b/>
                <w:bCs/>
                <w:color w:val="000000"/>
                <w:sz w:val="20"/>
                <w:szCs w:val="16"/>
                <w:lang w:eastAsia="ru-RU"/>
              </w:rPr>
            </w:pPr>
            <w:r>
              <w:rPr>
                <w:rFonts w:ascii="Times New Roman" w:eastAsia="Times New Roman" w:hAnsi="Times New Roman" w:cs="Times New Roman"/>
                <w:b/>
                <w:bCs/>
                <w:color w:val="000000"/>
                <w:sz w:val="20"/>
                <w:szCs w:val="16"/>
                <w:lang w:eastAsia="ru-RU"/>
              </w:rPr>
              <w:t>Субъект РФ</w:t>
            </w:r>
          </w:p>
        </w:tc>
        <w:tc>
          <w:tcPr>
            <w:tcW w:w="1986" w:type="dxa"/>
            <w:vMerge w:val="restart"/>
            <w:tcBorders>
              <w:top w:val="single" w:sz="8" w:space="0" w:color="000000"/>
              <w:left w:val="single" w:sz="8"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b/>
                <w:bCs/>
                <w:color w:val="000000"/>
                <w:sz w:val="20"/>
                <w:szCs w:val="16"/>
                <w:lang w:eastAsia="ru-RU"/>
              </w:rPr>
            </w:pPr>
            <w:r>
              <w:rPr>
                <w:rFonts w:ascii="Times New Roman" w:eastAsia="Times New Roman" w:hAnsi="Times New Roman" w:cs="Times New Roman"/>
                <w:b/>
                <w:bCs/>
                <w:color w:val="000000"/>
                <w:sz w:val="20"/>
                <w:szCs w:val="16"/>
                <w:lang w:eastAsia="ru-RU"/>
              </w:rPr>
              <w:t>Дата и номер постановления</w:t>
            </w:r>
          </w:p>
        </w:tc>
        <w:tc>
          <w:tcPr>
            <w:tcW w:w="4672" w:type="dxa"/>
            <w:gridSpan w:val="2"/>
            <w:tcBorders>
              <w:top w:val="single" w:sz="8" w:space="0" w:color="000000"/>
              <w:left w:val="single" w:sz="4"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b/>
                <w:bCs/>
                <w:color w:val="000000"/>
                <w:sz w:val="20"/>
                <w:szCs w:val="16"/>
                <w:lang w:eastAsia="ru-RU"/>
              </w:rPr>
            </w:pPr>
            <w:r>
              <w:rPr>
                <w:rFonts w:ascii="Times New Roman" w:eastAsia="Times New Roman" w:hAnsi="Times New Roman" w:cs="Times New Roman"/>
                <w:b/>
                <w:bCs/>
                <w:color w:val="000000"/>
                <w:sz w:val="20"/>
                <w:szCs w:val="16"/>
                <w:lang w:eastAsia="ru-RU"/>
              </w:rPr>
              <w:t>Принятая регулирующим органом величина льготных ставок</w:t>
            </w:r>
          </w:p>
        </w:tc>
      </w:tr>
      <w:tr w:rsidR="00D602D4">
        <w:trPr>
          <w:trHeight w:val="397"/>
        </w:trPr>
        <w:tc>
          <w:tcPr>
            <w:tcW w:w="1030" w:type="dxa"/>
            <w:vMerge/>
            <w:tcBorders>
              <w:left w:val="single" w:sz="8" w:space="0" w:color="000000"/>
              <w:right w:val="single" w:sz="4" w:space="0" w:color="000000"/>
            </w:tcBorders>
            <w:shd w:val="clear" w:color="FFFFFF" w:fill="E2EFD9" w:themeFill="accent6" w:themeFillTint="33"/>
            <w:vAlign w:val="center"/>
          </w:tcPr>
          <w:p w:rsidR="00D602D4" w:rsidRDefault="00D602D4">
            <w:pPr>
              <w:spacing w:after="0" w:line="240" w:lineRule="auto"/>
              <w:rPr>
                <w:rFonts w:ascii="Times New Roman" w:eastAsia="Times New Roman" w:hAnsi="Times New Roman" w:cs="Times New Roman"/>
                <w:b/>
                <w:bCs/>
                <w:color w:val="000000"/>
                <w:sz w:val="20"/>
                <w:szCs w:val="16"/>
                <w:lang w:eastAsia="ru-RU"/>
              </w:rPr>
            </w:pPr>
          </w:p>
        </w:tc>
        <w:tc>
          <w:tcPr>
            <w:tcW w:w="2068" w:type="dxa"/>
            <w:vMerge/>
            <w:tcBorders>
              <w:left w:val="single" w:sz="8" w:space="0" w:color="000000"/>
              <w:right w:val="single" w:sz="4" w:space="0" w:color="000000"/>
            </w:tcBorders>
            <w:shd w:val="clear" w:color="FFFFFF" w:fill="E2EFD9" w:themeFill="accent6" w:themeFillTint="33"/>
            <w:vAlign w:val="center"/>
          </w:tcPr>
          <w:p w:rsidR="00D602D4" w:rsidRDefault="00D602D4">
            <w:pPr>
              <w:spacing w:after="0" w:line="240" w:lineRule="auto"/>
              <w:rPr>
                <w:rFonts w:ascii="Times New Roman" w:eastAsia="Times New Roman" w:hAnsi="Times New Roman" w:cs="Times New Roman"/>
                <w:b/>
                <w:bCs/>
                <w:color w:val="000000"/>
                <w:sz w:val="20"/>
                <w:szCs w:val="16"/>
                <w:lang w:eastAsia="ru-RU"/>
              </w:rPr>
            </w:pPr>
          </w:p>
        </w:tc>
        <w:tc>
          <w:tcPr>
            <w:tcW w:w="1986" w:type="dxa"/>
            <w:vMerge/>
            <w:tcBorders>
              <w:left w:val="single" w:sz="8" w:space="0" w:color="000000"/>
              <w:right w:val="single" w:sz="4" w:space="0" w:color="000000"/>
            </w:tcBorders>
            <w:shd w:val="clear" w:color="FFFFFF" w:fill="E2EFD9" w:themeFill="accent6" w:themeFillTint="33"/>
            <w:vAlign w:val="center"/>
          </w:tcPr>
          <w:p w:rsidR="00D602D4" w:rsidRDefault="00D602D4">
            <w:pPr>
              <w:spacing w:after="0" w:line="240" w:lineRule="auto"/>
              <w:rPr>
                <w:rFonts w:ascii="Times New Roman" w:eastAsia="Times New Roman" w:hAnsi="Times New Roman" w:cs="Times New Roman"/>
                <w:b/>
                <w:bCs/>
                <w:color w:val="000000"/>
                <w:sz w:val="20"/>
                <w:szCs w:val="16"/>
                <w:lang w:eastAsia="ru-RU"/>
              </w:rPr>
            </w:pPr>
          </w:p>
        </w:tc>
        <w:tc>
          <w:tcPr>
            <w:tcW w:w="2334" w:type="dxa"/>
            <w:tcBorders>
              <w:top w:val="single" w:sz="4" w:space="0" w:color="000000"/>
              <w:left w:val="single" w:sz="4"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b/>
                <w:bCs/>
                <w:color w:val="000000"/>
                <w:sz w:val="20"/>
                <w:szCs w:val="16"/>
                <w:lang w:eastAsia="ru-RU"/>
              </w:rPr>
            </w:pPr>
            <w:r>
              <w:rPr>
                <w:rFonts w:ascii="Times New Roman" w:eastAsia="Times New Roman" w:hAnsi="Times New Roman" w:cs="Times New Roman"/>
                <w:b/>
                <w:bCs/>
                <w:color w:val="000000"/>
                <w:sz w:val="20"/>
                <w:szCs w:val="16"/>
                <w:lang w:eastAsia="ru-RU"/>
              </w:rPr>
              <w:t>с 01.01.2024 по 30.06.2024</w:t>
            </w:r>
          </w:p>
        </w:tc>
        <w:tc>
          <w:tcPr>
            <w:tcW w:w="2338" w:type="dxa"/>
            <w:tcBorders>
              <w:top w:val="single" w:sz="4" w:space="0" w:color="000000"/>
              <w:left w:val="none" w:sz="4"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b/>
                <w:bCs/>
                <w:color w:val="000000"/>
                <w:sz w:val="20"/>
                <w:szCs w:val="16"/>
                <w:lang w:eastAsia="ru-RU"/>
              </w:rPr>
            </w:pPr>
            <w:r>
              <w:rPr>
                <w:rFonts w:ascii="Times New Roman" w:eastAsia="Times New Roman" w:hAnsi="Times New Roman" w:cs="Times New Roman"/>
                <w:b/>
                <w:bCs/>
                <w:color w:val="000000"/>
                <w:sz w:val="20"/>
                <w:szCs w:val="16"/>
                <w:lang w:eastAsia="ru-RU"/>
              </w:rPr>
              <w:t>с 01.07.2024 по 31.12.2024</w:t>
            </w:r>
          </w:p>
        </w:tc>
      </w:tr>
      <w:tr w:rsidR="00D602D4">
        <w:trPr>
          <w:trHeight w:val="397"/>
        </w:trPr>
        <w:tc>
          <w:tcPr>
            <w:tcW w:w="1030" w:type="dxa"/>
            <w:vMerge/>
            <w:tcBorders>
              <w:left w:val="single" w:sz="8" w:space="0" w:color="000000"/>
              <w:bottom w:val="single" w:sz="8" w:space="0" w:color="000000"/>
              <w:right w:val="single" w:sz="4" w:space="0" w:color="000000"/>
            </w:tcBorders>
            <w:shd w:val="clear" w:color="FFFFFF" w:fill="E2EFD9" w:themeFill="accent6" w:themeFillTint="33"/>
            <w:vAlign w:val="center"/>
          </w:tcPr>
          <w:p w:rsidR="00D602D4" w:rsidRDefault="00D602D4">
            <w:pPr>
              <w:spacing w:after="0" w:line="240" w:lineRule="auto"/>
              <w:rPr>
                <w:rFonts w:ascii="Times New Roman" w:eastAsia="Times New Roman" w:hAnsi="Times New Roman" w:cs="Times New Roman"/>
                <w:b/>
                <w:bCs/>
                <w:color w:val="000000"/>
                <w:sz w:val="20"/>
                <w:szCs w:val="16"/>
                <w:lang w:eastAsia="ru-RU"/>
              </w:rPr>
            </w:pPr>
          </w:p>
        </w:tc>
        <w:tc>
          <w:tcPr>
            <w:tcW w:w="2068" w:type="dxa"/>
            <w:vMerge/>
            <w:tcBorders>
              <w:left w:val="single" w:sz="8" w:space="0" w:color="000000"/>
              <w:bottom w:val="single" w:sz="8" w:space="0" w:color="000000"/>
              <w:right w:val="single" w:sz="4" w:space="0" w:color="000000"/>
            </w:tcBorders>
            <w:shd w:val="clear" w:color="FFFFFF" w:fill="E2EFD9" w:themeFill="accent6" w:themeFillTint="33"/>
            <w:vAlign w:val="center"/>
          </w:tcPr>
          <w:p w:rsidR="00D602D4" w:rsidRDefault="00D602D4">
            <w:pPr>
              <w:spacing w:after="0" w:line="240" w:lineRule="auto"/>
              <w:rPr>
                <w:rFonts w:ascii="Times New Roman" w:eastAsia="Times New Roman" w:hAnsi="Times New Roman" w:cs="Times New Roman"/>
                <w:b/>
                <w:bCs/>
                <w:color w:val="000000"/>
                <w:sz w:val="20"/>
                <w:szCs w:val="16"/>
                <w:lang w:eastAsia="ru-RU"/>
              </w:rPr>
            </w:pPr>
          </w:p>
        </w:tc>
        <w:tc>
          <w:tcPr>
            <w:tcW w:w="1986" w:type="dxa"/>
            <w:vMerge/>
            <w:tcBorders>
              <w:left w:val="single" w:sz="8" w:space="0" w:color="000000"/>
              <w:bottom w:val="single" w:sz="8" w:space="0" w:color="000000"/>
              <w:right w:val="single" w:sz="4" w:space="0" w:color="000000"/>
            </w:tcBorders>
            <w:shd w:val="clear" w:color="FFFFFF" w:fill="E2EFD9" w:themeFill="accent6" w:themeFillTint="33"/>
            <w:vAlign w:val="center"/>
          </w:tcPr>
          <w:p w:rsidR="00D602D4" w:rsidRDefault="00D602D4">
            <w:pPr>
              <w:spacing w:after="0" w:line="240" w:lineRule="auto"/>
              <w:rPr>
                <w:rFonts w:ascii="Times New Roman" w:eastAsia="Times New Roman" w:hAnsi="Times New Roman" w:cs="Times New Roman"/>
                <w:b/>
                <w:bCs/>
                <w:color w:val="000000"/>
                <w:sz w:val="20"/>
                <w:szCs w:val="16"/>
                <w:lang w:eastAsia="ru-RU"/>
              </w:rPr>
            </w:pPr>
          </w:p>
        </w:tc>
        <w:tc>
          <w:tcPr>
            <w:tcW w:w="4672" w:type="dxa"/>
            <w:gridSpan w:val="2"/>
            <w:tcBorders>
              <w:top w:val="none" w:sz="4" w:space="0" w:color="000000"/>
              <w:left w:val="single" w:sz="4" w:space="0" w:color="000000"/>
              <w:bottom w:val="single" w:sz="8"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b/>
                <w:bCs/>
                <w:color w:val="000000"/>
                <w:sz w:val="20"/>
                <w:szCs w:val="16"/>
                <w:lang w:eastAsia="ru-RU"/>
              </w:rPr>
            </w:pPr>
            <w:r>
              <w:rPr>
                <w:rFonts w:ascii="Times New Roman" w:eastAsia="Times New Roman" w:hAnsi="Times New Roman" w:cs="Times New Roman"/>
                <w:b/>
                <w:bCs/>
                <w:color w:val="000000"/>
                <w:sz w:val="20"/>
                <w:szCs w:val="16"/>
                <w:lang w:eastAsia="ru-RU"/>
              </w:rPr>
              <w:t>руб. за кВт</w:t>
            </w:r>
            <w:r>
              <w:rPr>
                <w:rFonts w:ascii="Times New Roman" w:eastAsia="Times New Roman" w:hAnsi="Times New Roman" w:cs="Times New Roman"/>
                <w:b/>
                <w:bCs/>
                <w:color w:val="000000"/>
                <w:sz w:val="20"/>
                <w:szCs w:val="16"/>
              </w:rPr>
              <w:t xml:space="preserve"> </w:t>
            </w:r>
            <w:r>
              <w:rPr>
                <w:rFonts w:ascii="Times New Roman" w:eastAsia="Times New Roman" w:hAnsi="Times New Roman" w:cs="Times New Roman"/>
                <w:b/>
                <w:bCs/>
                <w:color w:val="000000"/>
                <w:sz w:val="20"/>
                <w:szCs w:val="16"/>
                <w:lang w:eastAsia="ru-RU"/>
              </w:rPr>
              <w:t>(с учетом НДС)</w:t>
            </w:r>
          </w:p>
        </w:tc>
      </w:tr>
      <w:tr w:rsidR="00D602D4">
        <w:trPr>
          <w:trHeight w:val="397"/>
        </w:trPr>
        <w:tc>
          <w:tcPr>
            <w:tcW w:w="1030" w:type="dxa"/>
            <w:tcBorders>
              <w:top w:val="none" w:sz="4" w:space="0" w:color="000000"/>
              <w:left w:val="single" w:sz="8"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1</w:t>
            </w:r>
          </w:p>
        </w:tc>
        <w:tc>
          <w:tcPr>
            <w:tcW w:w="2068" w:type="dxa"/>
            <w:tcBorders>
              <w:top w:val="none" w:sz="4" w:space="0" w:color="000000"/>
              <w:left w:val="none" w:sz="4" w:space="0" w:color="000000"/>
              <w:bottom w:val="single" w:sz="4" w:space="0" w:color="000000"/>
              <w:right w:val="non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Алтайский край</w:t>
            </w:r>
          </w:p>
        </w:tc>
        <w:tc>
          <w:tcPr>
            <w:tcW w:w="1986" w:type="dxa"/>
            <w:tcBorders>
              <w:top w:val="none" w:sz="4" w:space="0" w:color="000000"/>
              <w:left w:val="single" w:sz="8"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30.11.2023 №278</w:t>
            </w:r>
          </w:p>
        </w:tc>
        <w:tc>
          <w:tcPr>
            <w:tcW w:w="2334" w:type="dxa"/>
            <w:tcBorders>
              <w:top w:val="none" w:sz="4" w:space="0" w:color="000000"/>
              <w:left w:val="none" w:sz="4"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4477,31/1114,07</w:t>
            </w:r>
          </w:p>
        </w:tc>
        <w:tc>
          <w:tcPr>
            <w:tcW w:w="2338" w:type="dxa"/>
            <w:tcBorders>
              <w:top w:val="none" w:sz="4" w:space="0" w:color="000000"/>
              <w:left w:val="none" w:sz="4"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5570,34/1114,07</w:t>
            </w:r>
          </w:p>
        </w:tc>
      </w:tr>
      <w:tr w:rsidR="00D602D4">
        <w:trPr>
          <w:trHeight w:val="397"/>
        </w:trPr>
        <w:tc>
          <w:tcPr>
            <w:tcW w:w="1030" w:type="dxa"/>
            <w:tcBorders>
              <w:top w:val="none" w:sz="4" w:space="0" w:color="000000"/>
              <w:left w:val="single" w:sz="8"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2</w:t>
            </w:r>
          </w:p>
        </w:tc>
        <w:tc>
          <w:tcPr>
            <w:tcW w:w="2068" w:type="dxa"/>
            <w:tcBorders>
              <w:top w:val="none" w:sz="4" w:space="0" w:color="000000"/>
              <w:left w:val="none" w:sz="4" w:space="0" w:color="000000"/>
              <w:bottom w:val="single" w:sz="4" w:space="0" w:color="000000"/>
              <w:right w:val="non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Республика Бурятия</w:t>
            </w:r>
          </w:p>
        </w:tc>
        <w:tc>
          <w:tcPr>
            <w:tcW w:w="1986" w:type="dxa"/>
            <w:tcBorders>
              <w:top w:val="none" w:sz="4" w:space="0" w:color="000000"/>
              <w:left w:val="single" w:sz="8"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19.12.2023 №1/27</w:t>
            </w:r>
          </w:p>
        </w:tc>
        <w:tc>
          <w:tcPr>
            <w:tcW w:w="4672" w:type="dxa"/>
            <w:gridSpan w:val="2"/>
            <w:tcBorders>
              <w:top w:val="none" w:sz="4" w:space="0" w:color="000000"/>
              <w:left w:val="none" w:sz="4"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6510,79/1114,07</w:t>
            </w:r>
          </w:p>
        </w:tc>
      </w:tr>
      <w:tr w:rsidR="00D602D4">
        <w:trPr>
          <w:trHeight w:val="397"/>
        </w:trPr>
        <w:tc>
          <w:tcPr>
            <w:tcW w:w="1030" w:type="dxa"/>
            <w:tcBorders>
              <w:top w:val="none" w:sz="4" w:space="0" w:color="000000"/>
              <w:left w:val="single" w:sz="8"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3</w:t>
            </w:r>
          </w:p>
        </w:tc>
        <w:tc>
          <w:tcPr>
            <w:tcW w:w="2068" w:type="dxa"/>
            <w:tcBorders>
              <w:top w:val="none" w:sz="4" w:space="0" w:color="000000"/>
              <w:left w:val="none" w:sz="4" w:space="0" w:color="000000"/>
              <w:bottom w:val="single" w:sz="4" w:space="0" w:color="000000"/>
              <w:right w:val="non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Республика Алтай</w:t>
            </w:r>
          </w:p>
        </w:tc>
        <w:tc>
          <w:tcPr>
            <w:tcW w:w="1986" w:type="dxa"/>
            <w:tcBorders>
              <w:top w:val="none" w:sz="4" w:space="0" w:color="000000"/>
              <w:left w:val="single" w:sz="8"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01.12.2023 №51/13</w:t>
            </w:r>
          </w:p>
        </w:tc>
        <w:tc>
          <w:tcPr>
            <w:tcW w:w="2334" w:type="dxa"/>
            <w:tcBorders>
              <w:top w:val="none" w:sz="4" w:space="0" w:color="000000"/>
              <w:left w:val="none" w:sz="4"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7000/1119,33</w:t>
            </w:r>
          </w:p>
        </w:tc>
        <w:tc>
          <w:tcPr>
            <w:tcW w:w="2338" w:type="dxa"/>
            <w:tcBorders>
              <w:top w:val="none" w:sz="4" w:space="0" w:color="000000"/>
              <w:left w:val="none" w:sz="4"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7364/1119,33</w:t>
            </w:r>
          </w:p>
        </w:tc>
      </w:tr>
      <w:tr w:rsidR="00D602D4">
        <w:trPr>
          <w:trHeight w:val="397"/>
        </w:trPr>
        <w:tc>
          <w:tcPr>
            <w:tcW w:w="1030" w:type="dxa"/>
            <w:tcBorders>
              <w:top w:val="none" w:sz="4" w:space="0" w:color="000000"/>
              <w:left w:val="single" w:sz="8"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4</w:t>
            </w:r>
          </w:p>
        </w:tc>
        <w:tc>
          <w:tcPr>
            <w:tcW w:w="2068" w:type="dxa"/>
            <w:tcBorders>
              <w:top w:val="none" w:sz="4" w:space="0" w:color="000000"/>
              <w:left w:val="none" w:sz="4" w:space="0" w:color="000000"/>
              <w:bottom w:val="single" w:sz="4" w:space="0" w:color="000000"/>
              <w:right w:val="non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Красноярский край</w:t>
            </w:r>
          </w:p>
        </w:tc>
        <w:tc>
          <w:tcPr>
            <w:tcW w:w="1986" w:type="dxa"/>
            <w:tcBorders>
              <w:top w:val="none" w:sz="4" w:space="0" w:color="000000"/>
              <w:left w:val="single" w:sz="8"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07.12.2023 №57-э,</w:t>
            </w:r>
          </w:p>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27.12.2023 №115-э</w:t>
            </w:r>
          </w:p>
        </w:tc>
        <w:tc>
          <w:tcPr>
            <w:tcW w:w="2334" w:type="dxa"/>
            <w:tcBorders>
              <w:top w:val="none" w:sz="4" w:space="0" w:color="000000"/>
              <w:left w:val="none" w:sz="4" w:space="0" w:color="000000"/>
              <w:bottom w:val="single" w:sz="4" w:space="0" w:color="000000"/>
              <w:right w:val="non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4256,27/1114,07</w:t>
            </w:r>
          </w:p>
        </w:tc>
        <w:tc>
          <w:tcPr>
            <w:tcW w:w="2338" w:type="dxa"/>
            <w:tcBorders>
              <w:top w:val="none" w:sz="4" w:space="0" w:color="000000"/>
              <w:left w:val="single" w:sz="4"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7000/1114,07</w:t>
            </w:r>
          </w:p>
        </w:tc>
      </w:tr>
      <w:tr w:rsidR="00D602D4">
        <w:trPr>
          <w:trHeight w:val="397"/>
        </w:trPr>
        <w:tc>
          <w:tcPr>
            <w:tcW w:w="1030" w:type="dxa"/>
            <w:tcBorders>
              <w:top w:val="none" w:sz="4" w:space="0" w:color="000000"/>
              <w:left w:val="single" w:sz="8"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5</w:t>
            </w:r>
          </w:p>
        </w:tc>
        <w:tc>
          <w:tcPr>
            <w:tcW w:w="2068" w:type="dxa"/>
            <w:tcBorders>
              <w:top w:val="none" w:sz="4" w:space="0" w:color="000000"/>
              <w:left w:val="none" w:sz="4" w:space="0" w:color="000000"/>
              <w:bottom w:val="single" w:sz="4" w:space="0" w:color="000000"/>
              <w:right w:val="non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Кемеровская область</w:t>
            </w:r>
          </w:p>
        </w:tc>
        <w:tc>
          <w:tcPr>
            <w:tcW w:w="1986" w:type="dxa"/>
            <w:tcBorders>
              <w:top w:val="none" w:sz="4" w:space="0" w:color="000000"/>
              <w:left w:val="single" w:sz="8"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29.12.2023 №778</w:t>
            </w:r>
          </w:p>
        </w:tc>
        <w:tc>
          <w:tcPr>
            <w:tcW w:w="4672" w:type="dxa"/>
            <w:gridSpan w:val="2"/>
            <w:tcBorders>
              <w:top w:val="none" w:sz="4" w:space="0" w:color="000000"/>
              <w:left w:val="none" w:sz="4"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6022,32/1000</w:t>
            </w:r>
          </w:p>
        </w:tc>
      </w:tr>
      <w:tr w:rsidR="00D602D4">
        <w:trPr>
          <w:trHeight w:val="397"/>
        </w:trPr>
        <w:tc>
          <w:tcPr>
            <w:tcW w:w="1030" w:type="dxa"/>
            <w:tcBorders>
              <w:top w:val="none" w:sz="4" w:space="0" w:color="000000"/>
              <w:left w:val="single" w:sz="8"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6</w:t>
            </w:r>
          </w:p>
        </w:tc>
        <w:tc>
          <w:tcPr>
            <w:tcW w:w="2068" w:type="dxa"/>
            <w:tcBorders>
              <w:top w:val="none" w:sz="4" w:space="0" w:color="000000"/>
              <w:left w:val="none" w:sz="4" w:space="0" w:color="000000"/>
              <w:bottom w:val="single" w:sz="4" w:space="0" w:color="000000"/>
              <w:right w:val="non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Омская область</w:t>
            </w:r>
          </w:p>
        </w:tc>
        <w:tc>
          <w:tcPr>
            <w:tcW w:w="1986" w:type="dxa"/>
            <w:tcBorders>
              <w:top w:val="none" w:sz="4" w:space="0" w:color="000000"/>
              <w:left w:val="single" w:sz="8"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15.12.2023 №386/82</w:t>
            </w:r>
          </w:p>
        </w:tc>
        <w:tc>
          <w:tcPr>
            <w:tcW w:w="2334" w:type="dxa"/>
            <w:tcBorders>
              <w:top w:val="none" w:sz="4" w:space="0" w:color="000000"/>
              <w:left w:val="none" w:sz="4"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4456,27/1114,07</w:t>
            </w:r>
          </w:p>
        </w:tc>
        <w:tc>
          <w:tcPr>
            <w:tcW w:w="2338" w:type="dxa"/>
            <w:tcBorders>
              <w:top w:val="none" w:sz="4" w:space="0" w:color="000000"/>
              <w:left w:val="none" w:sz="4"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5750/1114,07</w:t>
            </w:r>
          </w:p>
        </w:tc>
      </w:tr>
      <w:tr w:rsidR="00D602D4">
        <w:trPr>
          <w:trHeight w:val="397"/>
        </w:trPr>
        <w:tc>
          <w:tcPr>
            <w:tcW w:w="1030" w:type="dxa"/>
            <w:tcBorders>
              <w:top w:val="none" w:sz="4" w:space="0" w:color="000000"/>
              <w:left w:val="single" w:sz="8"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7</w:t>
            </w:r>
          </w:p>
        </w:tc>
        <w:tc>
          <w:tcPr>
            <w:tcW w:w="2068" w:type="dxa"/>
            <w:tcBorders>
              <w:top w:val="none" w:sz="4" w:space="0" w:color="000000"/>
              <w:left w:val="none" w:sz="4" w:space="0" w:color="000000"/>
              <w:bottom w:val="single" w:sz="4" w:space="0" w:color="000000"/>
              <w:right w:val="non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Республика Хакасия</w:t>
            </w:r>
          </w:p>
        </w:tc>
        <w:tc>
          <w:tcPr>
            <w:tcW w:w="1986" w:type="dxa"/>
            <w:tcBorders>
              <w:top w:val="none" w:sz="4" w:space="0" w:color="000000"/>
              <w:left w:val="single" w:sz="8"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18.12.2023 №99-п</w:t>
            </w:r>
          </w:p>
        </w:tc>
        <w:tc>
          <w:tcPr>
            <w:tcW w:w="2334" w:type="dxa"/>
            <w:tcBorders>
              <w:top w:val="none" w:sz="4" w:space="0" w:color="000000"/>
              <w:left w:val="none" w:sz="4" w:space="0" w:color="000000"/>
              <w:bottom w:val="single" w:sz="4" w:space="0" w:color="000000"/>
              <w:right w:val="non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4456,30/1114,10</w:t>
            </w:r>
          </w:p>
        </w:tc>
        <w:tc>
          <w:tcPr>
            <w:tcW w:w="2338" w:type="dxa"/>
            <w:tcBorders>
              <w:top w:val="none" w:sz="4" w:space="0" w:color="000000"/>
              <w:left w:val="single" w:sz="4"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5570,30/1114,10</w:t>
            </w:r>
          </w:p>
        </w:tc>
      </w:tr>
      <w:tr w:rsidR="00D602D4">
        <w:trPr>
          <w:trHeight w:val="397"/>
        </w:trPr>
        <w:tc>
          <w:tcPr>
            <w:tcW w:w="1030" w:type="dxa"/>
            <w:tcBorders>
              <w:top w:val="none" w:sz="4" w:space="0" w:color="000000"/>
              <w:left w:val="single" w:sz="8"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8</w:t>
            </w:r>
          </w:p>
        </w:tc>
        <w:tc>
          <w:tcPr>
            <w:tcW w:w="2068" w:type="dxa"/>
            <w:tcBorders>
              <w:top w:val="none" w:sz="4" w:space="0" w:color="000000"/>
              <w:left w:val="none" w:sz="4" w:space="0" w:color="000000"/>
              <w:bottom w:val="single" w:sz="4" w:space="0" w:color="000000"/>
              <w:right w:val="non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Забайкальский край</w:t>
            </w:r>
          </w:p>
        </w:tc>
        <w:tc>
          <w:tcPr>
            <w:tcW w:w="1986" w:type="dxa"/>
            <w:tcBorders>
              <w:top w:val="none" w:sz="4" w:space="0" w:color="000000"/>
              <w:left w:val="single" w:sz="8"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16"/>
                <w:lang w:eastAsia="ru-RU"/>
              </w:rPr>
            </w:pPr>
            <w:r>
              <w:rPr>
                <w:rFonts w:ascii="Times New Roman" w:eastAsia="Times New Roman" w:hAnsi="Times New Roman" w:cs="Times New Roman"/>
                <w:color w:val="000000"/>
                <w:sz w:val="20"/>
                <w:szCs w:val="16"/>
                <w:lang w:eastAsia="ru-RU"/>
              </w:rPr>
              <w:t>11.12.2023 №557-НПА</w:t>
            </w:r>
          </w:p>
        </w:tc>
        <w:tc>
          <w:tcPr>
            <w:tcW w:w="2334" w:type="dxa"/>
            <w:tcBorders>
              <w:top w:val="none" w:sz="4" w:space="0" w:color="000000"/>
              <w:left w:val="none" w:sz="4"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4456,27/1064</w:t>
            </w:r>
          </w:p>
        </w:tc>
        <w:tc>
          <w:tcPr>
            <w:tcW w:w="2338" w:type="dxa"/>
            <w:tcBorders>
              <w:top w:val="none" w:sz="4" w:space="0" w:color="000000"/>
              <w:left w:val="single" w:sz="4" w:space="0" w:color="000000"/>
              <w:bottom w:val="single" w:sz="4" w:space="0" w:color="000000"/>
              <w:right w:val="single" w:sz="8" w:space="0" w:color="000000"/>
            </w:tcBorders>
            <w:shd w:val="clear" w:color="FFFFFF" w:themeColor="background1" w:fill="FFFFFF" w:themeFill="background1"/>
            <w:vAlign w:val="center"/>
          </w:tcPr>
          <w:p w:rsidR="00D602D4" w:rsidRDefault="000B4C86">
            <w:pPr>
              <w:spacing w:after="0" w:line="240" w:lineRule="auto"/>
              <w:jc w:val="center"/>
              <w:rPr>
                <w:rFonts w:ascii="Times New Roman" w:eastAsia="Times New Roman" w:hAnsi="Times New Roman" w:cs="Times New Roman"/>
                <w:sz w:val="20"/>
                <w:szCs w:val="16"/>
                <w:lang w:eastAsia="ru-RU"/>
              </w:rPr>
            </w:pPr>
            <w:r>
              <w:rPr>
                <w:rFonts w:ascii="Times New Roman" w:eastAsia="Times New Roman" w:hAnsi="Times New Roman" w:cs="Times New Roman"/>
                <w:sz w:val="20"/>
                <w:szCs w:val="16"/>
                <w:lang w:eastAsia="ru-RU"/>
              </w:rPr>
              <w:t>5570,34/1119,33</w:t>
            </w:r>
          </w:p>
        </w:tc>
      </w:tr>
    </w:tbl>
    <w:p w:rsidR="00D602D4" w:rsidRDefault="00D602D4">
      <w:pPr>
        <w:spacing w:after="0" w:line="240" w:lineRule="auto"/>
        <w:ind w:firstLine="709"/>
        <w:jc w:val="both"/>
        <w:rPr>
          <w:rFonts w:ascii="Times New Roman" w:eastAsia="Calibri" w:hAnsi="Times New Roman" w:cs="Times New Roman"/>
          <w:sz w:val="24"/>
          <w:szCs w:val="24"/>
        </w:rPr>
      </w:pPr>
    </w:p>
    <w:p w:rsidR="00D602D4" w:rsidRDefault="000B4C86">
      <w:pPr>
        <w:tabs>
          <w:tab w:val="left" w:pos="993"/>
        </w:tabs>
        <w:spacing w:after="0" w:line="240" w:lineRule="auto"/>
        <w:ind w:firstLine="709"/>
        <w:jc w:val="both"/>
        <w:rPr>
          <w:rFonts w:ascii="Times New Roman" w:hAnsi="Times New Roman" w:cs="Times New Roman"/>
          <w:bCs/>
          <w:sz w:val="24"/>
          <w:szCs w:val="24"/>
        </w:rPr>
      </w:pPr>
      <w:r>
        <w:rPr>
          <w:rFonts w:ascii="Times New Roman" w:eastAsia="Times New Roman" w:hAnsi="Times New Roman" w:cs="Times New Roman"/>
          <w:bCs/>
          <w:sz w:val="24"/>
          <w:szCs w:val="24"/>
        </w:rPr>
        <w:t xml:space="preserve">В 2024 году в регионах присутствия ПАО «Россети Сибирь» установлена плата за технологическое присоединение по 212 индивидуальным проектам на сумму 6 364 757 тыс. руб., мощностью 398 МВт, из них наиболее значимые: </w:t>
      </w:r>
    </w:p>
    <w:p w:rsidR="00D602D4" w:rsidRDefault="000B4C86">
      <w:pPr>
        <w:pStyle w:val="ac"/>
        <w:numPr>
          <w:ilvl w:val="0"/>
          <w:numId w:val="69"/>
        </w:numPr>
        <w:tabs>
          <w:tab w:val="left" w:pos="993"/>
        </w:tabs>
        <w:spacing w:after="0" w:line="240" w:lineRule="auto"/>
        <w:ind w:left="0" w:firstLine="709"/>
        <w:jc w:val="both"/>
        <w:rPr>
          <w:rFonts w:ascii="Times New Roman" w:hAnsi="Times New Roman" w:cs="Times New Roman"/>
          <w:bCs/>
          <w:sz w:val="24"/>
          <w:szCs w:val="24"/>
        </w:rPr>
      </w:pPr>
      <w:r>
        <w:rPr>
          <w:rFonts w:ascii="Times New Roman" w:eastAsia="Times New Roman" w:hAnsi="Times New Roman" w:cs="Times New Roman"/>
          <w:b/>
          <w:bCs/>
          <w:sz w:val="24"/>
          <w:szCs w:val="24"/>
        </w:rPr>
        <w:t>Республика Бурятия</w:t>
      </w:r>
      <w:r>
        <w:rPr>
          <w:rFonts w:ascii="Times New Roman" w:eastAsia="Times New Roman" w:hAnsi="Times New Roman" w:cs="Times New Roman"/>
          <w:bCs/>
          <w:sz w:val="24"/>
          <w:szCs w:val="24"/>
        </w:rPr>
        <w:t xml:space="preserve">. АО «Особая экономическая зона «Байкальская Гавань» на сумму 1 558 129 тыс. руб. (мощность 16 МВт); </w:t>
      </w:r>
    </w:p>
    <w:p w:rsidR="00D602D4" w:rsidRDefault="000B4C86">
      <w:pPr>
        <w:pStyle w:val="ac"/>
        <w:numPr>
          <w:ilvl w:val="0"/>
          <w:numId w:val="69"/>
        </w:numPr>
        <w:tabs>
          <w:tab w:val="left" w:pos="993"/>
        </w:tabs>
        <w:spacing w:after="0" w:line="240" w:lineRule="auto"/>
        <w:ind w:left="0" w:firstLine="709"/>
        <w:jc w:val="both"/>
        <w:rPr>
          <w:rFonts w:ascii="Times New Roman" w:hAnsi="Times New Roman" w:cs="Times New Roman"/>
          <w:bCs/>
          <w:sz w:val="24"/>
          <w:szCs w:val="24"/>
        </w:rPr>
      </w:pPr>
      <w:r>
        <w:rPr>
          <w:rFonts w:ascii="Times New Roman" w:eastAsia="Times New Roman" w:hAnsi="Times New Roman" w:cs="Times New Roman"/>
          <w:b/>
          <w:bCs/>
          <w:sz w:val="24"/>
          <w:szCs w:val="24"/>
        </w:rPr>
        <w:t>Кемеровская область</w:t>
      </w:r>
      <w:r>
        <w:rPr>
          <w:rFonts w:ascii="Times New Roman" w:eastAsia="Times New Roman" w:hAnsi="Times New Roman" w:cs="Times New Roman"/>
          <w:bCs/>
          <w:sz w:val="24"/>
          <w:szCs w:val="24"/>
        </w:rPr>
        <w:t>. Администрация Топкинского муниципального округа на сумму 2 093 484 тыс. руб. (мощность 225 МВт);</w:t>
      </w:r>
    </w:p>
    <w:p w:rsidR="00D602D4" w:rsidRDefault="000B4C86">
      <w:pPr>
        <w:pStyle w:val="ac"/>
        <w:numPr>
          <w:ilvl w:val="0"/>
          <w:numId w:val="69"/>
        </w:numPr>
        <w:tabs>
          <w:tab w:val="left" w:pos="993"/>
        </w:tabs>
        <w:spacing w:after="0" w:line="240" w:lineRule="auto"/>
        <w:ind w:left="0" w:firstLine="709"/>
        <w:jc w:val="both"/>
        <w:rPr>
          <w:rFonts w:ascii="Times New Roman" w:hAnsi="Times New Roman" w:cs="Times New Roman"/>
          <w:bCs/>
          <w:sz w:val="24"/>
          <w:szCs w:val="24"/>
        </w:rPr>
      </w:pPr>
      <w:r>
        <w:rPr>
          <w:rFonts w:ascii="Times New Roman" w:eastAsia="Times New Roman" w:hAnsi="Times New Roman" w:cs="Times New Roman"/>
          <w:b/>
          <w:bCs/>
          <w:sz w:val="24"/>
          <w:szCs w:val="24"/>
        </w:rPr>
        <w:t>Республика Хакасия.</w:t>
      </w:r>
      <w:r>
        <w:rPr>
          <w:rFonts w:ascii="Times New Roman" w:eastAsia="Times New Roman" w:hAnsi="Times New Roman" w:cs="Times New Roman"/>
          <w:bCs/>
          <w:sz w:val="24"/>
          <w:szCs w:val="24"/>
        </w:rPr>
        <w:t xml:space="preserve"> ООО «Угольная компания Разрез Бейский» на сумму 1 749 921 тыс. руб. (мощность 39 МВт), ООО «Сибполимер» на сумму 29 675 тыс. руб. (мощность 5 МВт);</w:t>
      </w:r>
    </w:p>
    <w:p w:rsidR="00D602D4" w:rsidRDefault="000B4C86">
      <w:pPr>
        <w:pStyle w:val="ac"/>
        <w:numPr>
          <w:ilvl w:val="0"/>
          <w:numId w:val="30"/>
        </w:numPr>
        <w:tabs>
          <w:tab w:val="left" w:pos="993"/>
        </w:tabs>
        <w:spacing w:after="0" w:line="240" w:lineRule="auto"/>
        <w:ind w:left="0" w:firstLine="709"/>
        <w:jc w:val="both"/>
        <w:rPr>
          <w:rFonts w:ascii="Times New Roman" w:hAnsi="Times New Roman" w:cs="Times New Roman"/>
          <w:bCs/>
          <w:sz w:val="24"/>
          <w:szCs w:val="24"/>
        </w:rPr>
      </w:pPr>
      <w:r>
        <w:rPr>
          <w:rFonts w:ascii="Times New Roman" w:eastAsia="Times New Roman" w:hAnsi="Times New Roman" w:cs="Times New Roman"/>
          <w:b/>
          <w:bCs/>
          <w:sz w:val="24"/>
          <w:szCs w:val="24"/>
        </w:rPr>
        <w:t>Забайкальский край.</w:t>
      </w:r>
      <w:r>
        <w:rPr>
          <w:rFonts w:ascii="Times New Roman" w:eastAsia="Times New Roman" w:hAnsi="Times New Roman" w:cs="Times New Roman"/>
          <w:bCs/>
          <w:sz w:val="24"/>
          <w:szCs w:val="24"/>
        </w:rPr>
        <w:t xml:space="preserve"> ООО "Желтугинская горнорудная компания" на сумму 2 679 тыс. руб. (мощность 3,5 МВт). </w:t>
      </w:r>
    </w:p>
    <w:p w:rsidR="00D602D4" w:rsidRDefault="000B4C86">
      <w:pPr>
        <w:spacing w:after="0" w:line="240" w:lineRule="auto"/>
        <w:ind w:firstLine="731"/>
        <w:jc w:val="right"/>
        <w:rPr>
          <w:rFonts w:ascii="Times New Roman" w:eastAsia="Times New Roman" w:hAnsi="Times New Roman" w:cs="Times New Roman"/>
          <w:sz w:val="24"/>
          <w:szCs w:val="24"/>
        </w:rPr>
      </w:pPr>
      <w:r>
        <w:rPr>
          <w:rFonts w:ascii="Times New Roman" w:eastAsia="Times New Roman" w:hAnsi="Times New Roman" w:cs="Times New Roman"/>
          <w:bCs/>
          <w:sz w:val="24"/>
          <w:szCs w:val="24"/>
        </w:rPr>
        <w:t xml:space="preserve">Таблица </w:t>
      </w:r>
      <w:r>
        <w:rPr>
          <w:rFonts w:ascii="Times New Roman" w:eastAsia="Times New Roman" w:hAnsi="Times New Roman" w:cs="Times New Roman"/>
          <w:sz w:val="24"/>
          <w:szCs w:val="24"/>
        </w:rPr>
        <w:t>40</w:t>
      </w:r>
    </w:p>
    <w:p w:rsidR="00D602D4" w:rsidRDefault="000B4C86">
      <w:pPr>
        <w:spacing w:after="0" w:line="240" w:lineRule="auto"/>
        <w:ind w:firstLine="731"/>
        <w:jc w:val="center"/>
        <w:rPr>
          <w:rFonts w:ascii="Times New Roman" w:hAnsi="Times New Roman" w:cs="Times New Roman"/>
          <w:bCs/>
          <w:sz w:val="24"/>
          <w:szCs w:val="24"/>
        </w:rPr>
      </w:pPr>
      <w:r>
        <w:rPr>
          <w:rFonts w:ascii="Times New Roman" w:eastAsia="Times New Roman" w:hAnsi="Times New Roman" w:cs="Times New Roman"/>
          <w:b/>
          <w:bCs/>
          <w:sz w:val="24"/>
          <w:szCs w:val="24"/>
        </w:rPr>
        <w:t>Показатели платы за технологическое присоединение (тарифная политика)</w:t>
      </w:r>
    </w:p>
    <w:p w:rsidR="00D602D4" w:rsidRDefault="00D602D4">
      <w:pPr>
        <w:spacing w:after="0" w:line="240" w:lineRule="auto"/>
        <w:ind w:firstLine="731"/>
        <w:jc w:val="right"/>
        <w:rPr>
          <w:rFonts w:ascii="Times New Roman" w:hAnsi="Times New Roman" w:cs="Times New Roman"/>
          <w:bCs/>
          <w:sz w:val="24"/>
          <w:szCs w:val="24"/>
        </w:rPr>
      </w:pPr>
    </w:p>
    <w:tbl>
      <w:tblPr>
        <w:tblStyle w:val="ae"/>
        <w:tblW w:w="9760" w:type="dxa"/>
        <w:tblInd w:w="123" w:type="dxa"/>
        <w:tblLayout w:type="fixed"/>
        <w:tblLook w:val="04A0" w:firstRow="1" w:lastRow="0" w:firstColumn="1" w:lastColumn="0" w:noHBand="0" w:noVBand="1"/>
      </w:tblPr>
      <w:tblGrid>
        <w:gridCol w:w="2830"/>
        <w:gridCol w:w="1560"/>
        <w:gridCol w:w="1281"/>
        <w:gridCol w:w="1282"/>
        <w:gridCol w:w="1282"/>
        <w:gridCol w:w="1525"/>
      </w:tblGrid>
      <w:tr w:rsidR="00D602D4">
        <w:tc>
          <w:tcPr>
            <w:tcW w:w="2830" w:type="dxa"/>
            <w:vMerge w:val="restart"/>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24"/>
                <w:szCs w:val="24"/>
              </w:rPr>
            </w:pPr>
            <w:r>
              <w:rPr>
                <w:rFonts w:ascii="Times New Roman" w:eastAsia="Times New Roman" w:hAnsi="Times New Roman" w:cs="Times New Roman"/>
                <w:b/>
                <w:bCs/>
                <w:color w:val="000000"/>
                <w:sz w:val="18"/>
                <w:szCs w:val="18"/>
                <w:lang w:eastAsia="ru-RU"/>
              </w:rPr>
              <w:t>Показатели</w:t>
            </w:r>
          </w:p>
        </w:tc>
        <w:tc>
          <w:tcPr>
            <w:tcW w:w="1560" w:type="dxa"/>
            <w:vMerge w:val="restart"/>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24"/>
                <w:szCs w:val="24"/>
              </w:rPr>
            </w:pPr>
            <w:r>
              <w:rPr>
                <w:rFonts w:ascii="Times New Roman" w:eastAsia="Times New Roman" w:hAnsi="Times New Roman" w:cs="Times New Roman"/>
                <w:b/>
                <w:bCs/>
                <w:color w:val="000000"/>
                <w:sz w:val="18"/>
                <w:szCs w:val="18"/>
                <w:lang w:eastAsia="ru-RU"/>
              </w:rPr>
              <w:t>Ед.изм.</w:t>
            </w:r>
          </w:p>
        </w:tc>
        <w:tc>
          <w:tcPr>
            <w:tcW w:w="5370" w:type="dxa"/>
            <w:gridSpan w:val="4"/>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24"/>
                <w:szCs w:val="24"/>
                <w:highlight w:val="yellow"/>
              </w:rPr>
            </w:pPr>
            <w:r>
              <w:rPr>
                <w:rFonts w:ascii="Times New Roman" w:eastAsia="Times New Roman" w:hAnsi="Times New Roman" w:cs="Times New Roman"/>
                <w:b/>
                <w:bCs/>
                <w:color w:val="000000"/>
                <w:sz w:val="18"/>
                <w:szCs w:val="18"/>
                <w:lang w:eastAsia="ru-RU"/>
              </w:rPr>
              <w:t>Период</w:t>
            </w:r>
          </w:p>
        </w:tc>
      </w:tr>
      <w:tr w:rsidR="00D602D4">
        <w:tc>
          <w:tcPr>
            <w:tcW w:w="2830" w:type="dxa"/>
            <w:vMerge/>
            <w:shd w:val="clear" w:color="FFFFFF" w:fill="E2EFD9" w:themeFill="accent6" w:themeFillTint="33"/>
          </w:tcPr>
          <w:p w:rsidR="00D602D4" w:rsidRDefault="00D602D4">
            <w:pPr>
              <w:jc w:val="both"/>
              <w:rPr>
                <w:rFonts w:ascii="Times New Roman" w:hAnsi="Times New Roman" w:cs="Times New Roman"/>
                <w:bCs/>
                <w:sz w:val="24"/>
                <w:szCs w:val="24"/>
              </w:rPr>
            </w:pPr>
          </w:p>
        </w:tc>
        <w:tc>
          <w:tcPr>
            <w:tcW w:w="1560" w:type="dxa"/>
            <w:vMerge/>
            <w:shd w:val="clear" w:color="FFFFFF" w:fill="E2EFD9" w:themeFill="accent6" w:themeFillTint="33"/>
          </w:tcPr>
          <w:p w:rsidR="00D602D4" w:rsidRDefault="00D602D4">
            <w:pPr>
              <w:jc w:val="both"/>
              <w:rPr>
                <w:rFonts w:ascii="Times New Roman" w:hAnsi="Times New Roman" w:cs="Times New Roman"/>
                <w:bCs/>
                <w:sz w:val="24"/>
                <w:szCs w:val="24"/>
              </w:rPr>
            </w:pPr>
          </w:p>
        </w:tc>
        <w:tc>
          <w:tcPr>
            <w:tcW w:w="1281" w:type="dxa"/>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24"/>
                <w:szCs w:val="24"/>
              </w:rPr>
            </w:pPr>
            <w:r>
              <w:rPr>
                <w:rFonts w:ascii="Times New Roman" w:eastAsia="Times New Roman" w:hAnsi="Times New Roman" w:cs="Times New Roman"/>
                <w:b/>
                <w:bCs/>
                <w:color w:val="000000"/>
                <w:sz w:val="18"/>
                <w:szCs w:val="18"/>
                <w:lang w:eastAsia="ru-RU"/>
              </w:rPr>
              <w:t>2022 год</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24"/>
                <w:szCs w:val="24"/>
              </w:rPr>
            </w:pPr>
            <w:r>
              <w:rPr>
                <w:rFonts w:ascii="Times New Roman" w:eastAsia="Times New Roman" w:hAnsi="Times New Roman" w:cs="Times New Roman"/>
                <w:b/>
                <w:bCs/>
                <w:color w:val="000000"/>
                <w:sz w:val="18"/>
                <w:szCs w:val="18"/>
                <w:lang w:eastAsia="ru-RU"/>
              </w:rPr>
              <w:t>2023 год</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24"/>
                <w:szCs w:val="24"/>
              </w:rPr>
            </w:pPr>
            <w:r>
              <w:rPr>
                <w:rFonts w:ascii="Times New Roman" w:eastAsia="Times New Roman" w:hAnsi="Times New Roman" w:cs="Times New Roman"/>
                <w:b/>
                <w:bCs/>
                <w:color w:val="000000"/>
                <w:sz w:val="18"/>
                <w:szCs w:val="18"/>
                <w:lang w:eastAsia="ru-RU"/>
              </w:rPr>
              <w:t>2024 год</w:t>
            </w:r>
          </w:p>
        </w:tc>
        <w:tc>
          <w:tcPr>
            <w:tcW w:w="1525" w:type="dxa"/>
            <w:shd w:val="clear" w:color="FFFFFF" w:themeColor="background1" w:fill="FFFFFF" w:themeFill="background1"/>
            <w:vAlign w:val="center"/>
          </w:tcPr>
          <w:p w:rsidR="00D602D4" w:rsidRDefault="000B4C86">
            <w:pPr>
              <w:widowControl w:val="0"/>
              <w:shd w:val="clear" w:color="FFFFFF" w:themeColor="background1" w:fill="FFFFFF" w:themeFill="background1"/>
              <w:tabs>
                <w:tab w:val="left" w:pos="751"/>
              </w:tabs>
              <w:spacing w:after="5" w:line="252" w:lineRule="auto"/>
              <w:ind w:right="-143"/>
              <w:jc w:val="center"/>
              <w:rPr>
                <w:rFonts w:ascii="Times New Roman" w:hAnsi="Times New Roman" w:cs="Times New Roman"/>
                <w:bCs/>
                <w:sz w:val="24"/>
                <w:szCs w:val="24"/>
              </w:rPr>
            </w:pPr>
            <w:r>
              <w:rPr>
                <w:rFonts w:ascii="Times New Roman" w:eastAsia="Times New Roman" w:hAnsi="Times New Roman" w:cs="Times New Roman"/>
                <w:b/>
                <w:bCs/>
                <w:color w:val="000000"/>
                <w:sz w:val="18"/>
                <w:szCs w:val="18"/>
                <w:lang w:eastAsia="ru-RU"/>
              </w:rPr>
              <w:t>Изменение 2024/2023, %</w:t>
            </w:r>
          </w:p>
        </w:tc>
      </w:tr>
      <w:tr w:rsidR="00D602D4">
        <w:tc>
          <w:tcPr>
            <w:tcW w:w="2830" w:type="dxa"/>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18"/>
                <w:szCs w:val="18"/>
              </w:rPr>
            </w:pPr>
            <w:r>
              <w:rPr>
                <w:rFonts w:ascii="Times New Roman" w:hAnsi="Times New Roman" w:cs="Times New Roman"/>
                <w:bCs/>
                <w:sz w:val="18"/>
                <w:szCs w:val="18"/>
              </w:rPr>
              <w:t>1</w:t>
            </w:r>
          </w:p>
        </w:tc>
        <w:tc>
          <w:tcPr>
            <w:tcW w:w="1560" w:type="dxa"/>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18"/>
                <w:szCs w:val="18"/>
              </w:rPr>
            </w:pPr>
            <w:r>
              <w:rPr>
                <w:rFonts w:ascii="Times New Roman" w:hAnsi="Times New Roman" w:cs="Times New Roman"/>
                <w:bCs/>
                <w:sz w:val="18"/>
                <w:szCs w:val="18"/>
              </w:rPr>
              <w:t>2</w:t>
            </w:r>
          </w:p>
        </w:tc>
        <w:tc>
          <w:tcPr>
            <w:tcW w:w="1281" w:type="dxa"/>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18"/>
                <w:szCs w:val="18"/>
              </w:rPr>
            </w:pPr>
            <w:r>
              <w:rPr>
                <w:rFonts w:ascii="Times New Roman" w:hAnsi="Times New Roman" w:cs="Times New Roman"/>
                <w:bCs/>
                <w:sz w:val="18"/>
                <w:szCs w:val="18"/>
              </w:rPr>
              <w:t>3</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18"/>
                <w:szCs w:val="18"/>
              </w:rPr>
            </w:pPr>
            <w:r>
              <w:rPr>
                <w:rFonts w:ascii="Times New Roman" w:hAnsi="Times New Roman" w:cs="Times New Roman"/>
                <w:bCs/>
                <w:sz w:val="18"/>
                <w:szCs w:val="18"/>
              </w:rPr>
              <w:t>4</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18"/>
                <w:szCs w:val="18"/>
              </w:rPr>
            </w:pPr>
            <w:r>
              <w:rPr>
                <w:rFonts w:ascii="Times New Roman" w:hAnsi="Times New Roman" w:cs="Times New Roman"/>
                <w:bCs/>
                <w:sz w:val="18"/>
                <w:szCs w:val="18"/>
              </w:rPr>
              <w:t>5</w:t>
            </w:r>
          </w:p>
        </w:tc>
        <w:tc>
          <w:tcPr>
            <w:tcW w:w="1525" w:type="dxa"/>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18"/>
                <w:szCs w:val="18"/>
              </w:rPr>
            </w:pPr>
            <w:r>
              <w:rPr>
                <w:rFonts w:ascii="Times New Roman" w:hAnsi="Times New Roman" w:cs="Times New Roman"/>
                <w:bCs/>
                <w:sz w:val="18"/>
                <w:szCs w:val="18"/>
              </w:rPr>
              <w:t>6</w:t>
            </w:r>
          </w:p>
        </w:tc>
      </w:tr>
      <w:tr w:rsidR="00D602D4">
        <w:tc>
          <w:tcPr>
            <w:tcW w:w="9760" w:type="dxa"/>
            <w:gridSpan w:val="6"/>
            <w:shd w:val="clear" w:color="FFFFFF" w:themeColor="background1" w:fill="FFFFFF" w:themeFill="background1"/>
            <w:vAlign w:val="center"/>
          </w:tcPr>
          <w:p w:rsidR="00D602D4" w:rsidRDefault="000B4C86">
            <w:pPr>
              <w:shd w:val="clear" w:color="FFFFFF" w:themeColor="background1" w:fill="FFFFFF" w:themeFill="background1"/>
              <w:jc w:val="center"/>
              <w:rPr>
                <w:rFonts w:ascii="Times New Roman" w:hAnsi="Times New Roman" w:cs="Times New Roman"/>
                <w:bCs/>
                <w:sz w:val="18"/>
                <w:szCs w:val="18"/>
              </w:rPr>
            </w:pPr>
            <w:r>
              <w:rPr>
                <w:rFonts w:ascii="Times New Roman" w:hAnsi="Times New Roman" w:cs="Times New Roman"/>
                <w:bCs/>
                <w:sz w:val="18"/>
                <w:szCs w:val="18"/>
              </w:rPr>
              <w:t>Стандартизированные тарифные ставки на покрытие расходов на технологическое присоединение энергопринимающих устройств потребителей электрической энергии, объектов электросетевого хозяйства, принадлежащих сетевым организациям и иным лицам, по мероприятиям, указанным в пункте 16а Методических указаний ФАС России</w:t>
            </w:r>
          </w:p>
        </w:tc>
      </w:tr>
      <w:tr w:rsidR="00D602D4">
        <w:tc>
          <w:tcPr>
            <w:tcW w:w="2830"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ind w:right="39"/>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color w:val="000000"/>
                <w:sz w:val="20"/>
                <w:szCs w:val="16"/>
                <w:lang w:eastAsia="ru-RU"/>
              </w:rPr>
              <w:t>Алтайский край</w:t>
            </w:r>
          </w:p>
        </w:tc>
        <w:tc>
          <w:tcPr>
            <w:tcW w:w="1560" w:type="dxa"/>
            <w:vMerge w:val="restart"/>
            <w:shd w:val="clear" w:color="FFFFFF" w:themeColor="background1" w:fill="FFFFFF" w:themeFill="background1"/>
          </w:tcPr>
          <w:p w:rsidR="00D602D4" w:rsidRDefault="00D602D4">
            <w:pPr>
              <w:shd w:val="clear" w:color="FFFFFF" w:themeColor="background1" w:fill="FFFFFF" w:themeFill="background1"/>
              <w:tabs>
                <w:tab w:val="left" w:pos="9356"/>
              </w:tabs>
              <w:spacing w:after="5" w:line="252" w:lineRule="auto"/>
              <w:ind w:left="-104"/>
              <w:jc w:val="center"/>
              <w:outlineLvl w:val="2"/>
              <w:rPr>
                <w:rFonts w:ascii="Times New Roman" w:eastAsia="Times New Roman" w:hAnsi="Times New Roman" w:cs="Times New Roman"/>
                <w:bCs/>
                <w:color w:val="000000"/>
                <w:sz w:val="20"/>
                <w:szCs w:val="20"/>
                <w:lang w:eastAsia="ru-RU"/>
              </w:rPr>
            </w:pPr>
          </w:p>
        </w:tc>
        <w:tc>
          <w:tcPr>
            <w:tcW w:w="1281"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2 422</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2 783</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3 022</w:t>
            </w:r>
          </w:p>
        </w:tc>
        <w:tc>
          <w:tcPr>
            <w:tcW w:w="1525"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9%</w:t>
            </w:r>
          </w:p>
        </w:tc>
      </w:tr>
      <w:tr w:rsidR="00D602D4">
        <w:tc>
          <w:tcPr>
            <w:tcW w:w="2830"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ind w:right="39"/>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color w:val="000000"/>
                <w:sz w:val="20"/>
                <w:szCs w:val="16"/>
                <w:lang w:eastAsia="ru-RU"/>
              </w:rPr>
              <w:t>Республика Бурятия</w:t>
            </w:r>
          </w:p>
        </w:tc>
        <w:tc>
          <w:tcPr>
            <w:tcW w:w="1560" w:type="dxa"/>
            <w:vMerge/>
            <w:shd w:val="clear" w:color="FFFFFF" w:fill="E2EFD9" w:themeFill="accent6" w:themeFillTint="33"/>
          </w:tcPr>
          <w:p w:rsidR="00D602D4" w:rsidRDefault="00D602D4">
            <w:pPr>
              <w:tabs>
                <w:tab w:val="left" w:pos="9356"/>
              </w:tabs>
              <w:spacing w:after="5" w:line="252" w:lineRule="auto"/>
              <w:ind w:left="-104"/>
              <w:jc w:val="center"/>
              <w:outlineLvl w:val="2"/>
              <w:rPr>
                <w:rFonts w:ascii="Times New Roman" w:eastAsia="Times New Roman" w:hAnsi="Times New Roman" w:cs="Times New Roman"/>
                <w:bCs/>
                <w:color w:val="000000"/>
                <w:sz w:val="20"/>
                <w:szCs w:val="20"/>
                <w:lang w:eastAsia="ru-RU"/>
              </w:rPr>
            </w:pPr>
          </w:p>
        </w:tc>
        <w:tc>
          <w:tcPr>
            <w:tcW w:w="1281"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5 031</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6 194</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6 184</w:t>
            </w:r>
          </w:p>
        </w:tc>
        <w:tc>
          <w:tcPr>
            <w:tcW w:w="1525"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0%</w:t>
            </w:r>
          </w:p>
        </w:tc>
      </w:tr>
      <w:tr w:rsidR="00D602D4">
        <w:tc>
          <w:tcPr>
            <w:tcW w:w="2830"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ind w:right="39"/>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color w:val="000000"/>
                <w:sz w:val="20"/>
                <w:szCs w:val="16"/>
                <w:lang w:eastAsia="ru-RU"/>
              </w:rPr>
              <w:t>Республика Алтай</w:t>
            </w:r>
          </w:p>
        </w:tc>
        <w:tc>
          <w:tcPr>
            <w:tcW w:w="1560" w:type="dxa"/>
            <w:vMerge/>
            <w:shd w:val="clear" w:color="FFFFFF" w:fill="E2EFD9" w:themeFill="accent6" w:themeFillTint="33"/>
          </w:tcPr>
          <w:p w:rsidR="00D602D4" w:rsidRDefault="00D602D4">
            <w:pPr>
              <w:tabs>
                <w:tab w:val="left" w:pos="9356"/>
              </w:tabs>
              <w:spacing w:after="5" w:line="252" w:lineRule="auto"/>
              <w:ind w:left="-104"/>
              <w:jc w:val="center"/>
              <w:outlineLvl w:val="2"/>
              <w:rPr>
                <w:rFonts w:ascii="Times New Roman" w:eastAsia="Times New Roman" w:hAnsi="Times New Roman" w:cs="Times New Roman"/>
                <w:bCs/>
                <w:color w:val="000000"/>
                <w:sz w:val="20"/>
                <w:szCs w:val="20"/>
                <w:lang w:eastAsia="ru-RU"/>
              </w:rPr>
            </w:pPr>
          </w:p>
        </w:tc>
        <w:tc>
          <w:tcPr>
            <w:tcW w:w="1281"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8 072</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11 973</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10 951</w:t>
            </w:r>
          </w:p>
        </w:tc>
        <w:tc>
          <w:tcPr>
            <w:tcW w:w="1525"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-9%</w:t>
            </w:r>
          </w:p>
        </w:tc>
      </w:tr>
      <w:tr w:rsidR="00D602D4">
        <w:tc>
          <w:tcPr>
            <w:tcW w:w="2830"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ind w:right="39"/>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color w:val="000000"/>
                <w:sz w:val="20"/>
                <w:szCs w:val="16"/>
                <w:lang w:eastAsia="ru-RU"/>
              </w:rPr>
              <w:t>Красноярский край</w:t>
            </w:r>
          </w:p>
        </w:tc>
        <w:tc>
          <w:tcPr>
            <w:tcW w:w="1560" w:type="dxa"/>
            <w:vMerge w:val="restart"/>
            <w:shd w:val="clear" w:color="FFFFFF" w:themeColor="background1" w:fill="FFFFFF" w:themeFill="background1"/>
          </w:tcPr>
          <w:p w:rsidR="00D602D4" w:rsidRDefault="000B4C86">
            <w:pPr>
              <w:shd w:val="clear" w:color="FFFFFF" w:themeColor="background1" w:fill="FFFFFF" w:themeFill="background1"/>
              <w:tabs>
                <w:tab w:val="left" w:pos="9356"/>
              </w:tabs>
              <w:spacing w:after="5" w:line="252" w:lineRule="auto"/>
              <w:ind w:left="-104"/>
              <w:jc w:val="center"/>
              <w:outlineLvl w:val="2"/>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
                <w:bCs/>
                <w:color w:val="000000"/>
                <w:sz w:val="20"/>
                <w:szCs w:val="20"/>
                <w:lang w:eastAsia="ru-RU"/>
              </w:rPr>
              <w:t>руб. за одно присоединение</w:t>
            </w:r>
          </w:p>
        </w:tc>
        <w:tc>
          <w:tcPr>
            <w:tcW w:w="1281"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4 373</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4 766</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5 100</w:t>
            </w:r>
          </w:p>
        </w:tc>
        <w:tc>
          <w:tcPr>
            <w:tcW w:w="1525"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7%</w:t>
            </w:r>
          </w:p>
        </w:tc>
      </w:tr>
      <w:tr w:rsidR="00D602D4">
        <w:tc>
          <w:tcPr>
            <w:tcW w:w="2830"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ind w:right="39"/>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color w:val="000000"/>
                <w:sz w:val="20"/>
                <w:szCs w:val="16"/>
                <w:lang w:eastAsia="ru-RU"/>
              </w:rPr>
              <w:t>Кемеровская область</w:t>
            </w:r>
          </w:p>
        </w:tc>
        <w:tc>
          <w:tcPr>
            <w:tcW w:w="1560" w:type="dxa"/>
            <w:vMerge/>
            <w:shd w:val="clear" w:color="FFFFFF" w:fill="E2EFD9" w:themeFill="accent6" w:themeFillTint="33"/>
          </w:tcPr>
          <w:p w:rsidR="00D602D4" w:rsidRDefault="00D602D4">
            <w:pPr>
              <w:tabs>
                <w:tab w:val="left" w:pos="9356"/>
              </w:tabs>
              <w:spacing w:after="5" w:line="252" w:lineRule="auto"/>
              <w:ind w:left="-104"/>
              <w:jc w:val="center"/>
              <w:outlineLvl w:val="2"/>
              <w:rPr>
                <w:rFonts w:ascii="Times New Roman" w:eastAsia="Times New Roman" w:hAnsi="Times New Roman" w:cs="Times New Roman"/>
                <w:bCs/>
                <w:color w:val="000000"/>
                <w:sz w:val="20"/>
                <w:szCs w:val="20"/>
                <w:lang w:eastAsia="ru-RU"/>
              </w:rPr>
            </w:pPr>
          </w:p>
        </w:tc>
        <w:tc>
          <w:tcPr>
            <w:tcW w:w="1281"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3 860</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6 420</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6 350</w:t>
            </w:r>
          </w:p>
        </w:tc>
        <w:tc>
          <w:tcPr>
            <w:tcW w:w="1525"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-1%</w:t>
            </w:r>
          </w:p>
        </w:tc>
      </w:tr>
      <w:tr w:rsidR="00D602D4">
        <w:tc>
          <w:tcPr>
            <w:tcW w:w="2830"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ind w:right="39"/>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color w:val="000000"/>
                <w:sz w:val="20"/>
                <w:szCs w:val="16"/>
                <w:lang w:eastAsia="ru-RU"/>
              </w:rPr>
              <w:t>Омская область</w:t>
            </w:r>
          </w:p>
        </w:tc>
        <w:tc>
          <w:tcPr>
            <w:tcW w:w="1560" w:type="dxa"/>
            <w:vMerge/>
            <w:shd w:val="clear" w:color="FFFFFF" w:fill="E2EFD9" w:themeFill="accent6" w:themeFillTint="33"/>
          </w:tcPr>
          <w:p w:rsidR="00D602D4" w:rsidRDefault="00D602D4">
            <w:pPr>
              <w:tabs>
                <w:tab w:val="left" w:pos="9356"/>
              </w:tabs>
              <w:spacing w:after="5" w:line="252" w:lineRule="auto"/>
              <w:ind w:left="-104"/>
              <w:jc w:val="center"/>
              <w:outlineLvl w:val="2"/>
              <w:rPr>
                <w:rFonts w:ascii="Times New Roman" w:eastAsia="Times New Roman" w:hAnsi="Times New Roman" w:cs="Times New Roman"/>
                <w:bCs/>
                <w:color w:val="000000"/>
                <w:sz w:val="20"/>
                <w:szCs w:val="20"/>
                <w:lang w:eastAsia="ru-RU"/>
              </w:rPr>
            </w:pPr>
          </w:p>
        </w:tc>
        <w:tc>
          <w:tcPr>
            <w:tcW w:w="1281"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12 412</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13 949</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16 507</w:t>
            </w:r>
          </w:p>
        </w:tc>
        <w:tc>
          <w:tcPr>
            <w:tcW w:w="1525"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18%</w:t>
            </w:r>
          </w:p>
        </w:tc>
      </w:tr>
      <w:tr w:rsidR="00D602D4">
        <w:tc>
          <w:tcPr>
            <w:tcW w:w="2830"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ind w:right="39"/>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color w:val="000000"/>
                <w:sz w:val="20"/>
                <w:szCs w:val="16"/>
                <w:lang w:eastAsia="ru-RU"/>
              </w:rPr>
              <w:t>Республика Хакасия</w:t>
            </w:r>
          </w:p>
        </w:tc>
        <w:tc>
          <w:tcPr>
            <w:tcW w:w="1560" w:type="dxa"/>
            <w:vMerge/>
            <w:shd w:val="clear" w:color="FFFFFF" w:fill="E2EFD9" w:themeFill="accent6" w:themeFillTint="33"/>
          </w:tcPr>
          <w:p w:rsidR="00D602D4" w:rsidRDefault="00D602D4">
            <w:pPr>
              <w:tabs>
                <w:tab w:val="left" w:pos="9356"/>
              </w:tabs>
              <w:spacing w:after="5" w:line="252" w:lineRule="auto"/>
              <w:ind w:left="-104"/>
              <w:jc w:val="center"/>
              <w:outlineLvl w:val="2"/>
              <w:rPr>
                <w:rFonts w:ascii="Times New Roman" w:eastAsia="Times New Roman" w:hAnsi="Times New Roman" w:cs="Times New Roman"/>
                <w:bCs/>
                <w:color w:val="000000"/>
                <w:sz w:val="20"/>
                <w:szCs w:val="20"/>
                <w:lang w:eastAsia="ru-RU"/>
              </w:rPr>
            </w:pPr>
          </w:p>
        </w:tc>
        <w:tc>
          <w:tcPr>
            <w:tcW w:w="1281"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1 280</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2 327</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2 184</w:t>
            </w:r>
          </w:p>
        </w:tc>
        <w:tc>
          <w:tcPr>
            <w:tcW w:w="1525"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-6%</w:t>
            </w:r>
          </w:p>
        </w:tc>
      </w:tr>
      <w:tr w:rsidR="00D602D4">
        <w:tc>
          <w:tcPr>
            <w:tcW w:w="2830"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ind w:right="39"/>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color w:val="000000"/>
                <w:sz w:val="20"/>
                <w:szCs w:val="16"/>
                <w:lang w:eastAsia="ru-RU"/>
              </w:rPr>
              <w:t>Забайкальский край</w:t>
            </w:r>
          </w:p>
        </w:tc>
        <w:tc>
          <w:tcPr>
            <w:tcW w:w="1560" w:type="dxa"/>
            <w:vMerge/>
            <w:shd w:val="clear" w:color="FFFFFF" w:fill="E2EFD9" w:themeFill="accent6" w:themeFillTint="33"/>
          </w:tcPr>
          <w:p w:rsidR="00D602D4" w:rsidRDefault="00D602D4">
            <w:pPr>
              <w:tabs>
                <w:tab w:val="left" w:pos="9356"/>
              </w:tabs>
              <w:spacing w:after="5" w:line="252" w:lineRule="auto"/>
              <w:ind w:left="-104"/>
              <w:jc w:val="center"/>
              <w:outlineLvl w:val="2"/>
              <w:rPr>
                <w:rFonts w:ascii="Times New Roman" w:eastAsia="Times New Roman" w:hAnsi="Times New Roman" w:cs="Times New Roman"/>
                <w:bCs/>
                <w:color w:val="000000"/>
                <w:sz w:val="20"/>
                <w:szCs w:val="20"/>
                <w:lang w:eastAsia="ru-RU"/>
              </w:rPr>
            </w:pPr>
          </w:p>
        </w:tc>
        <w:tc>
          <w:tcPr>
            <w:tcW w:w="1281"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3 052</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3 332</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3 418</w:t>
            </w:r>
          </w:p>
        </w:tc>
        <w:tc>
          <w:tcPr>
            <w:tcW w:w="1525"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Cs/>
                <w:color w:val="000000"/>
                <w:sz w:val="20"/>
                <w:szCs w:val="20"/>
              </w:rPr>
            </w:pPr>
            <w:r>
              <w:rPr>
                <w:rFonts w:ascii="Times New Roman" w:hAnsi="Times New Roman" w:cs="Times New Roman"/>
                <w:color w:val="000000"/>
                <w:sz w:val="20"/>
                <w:szCs w:val="20"/>
              </w:rPr>
              <w:t>3%</w:t>
            </w:r>
          </w:p>
        </w:tc>
      </w:tr>
      <w:tr w:rsidR="00D602D4">
        <w:tc>
          <w:tcPr>
            <w:tcW w:w="2830"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ind w:right="39"/>
              <w:jc w:val="center"/>
              <w:rPr>
                <w:rFonts w:ascii="Times New Roman" w:eastAsia="Times New Roman" w:hAnsi="Times New Roman" w:cs="Times New Roman"/>
                <w:b/>
                <w:bCs/>
                <w:color w:val="000000"/>
                <w:sz w:val="20"/>
                <w:szCs w:val="20"/>
                <w:highlight w:val="yellow"/>
                <w:lang w:eastAsia="ru-RU"/>
              </w:rPr>
            </w:pPr>
            <w:r>
              <w:rPr>
                <w:rFonts w:ascii="Times New Roman" w:eastAsia="Times New Roman" w:hAnsi="Times New Roman" w:cs="Times New Roman"/>
                <w:b/>
                <w:bCs/>
                <w:color w:val="000000"/>
                <w:sz w:val="20"/>
                <w:szCs w:val="20"/>
                <w:lang w:eastAsia="ru-RU"/>
              </w:rPr>
              <w:t>Средняя ставка</w:t>
            </w:r>
          </w:p>
        </w:tc>
        <w:tc>
          <w:tcPr>
            <w:tcW w:w="1560" w:type="dxa"/>
            <w:vMerge/>
            <w:shd w:val="clear" w:color="FFFFFF" w:fill="E2EFD9" w:themeFill="accent6" w:themeFillTint="33"/>
            <w:vAlign w:val="center"/>
          </w:tcPr>
          <w:p w:rsidR="00D602D4" w:rsidRDefault="00D602D4">
            <w:pPr>
              <w:tabs>
                <w:tab w:val="left" w:pos="9356"/>
              </w:tabs>
              <w:spacing w:after="5" w:line="252" w:lineRule="auto"/>
              <w:ind w:left="-104"/>
              <w:jc w:val="center"/>
              <w:outlineLvl w:val="2"/>
              <w:rPr>
                <w:rFonts w:ascii="Times New Roman" w:eastAsia="Times New Roman" w:hAnsi="Times New Roman" w:cs="Times New Roman"/>
                <w:b/>
                <w:bCs/>
                <w:color w:val="000000"/>
                <w:sz w:val="20"/>
                <w:szCs w:val="20"/>
                <w:lang w:eastAsia="ru-RU"/>
              </w:rPr>
            </w:pPr>
          </w:p>
        </w:tc>
        <w:tc>
          <w:tcPr>
            <w:tcW w:w="1281"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
                <w:bCs/>
                <w:color w:val="000000"/>
                <w:sz w:val="20"/>
                <w:szCs w:val="20"/>
              </w:rPr>
            </w:pPr>
            <w:r>
              <w:rPr>
                <w:rFonts w:ascii="Times New Roman" w:hAnsi="Times New Roman" w:cs="Times New Roman"/>
                <w:b/>
                <w:bCs/>
                <w:color w:val="000000"/>
                <w:sz w:val="20"/>
                <w:szCs w:val="20"/>
              </w:rPr>
              <w:t>5 063</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
                <w:bCs/>
                <w:color w:val="000000"/>
                <w:sz w:val="20"/>
                <w:szCs w:val="20"/>
              </w:rPr>
            </w:pPr>
            <w:r>
              <w:rPr>
                <w:rFonts w:ascii="Times New Roman" w:hAnsi="Times New Roman" w:cs="Times New Roman"/>
                <w:b/>
                <w:bCs/>
                <w:color w:val="000000"/>
                <w:sz w:val="20"/>
                <w:szCs w:val="20"/>
              </w:rPr>
              <w:t>6 468</w:t>
            </w:r>
          </w:p>
        </w:tc>
        <w:tc>
          <w:tcPr>
            <w:tcW w:w="1282"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
                <w:bCs/>
                <w:color w:val="000000"/>
                <w:sz w:val="20"/>
                <w:szCs w:val="20"/>
              </w:rPr>
            </w:pPr>
            <w:r>
              <w:rPr>
                <w:rFonts w:ascii="Times New Roman" w:hAnsi="Times New Roman" w:cs="Times New Roman"/>
                <w:b/>
                <w:bCs/>
                <w:color w:val="000000"/>
                <w:sz w:val="20"/>
                <w:szCs w:val="20"/>
              </w:rPr>
              <w:t>6 714</w:t>
            </w:r>
          </w:p>
        </w:tc>
        <w:tc>
          <w:tcPr>
            <w:tcW w:w="1525" w:type="dxa"/>
            <w:shd w:val="clear" w:color="FFFFFF" w:themeColor="background1" w:fill="FFFFFF" w:themeFill="background1"/>
            <w:vAlign w:val="center"/>
          </w:tcPr>
          <w:p w:rsidR="00D602D4" w:rsidRDefault="000B4C86">
            <w:pPr>
              <w:shd w:val="clear" w:color="FFFFFF" w:themeColor="background1" w:fill="FFFFFF" w:themeFill="background1"/>
              <w:tabs>
                <w:tab w:val="left" w:pos="9356"/>
              </w:tabs>
              <w:spacing w:after="5" w:line="252" w:lineRule="auto"/>
              <w:jc w:val="center"/>
              <w:outlineLvl w:val="2"/>
              <w:rPr>
                <w:rFonts w:ascii="Times New Roman" w:eastAsia="Times New Roman" w:hAnsi="Times New Roman" w:cs="Times New Roman"/>
                <w:b/>
                <w:bCs/>
                <w:color w:val="000000"/>
                <w:sz w:val="20"/>
                <w:szCs w:val="20"/>
              </w:rPr>
            </w:pPr>
            <w:r>
              <w:rPr>
                <w:rFonts w:ascii="Times New Roman" w:hAnsi="Times New Roman" w:cs="Times New Roman"/>
                <w:b/>
                <w:bCs/>
                <w:color w:val="000000"/>
                <w:sz w:val="20"/>
                <w:szCs w:val="20"/>
              </w:rPr>
              <w:t>4%</w:t>
            </w:r>
          </w:p>
        </w:tc>
      </w:tr>
    </w:tbl>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lastRenderedPageBreak/>
        <w:t>По Республике Алтай, Кемеровской области и Республике Хакасия стандартизированные ставки на покрытие расходов на технологическое присоединение энергопринимающих устройств потребителей электрической энергии, объектов электросетевого хозяйства, принадлежащих сетевым организациям и иным лицам, по мероприятиям, указанным в пункте 16а Методических указаний ФАС России в 2024 году к 2023 году незначительно снижены в связи с влиянием на стандартизированную ставку расходов по прочим ТСО региона.</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Прирост средней стандартизированной ставки по всем регионам присутствия в 2024 году к 2023 году составляет 4%.</w:t>
      </w:r>
    </w:p>
    <w:p w:rsidR="00D602D4" w:rsidRDefault="00D602D4">
      <w:pPr>
        <w:spacing w:after="0" w:line="240" w:lineRule="auto"/>
        <w:jc w:val="both"/>
        <w:rPr>
          <w:rFonts w:ascii="Times New Roman" w:hAnsi="Times New Roman" w:cs="Times New Roman"/>
          <w:bCs/>
          <w:sz w:val="24"/>
          <w:szCs w:val="24"/>
        </w:rPr>
      </w:pPr>
    </w:p>
    <w:p w:rsidR="00D602D4" w:rsidRDefault="000B4C8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Утвержденные ставки платы за технологическое присоединение в разрезе филиалов</w:t>
      </w:r>
    </w:p>
    <w:p w:rsidR="00D602D4" w:rsidRDefault="00D602D4">
      <w:pPr>
        <w:spacing w:after="0" w:line="240" w:lineRule="auto"/>
        <w:ind w:firstLine="709"/>
        <w:jc w:val="center"/>
        <w:rPr>
          <w:rFonts w:ascii="Times New Roman" w:hAnsi="Times New Roman" w:cs="Times New Roman"/>
          <w:b/>
          <w:sz w:val="24"/>
          <w:szCs w:val="24"/>
        </w:rPr>
      </w:pPr>
    </w:p>
    <w:p w:rsidR="00D602D4" w:rsidRDefault="000B4C86">
      <w:pPr>
        <w:widowControl w:val="0"/>
        <w:spacing w:after="0" w:line="240" w:lineRule="auto"/>
        <w:ind w:firstLine="709"/>
        <w:jc w:val="both"/>
        <w:rPr>
          <w:rFonts w:ascii="Times New Roman" w:hAnsi="Times New Roman" w:cs="Times New Roman"/>
          <w:sz w:val="24"/>
          <w:szCs w:val="24"/>
          <w:highlight w:val="green"/>
        </w:rPr>
      </w:pPr>
      <w:r>
        <w:rPr>
          <w:rFonts w:ascii="Times New Roman" w:hAnsi="Times New Roman" w:cs="Times New Roman"/>
          <w:sz w:val="24"/>
          <w:szCs w:val="24"/>
        </w:rPr>
        <w:t xml:space="preserve">Информация о плате за технологическое присоединение к сетям ПАО «Россети Сибирь» в 2024 году расположена в сети интернет по адресу: </w:t>
      </w:r>
      <w:hyperlink w:history="1">
        <w:r>
          <w:rPr>
            <w:rStyle w:val="ab"/>
            <w:rFonts w:ascii="Times New Roman" w:hAnsi="Times New Roman"/>
            <w:sz w:val="24"/>
            <w:szCs w:val="24"/>
          </w:rPr>
          <w:t>https://www.rosseti-sib.ru/raskritie-informatsii/raskrytie-informatsii-subektom-optovogo-i-roznichnogo-rynkov-elektroenergii/predlozheniya-o-razmere-platy-za-tekhnologicheskoe-prisoedinenie-k-elektricheskim-setyam/</w:t>
        </w:r>
      </w:hyperlink>
      <w:r>
        <w:rPr>
          <w:rFonts w:ascii="Times New Roman" w:hAnsi="Times New Roman" w:cs="Times New Roman"/>
          <w:sz w:val="24"/>
          <w:szCs w:val="24"/>
        </w:rPr>
        <w:t xml:space="preserve"> </w:t>
      </w:r>
    </w:p>
    <w:p w:rsidR="00D602D4" w:rsidRDefault="000B4C86">
      <w:pPr>
        <w:widowControl w:val="0"/>
        <w:spacing w:after="0" w:line="240" w:lineRule="auto"/>
        <w:ind w:firstLine="709"/>
        <w:jc w:val="both"/>
        <w:rPr>
          <w:rFonts w:ascii="Times New Roman" w:eastAsia="Calibri" w:hAnsi="Times New Roman" w:cs="Times New Roman"/>
          <w:b/>
          <w:sz w:val="24"/>
          <w:szCs w:val="24"/>
          <w:highlight w:val="green"/>
        </w:rPr>
      </w:pPr>
      <w:r>
        <w:rPr>
          <w:rFonts w:ascii="Times New Roman" w:hAnsi="Times New Roman" w:cs="Times New Roman"/>
          <w:sz w:val="24"/>
          <w:szCs w:val="24"/>
        </w:rPr>
        <w:t>(Официальный сайт ПАО «Россети Сибирь»/Раскрытие информации/Раскрытие информации субъектом оптового и розничного рынков электроэнергии/Плата за технологическое присоединение к электрическим сетям филиалов ПАО «Россети Сибирь» /Плата за технологическое присоединение к электрическим сетям филиалов и РСК ПАО «Россети Сибирь» за 2024 год)</w:t>
      </w:r>
    </w:p>
    <w:p w:rsidR="00D602D4" w:rsidRDefault="000B4C86">
      <w:pPr>
        <w:spacing w:after="0" w:line="240" w:lineRule="auto"/>
        <w:ind w:firstLine="709"/>
        <w:jc w:val="center"/>
        <w:rPr>
          <w:rFonts w:ascii="Times New Roman" w:eastAsia="Calibri" w:hAnsi="Times New Roman" w:cs="Times New Roman"/>
          <w:b/>
          <w:sz w:val="24"/>
          <w:szCs w:val="24"/>
        </w:rPr>
      </w:pPr>
      <w:r>
        <w:rPr>
          <w:rFonts w:ascii="Times New Roman" w:eastAsia="Calibri" w:hAnsi="Times New Roman" w:cs="Times New Roman"/>
          <w:b/>
          <w:sz w:val="24"/>
          <w:szCs w:val="24"/>
        </w:rPr>
        <w:t>«Алтайэнерго»</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Решением Управления Алтайского края по государственному регулированию цен и тарифов от 30.11.2023 №278 (с изм. от 19.12.2023 №477, от 14.02.2024 №12, от 12.03.2024 №15, от 03.04.2024 №37, от 15.05.2024 №50, от 13.06.2024 №69) утверждены единые по региону стандартизированные ставки С1, С2, С3, С4, С5, С6</w:t>
      </w:r>
      <w:r>
        <w:rPr>
          <w:rFonts w:ascii="Times New Roman" w:hAnsi="Times New Roman" w:cs="Times New Roman"/>
          <w:color w:val="000000"/>
          <w:sz w:val="24"/>
          <w:szCs w:val="24"/>
        </w:rPr>
        <w:t xml:space="preserve">, </w:t>
      </w:r>
      <w:r>
        <w:rPr>
          <w:rFonts w:ascii="Times New Roman" w:eastAsia="Calibri" w:hAnsi="Times New Roman" w:cs="Times New Roman"/>
          <w:sz w:val="24"/>
          <w:szCs w:val="24"/>
        </w:rPr>
        <w:t xml:space="preserve">С7 и С8, льготные ставки за 1 кВт, </w:t>
      </w:r>
      <w:r>
        <w:rPr>
          <w:rFonts w:ascii="Times New Roman" w:hAnsi="Times New Roman"/>
          <w:sz w:val="24"/>
        </w:rPr>
        <w:t xml:space="preserve">формулы расчета платы за технологическое присоединение. Ставки устанавливаются </w:t>
      </w:r>
      <w:r>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 типам используемого оборудования</w:t>
      </w:r>
      <w:r>
        <w:rPr>
          <w:rFonts w:ascii="Times New Roman" w:eastAsia="Calibri" w:hAnsi="Times New Roman" w:cs="Times New Roman"/>
          <w:sz w:val="24"/>
          <w:szCs w:val="24"/>
        </w:rPr>
        <w:t xml:space="preserve">. </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Плановые выпадающие доходы от присоединения льготных категорий заявителей утверждены в размере 88 431,90 тыс. руб. </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Учтенные в НВВ выпадающие доходы от присоединения льготных категорий заявителей определены в размере 4 250,13 тыс. руб.</w:t>
      </w:r>
    </w:p>
    <w:p w:rsidR="00D602D4" w:rsidRDefault="00D602D4">
      <w:pPr>
        <w:spacing w:after="0" w:line="240" w:lineRule="auto"/>
        <w:ind w:firstLine="709"/>
        <w:jc w:val="center"/>
        <w:rPr>
          <w:rFonts w:ascii="Times New Roman" w:hAnsi="Times New Roman" w:cs="Times New Roman"/>
          <w:b/>
          <w:color w:val="000000"/>
          <w:sz w:val="24"/>
          <w:szCs w:val="24"/>
        </w:rPr>
      </w:pPr>
    </w:p>
    <w:p w:rsidR="00D602D4" w:rsidRDefault="000B4C86">
      <w:pPr>
        <w:spacing w:after="0" w:line="240" w:lineRule="auto"/>
        <w:ind w:firstLine="709"/>
        <w:jc w:val="center"/>
        <w:rPr>
          <w:rFonts w:ascii="Times New Roman" w:hAnsi="Times New Roman" w:cs="Times New Roman"/>
          <w:b/>
          <w:color w:val="000000"/>
          <w:sz w:val="24"/>
          <w:szCs w:val="24"/>
        </w:rPr>
      </w:pPr>
      <w:r>
        <w:rPr>
          <w:rFonts w:ascii="Times New Roman" w:hAnsi="Times New Roman" w:cs="Times New Roman"/>
          <w:b/>
          <w:color w:val="000000"/>
          <w:sz w:val="24"/>
          <w:szCs w:val="24"/>
        </w:rPr>
        <w:t>«Алтайэнерго» («Горно-Алтайские электрические сети» (ГАЭС))</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hAnsi="Times New Roman" w:cs="Times New Roman"/>
          <w:color w:val="000000"/>
          <w:sz w:val="24"/>
          <w:szCs w:val="24"/>
        </w:rPr>
        <w:t xml:space="preserve">Приказом Комитета по тарифам Республики Алтай от 01.12.2023 № 51/13 </w:t>
      </w:r>
      <w:r>
        <w:rPr>
          <w:rFonts w:ascii="Times New Roman" w:eastAsia="Calibri" w:hAnsi="Times New Roman" w:cs="Times New Roman"/>
          <w:sz w:val="24"/>
          <w:szCs w:val="24"/>
        </w:rPr>
        <w:t xml:space="preserve">утверждены единые по региону стандартизированные ставки С1, С2, С3, С4, С5 и С8, льготные ставки за 1 кВт, </w:t>
      </w:r>
      <w:r>
        <w:rPr>
          <w:rFonts w:ascii="Times New Roman" w:hAnsi="Times New Roman"/>
          <w:sz w:val="24"/>
        </w:rPr>
        <w:t xml:space="preserve">формулы расчета платы за технологическое присоединение. Ставки устанавливаются </w:t>
      </w:r>
      <w:r>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 типам используемого оборудования</w:t>
      </w:r>
      <w:r>
        <w:rPr>
          <w:rFonts w:ascii="Times New Roman" w:eastAsia="Calibri" w:hAnsi="Times New Roman" w:cs="Times New Roman"/>
          <w:sz w:val="24"/>
          <w:szCs w:val="24"/>
        </w:rPr>
        <w:t xml:space="preserve">. </w:t>
      </w:r>
    </w:p>
    <w:p w:rsidR="00D602D4" w:rsidRDefault="000B4C86">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Выпадающие доходы от присоединения льготных категорий заявителей утверждены в размере 7 328,29 тыс. руб. </w:t>
      </w:r>
    </w:p>
    <w:p w:rsidR="00D602D4" w:rsidRDefault="00D602D4">
      <w:pPr>
        <w:spacing w:after="0" w:line="240" w:lineRule="auto"/>
        <w:ind w:firstLine="709"/>
        <w:jc w:val="center"/>
        <w:rPr>
          <w:rFonts w:ascii="Times New Roman" w:eastAsia="Calibri" w:hAnsi="Times New Roman" w:cs="Times New Roman"/>
          <w:b/>
          <w:sz w:val="24"/>
          <w:szCs w:val="24"/>
          <w:highlight w:val="green"/>
        </w:rPr>
      </w:pPr>
    </w:p>
    <w:p w:rsidR="00D602D4" w:rsidRDefault="000B4C86">
      <w:pPr>
        <w:spacing w:after="0" w:line="240" w:lineRule="auto"/>
        <w:ind w:firstLine="709"/>
        <w:jc w:val="center"/>
        <w:rPr>
          <w:rFonts w:ascii="Times New Roman" w:eastAsia="Calibri" w:hAnsi="Times New Roman" w:cs="Times New Roman"/>
          <w:b/>
          <w:sz w:val="24"/>
          <w:szCs w:val="24"/>
        </w:rPr>
      </w:pPr>
      <w:r>
        <w:rPr>
          <w:rFonts w:ascii="Times New Roman" w:eastAsia="Calibri" w:hAnsi="Times New Roman" w:cs="Times New Roman"/>
          <w:b/>
          <w:sz w:val="24"/>
          <w:szCs w:val="24"/>
        </w:rPr>
        <w:t>«Бурятэнерго»</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hAnsi="Times New Roman" w:cs="Times New Roman"/>
          <w:color w:val="000000"/>
          <w:sz w:val="24"/>
          <w:szCs w:val="24"/>
        </w:rPr>
        <w:t xml:space="preserve">Приказом Республиканской службы по тарифам Республики Бурятия от 19.12.2023 №1/27 (с изм. от 13.02.2024 № 1/4, от 21.03.2024 № 1/6, от 14.06.2024 № 1/10, от 02.07.2024 №1/12, от 26.07.2024 №1/15, от 03.09.2024 №1/19, от 11.10.2024 №1/21, от 15.10.2024 №1/23) </w:t>
      </w:r>
      <w:r>
        <w:rPr>
          <w:rFonts w:ascii="Times New Roman" w:eastAsia="Calibri" w:hAnsi="Times New Roman" w:cs="Times New Roman"/>
          <w:sz w:val="24"/>
          <w:szCs w:val="24"/>
        </w:rPr>
        <w:lastRenderedPageBreak/>
        <w:t>утверждены единые по региону стандартизированные ставки С1, С2, С3, С4, С5,</w:t>
      </w:r>
      <w:r>
        <w:rPr>
          <w:rFonts w:ascii="Times New Roman" w:hAnsi="Times New Roman" w:cs="Times New Roman"/>
          <w:color w:val="000000"/>
          <w:sz w:val="24"/>
          <w:szCs w:val="24"/>
        </w:rPr>
        <w:t xml:space="preserve"> </w:t>
      </w:r>
      <w:r>
        <w:rPr>
          <w:rFonts w:ascii="Times New Roman" w:eastAsia="Calibri" w:hAnsi="Times New Roman" w:cs="Times New Roman"/>
          <w:sz w:val="24"/>
          <w:szCs w:val="24"/>
        </w:rPr>
        <w:t xml:space="preserve">С7 и С8, льготные ставки за 1 кВт, </w:t>
      </w:r>
      <w:r>
        <w:rPr>
          <w:rFonts w:ascii="Times New Roman" w:hAnsi="Times New Roman"/>
          <w:sz w:val="24"/>
        </w:rPr>
        <w:t xml:space="preserve">формулы расчета платы за технологическое присоединение. Ставки устанавливаются </w:t>
      </w:r>
      <w:r>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 типам используемого оборудования</w:t>
      </w:r>
      <w:r>
        <w:rPr>
          <w:rFonts w:ascii="Times New Roman" w:eastAsia="Calibri" w:hAnsi="Times New Roman" w:cs="Times New Roman"/>
          <w:sz w:val="24"/>
          <w:szCs w:val="24"/>
        </w:rPr>
        <w:t xml:space="preserve">. </w:t>
      </w:r>
    </w:p>
    <w:p w:rsidR="00D602D4" w:rsidRDefault="000B4C86">
      <w:pPr>
        <w:spacing w:after="0" w:line="240" w:lineRule="auto"/>
        <w:ind w:firstLine="709"/>
        <w:jc w:val="both"/>
        <w:rPr>
          <w:rFonts w:ascii="Times New Roman" w:hAnsi="Times New Roman" w:cs="Times New Roman"/>
          <w:color w:val="000000"/>
          <w:sz w:val="24"/>
          <w:szCs w:val="24"/>
          <w:highlight w:val="yellow"/>
        </w:rPr>
      </w:pPr>
      <w:r>
        <w:rPr>
          <w:rFonts w:ascii="Times New Roman" w:hAnsi="Times New Roman" w:cs="Times New Roman"/>
          <w:color w:val="000000"/>
          <w:sz w:val="24"/>
          <w:szCs w:val="24"/>
        </w:rPr>
        <w:t xml:space="preserve">Выпадающие доходы от присоединения льготных категорий заявителей утверждены в размере 351 035,44 тыс. руб. </w:t>
      </w:r>
    </w:p>
    <w:p w:rsidR="00D602D4" w:rsidRDefault="00D602D4">
      <w:pPr>
        <w:spacing w:after="0" w:line="240" w:lineRule="auto"/>
        <w:ind w:firstLine="709"/>
        <w:jc w:val="center"/>
        <w:rPr>
          <w:rFonts w:ascii="Times New Roman" w:hAnsi="Times New Roman" w:cs="Times New Roman"/>
          <w:b/>
          <w:color w:val="000000"/>
          <w:sz w:val="24"/>
          <w:szCs w:val="24"/>
          <w:highlight w:val="yellow"/>
        </w:rPr>
      </w:pPr>
    </w:p>
    <w:p w:rsidR="00D602D4" w:rsidRDefault="000B4C86">
      <w:pPr>
        <w:spacing w:after="0" w:line="240" w:lineRule="auto"/>
        <w:ind w:firstLine="709"/>
        <w:jc w:val="center"/>
        <w:rPr>
          <w:rFonts w:ascii="Times New Roman" w:hAnsi="Times New Roman" w:cs="Times New Roman"/>
          <w:b/>
          <w:color w:val="000000"/>
          <w:sz w:val="24"/>
          <w:szCs w:val="24"/>
        </w:rPr>
      </w:pPr>
      <w:r>
        <w:rPr>
          <w:rFonts w:ascii="Times New Roman" w:hAnsi="Times New Roman" w:cs="Times New Roman"/>
          <w:b/>
          <w:color w:val="000000"/>
          <w:sz w:val="24"/>
          <w:szCs w:val="24"/>
        </w:rPr>
        <w:t>«Красноярскэнерго»</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hAnsi="Times New Roman" w:cs="Times New Roman"/>
          <w:color w:val="000000"/>
          <w:sz w:val="24"/>
          <w:szCs w:val="24"/>
        </w:rPr>
        <w:t xml:space="preserve">Приказом Министерства тарифной политики Красноярского края от 07.12.2023 № 57-э (с изм. от 27.12.2023 № 115-э, от 23.01.2024 №3-э, от 06.02.2024 №4-э, 20.02.2024 №13-э, от 21.03.2024 №16-э, от 26.04.2024 №20-э, от 21.05.2024 №27-э, от 26.09.2024 №49-э) </w:t>
      </w:r>
      <w:r>
        <w:rPr>
          <w:rFonts w:ascii="Times New Roman" w:eastAsia="Calibri" w:hAnsi="Times New Roman" w:cs="Times New Roman"/>
          <w:sz w:val="24"/>
          <w:szCs w:val="24"/>
        </w:rPr>
        <w:t>утверждены единые по региону стандартизированные ставки С1, С2, С3, С4, С5,</w:t>
      </w:r>
      <w:r>
        <w:rPr>
          <w:rFonts w:ascii="Times New Roman" w:hAnsi="Times New Roman" w:cs="Times New Roman"/>
          <w:color w:val="000000"/>
          <w:sz w:val="24"/>
          <w:szCs w:val="24"/>
        </w:rPr>
        <w:t xml:space="preserve"> С6, </w:t>
      </w:r>
      <w:r>
        <w:rPr>
          <w:rFonts w:ascii="Times New Roman" w:eastAsia="Calibri" w:hAnsi="Times New Roman" w:cs="Times New Roman"/>
          <w:sz w:val="24"/>
          <w:szCs w:val="24"/>
        </w:rPr>
        <w:t xml:space="preserve">С7 и С8, льготные ставки за 1 кВт, </w:t>
      </w:r>
      <w:r>
        <w:rPr>
          <w:rFonts w:ascii="Times New Roman" w:hAnsi="Times New Roman"/>
          <w:sz w:val="24"/>
        </w:rPr>
        <w:t xml:space="preserve">формулы расчета платы за технологическое присоединение. Ставки устанавливаются </w:t>
      </w:r>
      <w:r>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 типам используемого оборудования</w:t>
      </w:r>
      <w:r>
        <w:rPr>
          <w:rFonts w:ascii="Times New Roman" w:eastAsia="Calibri" w:hAnsi="Times New Roman" w:cs="Times New Roman"/>
          <w:sz w:val="24"/>
          <w:szCs w:val="24"/>
        </w:rPr>
        <w:t xml:space="preserve">. </w:t>
      </w:r>
    </w:p>
    <w:p w:rsidR="00D602D4" w:rsidRDefault="000B4C86">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Выпадающие доходы от присоединения льготных категорий заявителей не установлены.</w:t>
      </w:r>
    </w:p>
    <w:p w:rsidR="00D602D4" w:rsidRDefault="00D602D4">
      <w:pPr>
        <w:spacing w:after="0" w:line="240" w:lineRule="auto"/>
        <w:ind w:firstLine="709"/>
        <w:jc w:val="center"/>
        <w:rPr>
          <w:rFonts w:ascii="Times New Roman" w:hAnsi="Times New Roman" w:cs="Times New Roman"/>
          <w:b/>
          <w:color w:val="000000"/>
          <w:sz w:val="24"/>
          <w:szCs w:val="24"/>
          <w:highlight w:val="yellow"/>
        </w:rPr>
      </w:pPr>
    </w:p>
    <w:p w:rsidR="00D602D4" w:rsidRDefault="000B4C86">
      <w:pPr>
        <w:spacing w:after="0" w:line="240" w:lineRule="auto"/>
        <w:ind w:firstLine="709"/>
        <w:jc w:val="center"/>
        <w:rPr>
          <w:rFonts w:ascii="Times New Roman" w:hAnsi="Times New Roman" w:cs="Times New Roman"/>
          <w:b/>
          <w:color w:val="000000"/>
          <w:sz w:val="24"/>
          <w:szCs w:val="24"/>
        </w:rPr>
      </w:pPr>
      <w:r>
        <w:rPr>
          <w:rFonts w:ascii="Times New Roman" w:hAnsi="Times New Roman" w:cs="Times New Roman"/>
          <w:b/>
          <w:color w:val="000000"/>
          <w:sz w:val="24"/>
          <w:szCs w:val="24"/>
        </w:rPr>
        <w:t>«Кузбассэнерго- региональные электрические сети» (РЭС)</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hAnsi="Times New Roman" w:cs="Times New Roman"/>
          <w:color w:val="000000"/>
          <w:sz w:val="24"/>
          <w:szCs w:val="24"/>
        </w:rPr>
        <w:t xml:space="preserve">Постановлением РЭК Кемеровской области от 29.12.2023 №778 (с изм. от 25.01.2024 №10, от 16.04.2024 №64, от 30.05.2024 №99) </w:t>
      </w:r>
      <w:r>
        <w:rPr>
          <w:rFonts w:ascii="Times New Roman" w:eastAsia="Calibri" w:hAnsi="Times New Roman" w:cs="Times New Roman"/>
          <w:sz w:val="24"/>
          <w:szCs w:val="24"/>
        </w:rPr>
        <w:t>утверждены единые по региону стандартизированные ставки С1, С2, С3, С4, С5, С6,</w:t>
      </w:r>
      <w:r>
        <w:rPr>
          <w:rFonts w:ascii="Times New Roman" w:hAnsi="Times New Roman" w:cs="Times New Roman"/>
          <w:color w:val="000000"/>
          <w:sz w:val="24"/>
          <w:szCs w:val="24"/>
        </w:rPr>
        <w:t xml:space="preserve"> </w:t>
      </w:r>
      <w:r>
        <w:rPr>
          <w:rFonts w:ascii="Times New Roman" w:eastAsia="Calibri" w:hAnsi="Times New Roman" w:cs="Times New Roman"/>
          <w:sz w:val="24"/>
          <w:szCs w:val="24"/>
        </w:rPr>
        <w:t xml:space="preserve">С7 и С8, льготные ставки за 1 кВт, </w:t>
      </w:r>
      <w:r>
        <w:rPr>
          <w:rFonts w:ascii="Times New Roman" w:hAnsi="Times New Roman"/>
          <w:sz w:val="24"/>
        </w:rPr>
        <w:t xml:space="preserve">формулы расчета платы за технологическое присоединение. Ставки устанавливаются </w:t>
      </w:r>
      <w:r>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 типам используемого оборудования</w:t>
      </w:r>
      <w:r>
        <w:rPr>
          <w:rFonts w:ascii="Times New Roman" w:eastAsia="Calibri" w:hAnsi="Times New Roman" w:cs="Times New Roman"/>
          <w:sz w:val="24"/>
          <w:szCs w:val="24"/>
        </w:rPr>
        <w:t xml:space="preserve">. </w:t>
      </w:r>
    </w:p>
    <w:p w:rsidR="00D602D4" w:rsidRDefault="000B4C86">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Выпадающие доходы от присоединения льготных категорий заявителей утверждены в размере </w:t>
      </w:r>
      <w:r>
        <w:rPr>
          <w:rFonts w:ascii="Times New Roman" w:hAnsi="Times New Roman"/>
          <w:sz w:val="24"/>
          <w:szCs w:val="24"/>
        </w:rPr>
        <w:t>5 120,21</w:t>
      </w:r>
      <w:r>
        <w:rPr>
          <w:rFonts w:ascii="Times New Roman" w:hAnsi="Times New Roman" w:cs="Times New Roman"/>
          <w:color w:val="000000"/>
          <w:sz w:val="24"/>
          <w:szCs w:val="24"/>
        </w:rPr>
        <w:t xml:space="preserve"> тыс. руб. </w:t>
      </w:r>
    </w:p>
    <w:p w:rsidR="00D602D4" w:rsidRDefault="00D602D4">
      <w:pPr>
        <w:spacing w:after="0" w:line="240" w:lineRule="auto"/>
        <w:ind w:firstLine="709"/>
        <w:jc w:val="both"/>
        <w:rPr>
          <w:rFonts w:ascii="Times New Roman" w:hAnsi="Times New Roman" w:cs="Times New Roman"/>
          <w:color w:val="000000"/>
          <w:sz w:val="24"/>
          <w:szCs w:val="24"/>
          <w:highlight w:val="yellow"/>
        </w:rPr>
      </w:pPr>
    </w:p>
    <w:p w:rsidR="00D602D4" w:rsidRDefault="000B4C86">
      <w:pPr>
        <w:spacing w:after="0" w:line="24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«Омскэнерго»</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hAnsi="Times New Roman" w:cs="Times New Roman"/>
          <w:color w:val="000000"/>
          <w:sz w:val="24"/>
          <w:szCs w:val="24"/>
        </w:rPr>
        <w:t xml:space="preserve">Приказом РЭК Омской области от 15.12.2023 №386/82 (с изм. от 29.02.2024 №21/8, от 16.05.2024 №54/22, от 18.06.2024 №67/28) </w:t>
      </w:r>
      <w:r>
        <w:rPr>
          <w:rFonts w:ascii="Times New Roman" w:eastAsia="Calibri" w:hAnsi="Times New Roman" w:cs="Times New Roman"/>
          <w:sz w:val="24"/>
          <w:szCs w:val="24"/>
        </w:rPr>
        <w:t>утверждены единые по региону стандартизированные ставки С1, С2, С3, С4, С5, С6,</w:t>
      </w:r>
      <w:r>
        <w:rPr>
          <w:rFonts w:ascii="Times New Roman" w:hAnsi="Times New Roman" w:cs="Times New Roman"/>
          <w:color w:val="000000"/>
          <w:sz w:val="24"/>
          <w:szCs w:val="24"/>
        </w:rPr>
        <w:t xml:space="preserve"> </w:t>
      </w:r>
      <w:r>
        <w:rPr>
          <w:rFonts w:ascii="Times New Roman" w:eastAsia="Calibri" w:hAnsi="Times New Roman" w:cs="Times New Roman"/>
          <w:sz w:val="24"/>
          <w:szCs w:val="24"/>
        </w:rPr>
        <w:t xml:space="preserve">С7 и С8, льготные ставки за 1 кВт, </w:t>
      </w:r>
      <w:r>
        <w:rPr>
          <w:rFonts w:ascii="Times New Roman" w:hAnsi="Times New Roman"/>
          <w:sz w:val="24"/>
        </w:rPr>
        <w:t xml:space="preserve">формулы расчета платы за технологическое присоединение. Ставки устанавливаются </w:t>
      </w:r>
      <w:r>
        <w:rPr>
          <w:rFonts w:ascii="Times New Roman" w:hAnsi="Times New Roman" w:cs="Times New Roman"/>
          <w:color w:val="000000"/>
          <w:sz w:val="24"/>
          <w:szCs w:val="24"/>
        </w:rPr>
        <w:t>по видам работ с дифференциацией по категориям потребителей, разбивкой по уровням напряжения, типам и маркам прокладываемого кабеля, типам подстанций, типам используемого оборудования</w:t>
      </w:r>
      <w:r>
        <w:rPr>
          <w:rFonts w:ascii="Times New Roman" w:eastAsia="Calibri" w:hAnsi="Times New Roman" w:cs="Times New Roman"/>
          <w:sz w:val="24"/>
          <w:szCs w:val="24"/>
        </w:rPr>
        <w:t xml:space="preserve">. </w:t>
      </w:r>
    </w:p>
    <w:p w:rsidR="00D602D4" w:rsidRDefault="000B4C86">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Определены выпадающие доходы от технологического присоединения льготных категорий заявителей в размере 345 470,99 тыс. руб. </w:t>
      </w:r>
    </w:p>
    <w:p w:rsidR="00D602D4" w:rsidRDefault="00D602D4">
      <w:pPr>
        <w:spacing w:after="0" w:line="240" w:lineRule="auto"/>
        <w:ind w:firstLine="709"/>
        <w:jc w:val="center"/>
        <w:rPr>
          <w:rFonts w:ascii="Times New Roman" w:eastAsia="Calibri" w:hAnsi="Times New Roman" w:cs="Times New Roman"/>
          <w:b/>
          <w:sz w:val="24"/>
          <w:szCs w:val="24"/>
          <w:highlight w:val="yellow"/>
        </w:rPr>
      </w:pPr>
    </w:p>
    <w:p w:rsidR="00D602D4" w:rsidRDefault="000B4C86">
      <w:pPr>
        <w:spacing w:after="0" w:line="240" w:lineRule="auto"/>
        <w:ind w:firstLine="709"/>
        <w:jc w:val="center"/>
        <w:rPr>
          <w:rFonts w:ascii="Times New Roman" w:eastAsia="Calibri" w:hAnsi="Times New Roman" w:cs="Times New Roman"/>
          <w:b/>
          <w:sz w:val="24"/>
          <w:szCs w:val="24"/>
        </w:rPr>
      </w:pPr>
      <w:r>
        <w:rPr>
          <w:rFonts w:ascii="Times New Roman" w:eastAsia="Calibri" w:hAnsi="Times New Roman" w:cs="Times New Roman"/>
          <w:b/>
          <w:sz w:val="24"/>
          <w:szCs w:val="24"/>
        </w:rPr>
        <w:t>«Хакасэнерго»</w:t>
      </w:r>
    </w:p>
    <w:p w:rsidR="00D602D4" w:rsidRDefault="000B4C86">
      <w:pPr>
        <w:spacing w:after="0" w:line="240" w:lineRule="auto"/>
        <w:ind w:firstLine="709"/>
        <w:jc w:val="both"/>
        <w:rPr>
          <w:rFonts w:ascii="Times New Roman" w:eastAsia="Calibri" w:hAnsi="Times New Roman" w:cs="Times New Roman"/>
          <w:sz w:val="24"/>
          <w:szCs w:val="24"/>
          <w:highlight w:val="yellow"/>
        </w:rPr>
      </w:pPr>
      <w:r>
        <w:rPr>
          <w:rFonts w:ascii="Times New Roman" w:hAnsi="Times New Roman" w:cs="Times New Roman"/>
          <w:color w:val="000000"/>
          <w:sz w:val="24"/>
          <w:szCs w:val="24"/>
        </w:rPr>
        <w:t xml:space="preserve">Приказом Государственного комитета энергетики и тарифного регулирования Республики Хакасия от 18.12.2023 №99-п (с изм. от 13.12.2024 №133-п) утверждены единые по региону стандартизированные ставки С1, С2, С3, С4, С5 и С8, льготные ставки за 1 кВт, формулы расчета платы за технологическое присоединение. Ставки устанавливаются по видам работ с дифференциацией по категориям потребителей, разбивкой по уровням напряжения, типам и маркам прокладываемого кабеля, типам подстанций, типам используемого оборудования. </w:t>
      </w:r>
    </w:p>
    <w:p w:rsidR="00D602D4" w:rsidRDefault="000B4C86">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Определены выпадающие доходы от технологического присоединения льготных категорий заявителей в размере 76 304,35 тыс. руб. </w:t>
      </w:r>
    </w:p>
    <w:p w:rsidR="00D602D4" w:rsidRDefault="00D602D4">
      <w:pPr>
        <w:spacing w:after="0" w:line="240" w:lineRule="auto"/>
        <w:ind w:firstLine="709"/>
        <w:jc w:val="center"/>
        <w:rPr>
          <w:rFonts w:ascii="Times New Roman" w:hAnsi="Times New Roman" w:cs="Times New Roman"/>
          <w:b/>
          <w:color w:val="000000"/>
          <w:sz w:val="24"/>
          <w:szCs w:val="24"/>
          <w:highlight w:val="yellow"/>
        </w:rPr>
      </w:pPr>
    </w:p>
    <w:p w:rsidR="00D602D4" w:rsidRDefault="000B4C86">
      <w:pPr>
        <w:spacing w:after="0" w:line="240" w:lineRule="auto"/>
        <w:ind w:firstLine="709"/>
        <w:jc w:val="center"/>
        <w:rPr>
          <w:rFonts w:ascii="Times New Roman" w:hAnsi="Times New Roman" w:cs="Times New Roman"/>
          <w:b/>
          <w:color w:val="000000"/>
          <w:sz w:val="24"/>
          <w:szCs w:val="24"/>
        </w:rPr>
      </w:pPr>
      <w:r>
        <w:rPr>
          <w:rFonts w:ascii="Times New Roman" w:hAnsi="Times New Roman" w:cs="Times New Roman"/>
          <w:b/>
          <w:color w:val="000000"/>
          <w:sz w:val="24"/>
          <w:szCs w:val="24"/>
        </w:rPr>
        <w:t>«Читаэнерго»</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hAnsi="Times New Roman" w:cs="Times New Roman"/>
          <w:color w:val="000000"/>
          <w:sz w:val="24"/>
          <w:szCs w:val="24"/>
        </w:rPr>
        <w:t xml:space="preserve">Приказом Региональной службы по тарифам и ценообразованию Забайкальского края от 11.12.2023 №557-НПА (с изм. от 09.02.2024 №25-НПА, от 18.03.2024 №49-НПА, от 13.12.2024 №634-НПА) утверждены единые по региону стандартизированные ставки С1, С2, С3, С4, С5, С7 и С8, льготные ставки за 1 кВт, формулы расчета платы за технологическое присоединение. Ставки устанавливаются по видам работ с дифференциацией по категориям потребителей, разбивкой по уровням напряжения, типам и маркам прокладываемого кабеля, типам подстанций, типам используемого оборудования. </w:t>
      </w:r>
    </w:p>
    <w:p w:rsidR="00D602D4" w:rsidRDefault="000B4C86">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Определены выпадающие доходы от технологического присоединения льготных категорий заявителей в размере 237 938 тыс. руб. </w:t>
      </w:r>
    </w:p>
    <w:p w:rsidR="00D602D4" w:rsidRDefault="00D602D4">
      <w:pPr>
        <w:spacing w:after="0" w:line="240" w:lineRule="auto"/>
        <w:ind w:firstLine="709"/>
        <w:jc w:val="both"/>
        <w:rPr>
          <w:rFonts w:ascii="Times New Roman" w:hAnsi="Times New Roman" w:cs="Times New Roman"/>
          <w:color w:val="000000"/>
          <w:sz w:val="24"/>
          <w:szCs w:val="24"/>
        </w:rPr>
      </w:pPr>
    </w:p>
    <w:p w:rsidR="00D602D4" w:rsidRDefault="00D602D4">
      <w:pPr>
        <w:spacing w:after="0" w:line="240" w:lineRule="auto"/>
        <w:ind w:firstLine="709"/>
        <w:jc w:val="both"/>
        <w:rPr>
          <w:rFonts w:ascii="Times New Roman" w:hAnsi="Times New Roman" w:cs="Times New Roman"/>
          <w:color w:val="000000"/>
          <w:sz w:val="24"/>
          <w:szCs w:val="24"/>
        </w:rPr>
      </w:pPr>
    </w:p>
    <w:p w:rsidR="00D602D4" w:rsidRDefault="000B4C86">
      <w:pPr>
        <w:pStyle w:val="13"/>
        <w:spacing w:before="0" w:line="240" w:lineRule="auto"/>
        <w:rPr>
          <w:rFonts w:ascii="Times New Roman" w:hAnsi="Times New Roman" w:cs="Times New Roman"/>
          <w:b/>
          <w:bCs/>
          <w:color w:val="000000" w:themeColor="text1"/>
          <w:sz w:val="26"/>
          <w:szCs w:val="26"/>
        </w:rPr>
      </w:pPr>
      <w:bookmarkStart w:id="47" w:name="_Toc75"/>
      <w:r>
        <w:rPr>
          <w:rFonts w:ascii="Times New Roman" w:eastAsia="Times New Roman" w:hAnsi="Times New Roman" w:cs="Times New Roman"/>
          <w:b/>
          <w:bCs/>
          <w:color w:val="000000" w:themeColor="text1"/>
          <w:sz w:val="26"/>
          <w:szCs w:val="26"/>
        </w:rPr>
        <w:t>3.4. Применение новых цифровых технологий</w:t>
      </w:r>
      <w:bookmarkEnd w:id="47"/>
    </w:p>
    <w:p w:rsidR="00D602D4" w:rsidRDefault="00D602D4">
      <w:pPr>
        <w:spacing w:after="0" w:line="240" w:lineRule="auto"/>
      </w:pPr>
    </w:p>
    <w:p w:rsidR="00D602D4" w:rsidRDefault="000B4C86">
      <w:pPr>
        <w:spacing w:after="0" w:line="240" w:lineRule="auto"/>
        <w:ind w:firstLine="709"/>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Реализованные в 2024 году проекты программы цифровой трансформации ПАО «Россети Сибирь» </w:t>
      </w:r>
    </w:p>
    <w:p w:rsidR="00D602D4" w:rsidRDefault="00D602D4">
      <w:pPr>
        <w:spacing w:after="0" w:line="240" w:lineRule="auto"/>
        <w:ind w:firstLine="709"/>
        <w:jc w:val="both"/>
        <w:rPr>
          <w:rFonts w:ascii="Times New Roman" w:eastAsia="Calibri" w:hAnsi="Times New Roman" w:cs="Times New Roman"/>
          <w:b/>
          <w:sz w:val="24"/>
          <w:szCs w:val="24"/>
        </w:rPr>
      </w:pPr>
    </w:p>
    <w:p w:rsidR="00D602D4" w:rsidRDefault="000B4C86">
      <w:pPr>
        <w:spacing w:after="0" w:line="240" w:lineRule="auto"/>
        <w:ind w:firstLine="709"/>
        <w:jc w:val="both"/>
        <w:rPr>
          <w:rFonts w:ascii="Times New Roman" w:eastAsia="Calibri" w:hAnsi="Times New Roman" w:cs="Times New Roman"/>
          <w:b/>
          <w:sz w:val="24"/>
          <w:szCs w:val="24"/>
        </w:rPr>
      </w:pPr>
      <w:r>
        <w:rPr>
          <w:rFonts w:ascii="Times New Roman" w:eastAsia="Calibri" w:hAnsi="Times New Roman" w:cs="Times New Roman"/>
          <w:b/>
          <w:sz w:val="24"/>
          <w:szCs w:val="24"/>
        </w:rPr>
        <w:t>«Модернизация оперативного ПТК для обеспечения технологического и ситуационного управления»</w:t>
      </w:r>
    </w:p>
    <w:p w:rsidR="00D602D4" w:rsidRDefault="000B4C86">
      <w:pPr>
        <w:tabs>
          <w:tab w:val="left" w:pos="993"/>
        </w:tabs>
        <w:spacing w:after="0" w:line="240" w:lineRule="auto"/>
        <w:ind w:firstLine="709"/>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Реализация проекта обеспечило поддержку деятельности по оперативно-технологическому управлению филиалов ПАО «Россети Сибирь». ПТК содержит полный набор современных программных средств и алгоритмов, которые позволят наиболее эффективно проектировать, оптимально управлять и принимать решения относительно всего оборудования, установленного в распределительной сети. Функции ПТК реализованы на основе алгоритмов, специально разработанных для распределительных сетей и позволяют выполнять анализ и оптимизацию работы и развития очень больших радиальных и слабо закольцованных распределительных сетей с высокой скоростью. ПТК построен на основе двух резервируемых центров обработки данных (ЦОД). В каждом из ЦОД функционирует полный набор резервируемого серверного оборудования и программного обеспечения для выполнения функций бесперебойной работы критически важных сервисов и обеспечения возможности автономной работы. Синхронизация между серверами, расположенными в разных ЦОД, происходит в автоматическом режиме.</w:t>
      </w:r>
    </w:p>
    <w:p w:rsidR="00D602D4" w:rsidRDefault="00D602D4">
      <w:pPr>
        <w:keepNext/>
        <w:keepLines/>
        <w:widowControl w:val="0"/>
        <w:spacing w:after="0" w:line="240" w:lineRule="auto"/>
        <w:contextualSpacing/>
        <w:rPr>
          <w:rFonts w:ascii="Times New Roman" w:eastAsia="Calibri" w:hAnsi="Times New Roman" w:cs="Times New Roman"/>
          <w:b/>
          <w:bCs/>
          <w:sz w:val="24"/>
          <w:szCs w:val="24"/>
        </w:rPr>
      </w:pPr>
    </w:p>
    <w:p w:rsidR="00D602D4" w:rsidRDefault="000B4C86">
      <w:pPr>
        <w:keepNext/>
        <w:keepLines/>
        <w:widowControl w:val="0"/>
        <w:spacing w:after="0" w:line="240" w:lineRule="auto"/>
        <w:ind w:firstLine="709"/>
        <w:contextualSpacing/>
        <w:jc w:val="both"/>
        <w:rPr>
          <w:rFonts w:ascii="Times New Roman" w:eastAsia="Calibri" w:hAnsi="Times New Roman" w:cs="Times New Roman"/>
          <w:b/>
          <w:sz w:val="24"/>
          <w:szCs w:val="24"/>
        </w:rPr>
      </w:pPr>
      <w:r>
        <w:rPr>
          <w:rFonts w:ascii="Times New Roman" w:eastAsia="Calibri" w:hAnsi="Times New Roman" w:cs="Times New Roman"/>
          <w:b/>
          <w:sz w:val="24"/>
          <w:szCs w:val="24"/>
        </w:rPr>
        <w:t>«Создание системы виртуализации серверов на базе отечественных решений для нужд ПАО «Россети Сибирь»</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Адаптация используемого программно-аппаратного комплекса автоматизированной системы технологического управления центров управления сетями на российские программно-аппаратные решения и подготовка фундамента для тиражирования российских решений на весь ИТ ландшафт ПАО «Россети Сибирь»</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Проектом реализовано:</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 Приобретение оборудования, необходимого для опытной эксплуатации;</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 Установка и адаптация программного обеспечения АСТУ на российское оборудование, включая системное ПО и СУБД;</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 Опытная эксплуатация ПАК АСТУ на российском программно-аппаратных решениях.</w:t>
      </w:r>
    </w:p>
    <w:p w:rsidR="00D602D4" w:rsidRDefault="00D602D4">
      <w:pPr>
        <w:spacing w:after="0" w:line="240" w:lineRule="auto"/>
        <w:ind w:firstLine="709"/>
        <w:contextualSpacing/>
        <w:jc w:val="both"/>
        <w:rPr>
          <w:rFonts w:ascii="Times New Roman" w:eastAsia="Yu Mincho" w:hAnsi="Times New Roman" w:cs="Times New Roman"/>
          <w:color w:val="000000"/>
          <w:sz w:val="24"/>
          <w:szCs w:val="24"/>
          <w:lang w:eastAsia="ru-RU"/>
        </w:rPr>
      </w:pPr>
    </w:p>
    <w:p w:rsidR="00D602D4" w:rsidRDefault="000B4C86">
      <w:pPr>
        <w:keepNext/>
        <w:keepLines/>
        <w:widowControl w:val="0"/>
        <w:spacing w:after="0" w:line="240" w:lineRule="auto"/>
        <w:ind w:firstLine="709"/>
        <w:contextualSpacing/>
        <w:jc w:val="both"/>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«Адаптация автоматизированной системы интеллектуального учета энергии к Российским программно-аппаратным решениям»</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Адаптация используемого программно-аппаратного комплекса автоматизированной системы интеллектуального учета энергии на российские программно-аппаратные решения и подготовка фундамента для тиражирования российских решений на весь ИТ ландшафт ПАО «Россети Сибирь».</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Проектом реализовано:</w:t>
      </w:r>
    </w:p>
    <w:p w:rsidR="00D602D4" w:rsidRDefault="000B4C86">
      <w:pPr>
        <w:pStyle w:val="ac"/>
        <w:numPr>
          <w:ilvl w:val="0"/>
          <w:numId w:val="16"/>
        </w:numPr>
        <w:tabs>
          <w:tab w:val="left" w:pos="992"/>
        </w:tabs>
        <w:spacing w:after="0" w:line="240" w:lineRule="auto"/>
        <w:ind w:left="709" w:firstLine="0"/>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 xml:space="preserve">установка и адаптация программного обеспечения АСИУ на российское оборудование, включая системное ПО и СУБД; </w:t>
      </w:r>
    </w:p>
    <w:p w:rsidR="00D602D4" w:rsidRDefault="000B4C86">
      <w:pPr>
        <w:spacing w:after="0" w:line="240" w:lineRule="auto"/>
        <w:ind w:left="709"/>
        <w:contextualSpacing/>
        <w:jc w:val="both"/>
        <w:rPr>
          <w:rFonts w:ascii="Times New Roman" w:eastAsia="Yu Mincho" w:hAnsi="Times New Roman" w:cs="Times New Roman"/>
          <w:color w:val="000000"/>
          <w:sz w:val="24"/>
          <w:szCs w:val="24"/>
          <w:lang w:eastAsia="ru-RU"/>
        </w:rPr>
      </w:pPr>
      <w:r>
        <w:rPr>
          <w:rFonts w:ascii="Times New Roman" w:eastAsia="Yu Mincho" w:hAnsi="Times New Roman" w:cs="Times New Roman"/>
          <w:color w:val="000000"/>
          <w:sz w:val="24"/>
          <w:szCs w:val="28"/>
          <w:lang w:eastAsia="ru-RU"/>
        </w:rPr>
        <w:t xml:space="preserve">− корректировка состава российского программно-аппаратного комплекса АСИУ.      </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4"/>
          <w:lang w:eastAsia="ru-RU"/>
        </w:rPr>
      </w:pPr>
      <w:r>
        <w:rPr>
          <w:rFonts w:ascii="Times New Roman" w:eastAsia="Yu Mincho" w:hAnsi="Times New Roman" w:cs="Times New Roman"/>
          <w:color w:val="000000"/>
          <w:sz w:val="24"/>
          <w:szCs w:val="28"/>
          <w:lang w:eastAsia="ru-RU"/>
        </w:rPr>
        <w:t>Полученные результаты:</w:t>
      </w:r>
    </w:p>
    <w:p w:rsidR="00D602D4" w:rsidRDefault="000B4C86">
      <w:pPr>
        <w:pStyle w:val="ac"/>
        <w:numPr>
          <w:ilvl w:val="0"/>
          <w:numId w:val="18"/>
        </w:numPr>
        <w:tabs>
          <w:tab w:val="left" w:pos="992"/>
        </w:tabs>
        <w:spacing w:after="0" w:line="240" w:lineRule="auto"/>
        <w:ind w:left="709" w:firstLine="0"/>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нагрузка между серверами опроса ИВК «Пирамида-сети» распределена равномерно;</w:t>
      </w:r>
    </w:p>
    <w:p w:rsidR="00D602D4" w:rsidRDefault="000B4C86">
      <w:pPr>
        <w:pStyle w:val="ac"/>
        <w:numPr>
          <w:ilvl w:val="0"/>
          <w:numId w:val="17"/>
        </w:numPr>
        <w:tabs>
          <w:tab w:val="left" w:pos="992"/>
        </w:tabs>
        <w:spacing w:after="0" w:line="240" w:lineRule="auto"/>
        <w:ind w:left="709" w:firstLine="0"/>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сервера ИВК «Пирамида-сети» переведены на российскую программную платформу (ОС и БД);</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Исключены риски штрафных санкций за неисполнение постановлений Правительства Российской Федерации об импортозамещении ПО в критической инфраструктуре;</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4"/>
          <w:lang w:eastAsia="ru-RU"/>
        </w:rPr>
      </w:pPr>
      <w:r>
        <w:rPr>
          <w:rFonts w:ascii="Times New Roman" w:eastAsia="Yu Mincho" w:hAnsi="Times New Roman" w:cs="Times New Roman"/>
          <w:color w:val="000000"/>
          <w:sz w:val="24"/>
          <w:szCs w:val="28"/>
          <w:lang w:eastAsia="ru-RU"/>
        </w:rPr>
        <w:t xml:space="preserve">Собираемость данных с ПУ на конец месяца увеличилась и достигла более 95%. </w:t>
      </w:r>
    </w:p>
    <w:p w:rsidR="00D602D4" w:rsidRDefault="00D602D4">
      <w:pPr>
        <w:spacing w:after="0" w:line="240" w:lineRule="auto"/>
        <w:ind w:firstLine="709"/>
        <w:contextualSpacing/>
        <w:jc w:val="both"/>
        <w:rPr>
          <w:rFonts w:ascii="Times New Roman" w:eastAsia="Yu Mincho" w:hAnsi="Times New Roman" w:cs="Times New Roman"/>
          <w:color w:val="000000"/>
          <w:sz w:val="24"/>
          <w:szCs w:val="24"/>
          <w:lang w:eastAsia="ru-RU"/>
        </w:rPr>
      </w:pPr>
    </w:p>
    <w:p w:rsidR="00D602D4" w:rsidRDefault="000B4C86">
      <w:pPr>
        <w:keepNext/>
        <w:keepLines/>
        <w:widowControl w:val="0"/>
        <w:spacing w:after="0" w:line="240" w:lineRule="auto"/>
        <w:ind w:firstLine="709"/>
        <w:contextualSpacing/>
        <w:jc w:val="both"/>
        <w:rPr>
          <w:rFonts w:ascii="Times New Roman" w:eastAsia="Yu Mincho" w:hAnsi="Times New Roman" w:cs="Times New Roman"/>
          <w:color w:val="000000"/>
          <w:sz w:val="24"/>
          <w:szCs w:val="24"/>
          <w:lang w:eastAsia="ru-RU"/>
        </w:rPr>
      </w:pPr>
      <w:r>
        <w:rPr>
          <w:rFonts w:ascii="Times New Roman" w:eastAsia="Yu Mincho" w:hAnsi="Times New Roman" w:cs="Times New Roman"/>
          <w:color w:val="000000"/>
          <w:sz w:val="24"/>
          <w:szCs w:val="28"/>
          <w:lang w:eastAsia="ru-RU"/>
        </w:rPr>
        <w:t>«</w:t>
      </w:r>
      <w:r>
        <w:rPr>
          <w:rFonts w:ascii="Times New Roman" w:eastAsia="Calibri" w:hAnsi="Times New Roman" w:cs="Times New Roman"/>
          <w:b/>
          <w:bCs/>
          <w:sz w:val="24"/>
          <w:szCs w:val="24"/>
          <w:lang w:eastAsia="ru-RU"/>
        </w:rPr>
        <w:t>Создание системы АРМ диспетчеров как значимых объектов КИИ на использование отечественных операционных систем»</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4"/>
          <w:lang w:eastAsia="ru-RU"/>
        </w:rPr>
      </w:pPr>
      <w:r>
        <w:rPr>
          <w:rFonts w:ascii="Times New Roman" w:eastAsia="Yu Mincho" w:hAnsi="Times New Roman" w:cs="Times New Roman"/>
          <w:color w:val="000000"/>
          <w:sz w:val="24"/>
          <w:szCs w:val="24"/>
          <w:lang w:eastAsia="ru-RU"/>
        </w:rPr>
        <w:t>Внедрение отечественных автоматизированных рабочих мест диспетчеров на отечественных операционных системах Linux в соответствии с требованиями законодательства, необходимых для:</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4"/>
          <w:lang w:eastAsia="ru-RU"/>
        </w:rPr>
      </w:pPr>
      <w:r>
        <w:rPr>
          <w:rFonts w:ascii="Times New Roman" w:eastAsia="Yu Mincho" w:hAnsi="Times New Roman" w:cs="Times New Roman"/>
          <w:color w:val="000000"/>
          <w:sz w:val="24"/>
          <w:szCs w:val="24"/>
          <w:lang w:eastAsia="ru-RU"/>
        </w:rPr>
        <w:t xml:space="preserve">- функционирования АРМ в едином технологическом домене, созданном на отечественных серверах; </w:t>
      </w:r>
    </w:p>
    <w:p w:rsidR="00D602D4" w:rsidRDefault="000B4C86">
      <w:pPr>
        <w:spacing w:after="0" w:line="240" w:lineRule="auto"/>
        <w:ind w:firstLine="709"/>
        <w:contextualSpacing/>
        <w:jc w:val="both"/>
        <w:rPr>
          <w:rFonts w:ascii="Times New Roman" w:eastAsia="Yu Mincho" w:hAnsi="Times New Roman" w:cs="Times New Roman"/>
          <w:color w:val="000000"/>
          <w:sz w:val="24"/>
          <w:szCs w:val="24"/>
          <w:lang w:eastAsia="ru-RU"/>
        </w:rPr>
      </w:pPr>
      <w:r>
        <w:rPr>
          <w:rFonts w:ascii="Times New Roman" w:eastAsia="Yu Mincho" w:hAnsi="Times New Roman" w:cs="Times New Roman"/>
          <w:color w:val="000000"/>
          <w:sz w:val="24"/>
          <w:szCs w:val="24"/>
          <w:lang w:eastAsia="ru-RU"/>
        </w:rPr>
        <w:t>- использования в производственной деятельности диспетчерским персоналом специализированного и требовательного к вычислительным ресурсам технологического программного обеспечения, установленного на приобретаемых АРМ.</w:t>
      </w:r>
    </w:p>
    <w:p w:rsidR="00D602D4" w:rsidRDefault="000B4C86">
      <w:pPr>
        <w:spacing w:after="0" w:line="240" w:lineRule="auto"/>
        <w:ind w:firstLine="709"/>
        <w:contextualSpacing/>
        <w:jc w:val="right"/>
        <w:rPr>
          <w:rFonts w:ascii="Times New Roman" w:eastAsia="Yu Mincho" w:hAnsi="Times New Roman" w:cs="Times New Roman"/>
          <w:color w:val="000000"/>
          <w:sz w:val="24"/>
          <w:szCs w:val="28"/>
          <w:lang w:eastAsia="ru-RU"/>
        </w:rPr>
      </w:pPr>
      <w:r>
        <w:rPr>
          <w:rFonts w:ascii="Times New Roman" w:eastAsia="Yu Mincho" w:hAnsi="Times New Roman" w:cs="Times New Roman"/>
          <w:color w:val="000000"/>
          <w:sz w:val="24"/>
          <w:szCs w:val="28"/>
          <w:lang w:eastAsia="ru-RU"/>
        </w:rPr>
        <w:t>Таблица 41</w:t>
      </w:r>
    </w:p>
    <w:p w:rsidR="00D602D4" w:rsidRDefault="000B4C86">
      <w:pPr>
        <w:spacing w:after="0" w:line="240" w:lineRule="auto"/>
        <w:jc w:val="center"/>
        <w:outlineLvl w:val="0"/>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Показатели в части мероприятий по комплексному применению и внедрению новых цифровых технологий</w:t>
      </w:r>
    </w:p>
    <w:tbl>
      <w:tblPr>
        <w:tblpPr w:leftFromText="180" w:rightFromText="180" w:vertAnchor="text" w:horzAnchor="margin" w:tblpXSpec="center" w:tblpY="77"/>
        <w:tblW w:w="9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18"/>
        <w:gridCol w:w="992"/>
        <w:gridCol w:w="992"/>
        <w:gridCol w:w="851"/>
        <w:gridCol w:w="850"/>
        <w:gridCol w:w="1276"/>
        <w:gridCol w:w="8"/>
      </w:tblGrid>
      <w:tr w:rsidR="00D602D4">
        <w:trPr>
          <w:cantSplit/>
          <w:trHeight w:val="20"/>
        </w:trPr>
        <w:tc>
          <w:tcPr>
            <w:tcW w:w="4218" w:type="dxa"/>
            <w:vMerge w:val="restart"/>
            <w:vAlign w:val="center"/>
          </w:tcPr>
          <w:p w:rsidR="00D602D4" w:rsidRDefault="000B4C86">
            <w:pPr>
              <w:spacing w:after="0" w:line="240" w:lineRule="auto"/>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Показатель</w:t>
            </w:r>
          </w:p>
        </w:tc>
        <w:tc>
          <w:tcPr>
            <w:tcW w:w="992" w:type="dxa"/>
            <w:vMerge w:val="restart"/>
            <w:vAlign w:val="center"/>
          </w:tcPr>
          <w:p w:rsidR="00D602D4" w:rsidRDefault="000B4C86">
            <w:pPr>
              <w:spacing w:after="0" w:line="240" w:lineRule="auto"/>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Ед.изм.</w:t>
            </w:r>
          </w:p>
        </w:tc>
        <w:tc>
          <w:tcPr>
            <w:tcW w:w="3977" w:type="dxa"/>
            <w:gridSpan w:val="5"/>
            <w:vAlign w:val="center"/>
          </w:tcPr>
          <w:p w:rsidR="00D602D4" w:rsidRDefault="000B4C8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Период</w:t>
            </w:r>
          </w:p>
        </w:tc>
      </w:tr>
      <w:tr w:rsidR="00D602D4">
        <w:trPr>
          <w:gridAfter w:val="1"/>
          <w:wAfter w:w="8" w:type="dxa"/>
          <w:cantSplit/>
          <w:trHeight w:val="20"/>
        </w:trPr>
        <w:tc>
          <w:tcPr>
            <w:tcW w:w="4218" w:type="dxa"/>
            <w:vMerge/>
            <w:vAlign w:val="center"/>
          </w:tcPr>
          <w:p w:rsidR="00D602D4" w:rsidRDefault="00D602D4">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992" w:type="dxa"/>
            <w:vMerge/>
            <w:vAlign w:val="center"/>
          </w:tcPr>
          <w:p w:rsidR="00D602D4" w:rsidRDefault="00D602D4">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992" w:type="dxa"/>
            <w:vAlign w:val="center"/>
          </w:tcPr>
          <w:p w:rsidR="00D602D4" w:rsidRDefault="000B4C8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2022 год</w:t>
            </w:r>
          </w:p>
          <w:p w:rsidR="00D602D4" w:rsidRDefault="000B4C8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851" w:type="dxa"/>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2023 год</w:t>
            </w:r>
          </w:p>
          <w:p w:rsidR="00D602D4" w:rsidRDefault="000B4C8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850" w:type="dxa"/>
            <w:vAlign w:val="center"/>
          </w:tcPr>
          <w:p w:rsidR="00D602D4" w:rsidRDefault="000B4C8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2024 год</w:t>
            </w:r>
          </w:p>
          <w:p w:rsidR="00D602D4" w:rsidRDefault="000B4C8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1276" w:type="dxa"/>
            <w:vAlign w:val="center"/>
          </w:tcPr>
          <w:p w:rsidR="00D602D4" w:rsidRDefault="000B4C86">
            <w:pPr>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изменение 2024/2023, %</w:t>
            </w:r>
          </w:p>
        </w:tc>
      </w:tr>
      <w:tr w:rsidR="00D602D4">
        <w:trPr>
          <w:gridAfter w:val="1"/>
          <w:wAfter w:w="8" w:type="dxa"/>
          <w:cantSplit/>
          <w:trHeight w:val="20"/>
        </w:trPr>
        <w:tc>
          <w:tcPr>
            <w:tcW w:w="4218" w:type="dxa"/>
            <w:vAlign w:val="center"/>
          </w:tcPr>
          <w:p w:rsidR="00D602D4" w:rsidRDefault="000B4C8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Объем финансирования мероприятий Программы цифровой трансформации </w:t>
            </w:r>
          </w:p>
          <w:p w:rsidR="00D602D4" w:rsidRDefault="000B4C86">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color w:val="000000"/>
                <w:sz w:val="20"/>
                <w:szCs w:val="20"/>
                <w:lang w:eastAsia="ru-RU"/>
              </w:rPr>
              <w:t xml:space="preserve">ПАО «Россети Сибирь» </w:t>
            </w:r>
          </w:p>
        </w:tc>
        <w:tc>
          <w:tcPr>
            <w:tcW w:w="992" w:type="dxa"/>
            <w:vAlign w:val="center"/>
          </w:tcPr>
          <w:p w:rsidR="00D602D4" w:rsidRDefault="000B4C86">
            <w:pPr>
              <w:spacing w:after="0" w:line="240" w:lineRule="auto"/>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w:t>
            </w:r>
          </w:p>
          <w:p w:rsidR="00D602D4" w:rsidRDefault="000B4C86">
            <w:pPr>
              <w:spacing w:after="0" w:line="240" w:lineRule="auto"/>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rPr>
              <w:t>руб.</w:t>
            </w:r>
          </w:p>
        </w:tc>
        <w:tc>
          <w:tcPr>
            <w:tcW w:w="992" w:type="dxa"/>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bCs/>
                <w:color w:val="000000"/>
                <w:sz w:val="20"/>
                <w:szCs w:val="20"/>
                <w:lang w:eastAsia="ru-RU"/>
              </w:rPr>
              <w:t>363,3</w:t>
            </w:r>
          </w:p>
        </w:tc>
        <w:tc>
          <w:tcPr>
            <w:tcW w:w="851"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964,4</w:t>
            </w:r>
          </w:p>
        </w:tc>
        <w:tc>
          <w:tcPr>
            <w:tcW w:w="850" w:type="dxa"/>
            <w:vAlign w:val="center"/>
          </w:tcPr>
          <w:p w:rsidR="00D602D4" w:rsidRDefault="000B4C86">
            <w:pPr>
              <w:widowControl w:val="0"/>
              <w:spacing w:after="0" w:line="240" w:lineRule="auto"/>
              <w:ind w:left="40" w:right="-109"/>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708,1</w:t>
            </w:r>
          </w:p>
        </w:tc>
        <w:tc>
          <w:tcPr>
            <w:tcW w:w="1276" w:type="dxa"/>
            <w:vAlign w:val="center"/>
          </w:tcPr>
          <w:p w:rsidR="00D602D4" w:rsidRDefault="000B4C86">
            <w:pPr>
              <w:widowControl w:val="0"/>
              <w:spacing w:after="0" w:line="240" w:lineRule="auto"/>
              <w:ind w:left="40" w:right="-109"/>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-27</w:t>
            </w:r>
          </w:p>
        </w:tc>
      </w:tr>
      <w:tr w:rsidR="00D602D4">
        <w:trPr>
          <w:gridAfter w:val="1"/>
          <w:wAfter w:w="8" w:type="dxa"/>
          <w:trHeight w:val="450"/>
        </w:trPr>
        <w:tc>
          <w:tcPr>
            <w:tcW w:w="4218" w:type="dxa"/>
            <w:vMerge w:val="restart"/>
            <w:vAlign w:val="center"/>
          </w:tcPr>
          <w:p w:rsidR="00D602D4" w:rsidRDefault="000B4C86">
            <w:pPr>
              <w:pBdr>
                <w:top w:val="none" w:sz="4" w:space="0" w:color="000000"/>
                <w:left w:val="none" w:sz="4" w:space="0" w:color="000000"/>
                <w:bottom w:val="none" w:sz="4" w:space="0" w:color="000000"/>
                <w:right w:val="none" w:sz="4" w:space="0" w:color="000000"/>
              </w:pBdr>
              <w:jc w:val="both"/>
            </w:pPr>
            <w:r>
              <w:rPr>
                <w:rFonts w:ascii="Times New Roman" w:eastAsia="Times New Roman" w:hAnsi="Times New Roman" w:cs="Times New Roman"/>
                <w:color w:val="000000"/>
                <w:sz w:val="20"/>
              </w:rPr>
              <w:t>Доля руководителей, специалистов и служащих, обученных цифровым компетенциям в соответствии с принятыми корпоративными стандартами или, при их отсутствии, в соответствии с приказами Минэкономразвития России от СЧ на конец отчетного периода</w:t>
            </w:r>
          </w:p>
        </w:tc>
        <w:tc>
          <w:tcPr>
            <w:tcW w:w="992" w:type="dxa"/>
            <w:vMerge w:val="restart"/>
            <w:vAlign w:val="center"/>
          </w:tcPr>
          <w:p w:rsidR="00D602D4" w:rsidRDefault="000B4C86">
            <w:pPr>
              <w:pBdr>
                <w:top w:val="none" w:sz="4" w:space="0" w:color="000000"/>
                <w:left w:val="none" w:sz="4" w:space="0" w:color="000000"/>
                <w:bottom w:val="none" w:sz="4" w:space="0" w:color="000000"/>
                <w:right w:val="none" w:sz="4" w:space="0" w:color="000000"/>
              </w:pBdr>
              <w:spacing w:after="0"/>
              <w:ind w:left="-104" w:right="-107"/>
              <w:jc w:val="center"/>
            </w:pPr>
            <w:r>
              <w:rPr>
                <w:rFonts w:ascii="Times New Roman" w:eastAsia="Times New Roman" w:hAnsi="Times New Roman" w:cs="Times New Roman"/>
                <w:color w:val="000000"/>
                <w:sz w:val="20"/>
              </w:rPr>
              <w:t>%</w:t>
            </w:r>
          </w:p>
        </w:tc>
        <w:tc>
          <w:tcPr>
            <w:tcW w:w="992" w:type="dxa"/>
            <w:vMerge w:val="restart"/>
            <w:vAlign w:val="center"/>
          </w:tcPr>
          <w:p w:rsidR="00D602D4" w:rsidRDefault="000B4C86">
            <w:pPr>
              <w:pBdr>
                <w:top w:val="none" w:sz="4" w:space="0" w:color="000000"/>
                <w:left w:val="none" w:sz="4" w:space="0" w:color="000000"/>
                <w:bottom w:val="none" w:sz="4" w:space="0" w:color="000000"/>
                <w:right w:val="none" w:sz="4" w:space="0" w:color="000000"/>
              </w:pBdr>
              <w:spacing w:after="0"/>
              <w:ind w:left="40" w:right="-109"/>
              <w:jc w:val="center"/>
            </w:pPr>
            <w:r>
              <w:rPr>
                <w:rFonts w:ascii="Times New Roman" w:eastAsia="Times New Roman" w:hAnsi="Times New Roman" w:cs="Times New Roman"/>
                <w:color w:val="000000"/>
                <w:sz w:val="20"/>
              </w:rPr>
              <w:t>93,1</w:t>
            </w:r>
          </w:p>
        </w:tc>
        <w:tc>
          <w:tcPr>
            <w:tcW w:w="851" w:type="dxa"/>
            <w:vMerge w:val="restart"/>
            <w:shd w:val="clear" w:color="FFFFFF" w:fill="FFFFFF"/>
            <w:vAlign w:val="center"/>
          </w:tcPr>
          <w:p w:rsidR="00D602D4" w:rsidRDefault="000B4C86">
            <w:pPr>
              <w:pBdr>
                <w:top w:val="none" w:sz="4" w:space="0" w:color="000000"/>
                <w:left w:val="none" w:sz="4" w:space="0" w:color="000000"/>
                <w:bottom w:val="none" w:sz="4" w:space="0" w:color="000000"/>
                <w:right w:val="none" w:sz="4" w:space="0" w:color="000000"/>
              </w:pBdr>
              <w:spacing w:after="0"/>
              <w:ind w:left="40" w:right="-109"/>
              <w:jc w:val="center"/>
            </w:pPr>
            <w:r>
              <w:rPr>
                <w:rFonts w:ascii="Times New Roman" w:eastAsia="Times New Roman" w:hAnsi="Times New Roman" w:cs="Times New Roman"/>
                <w:color w:val="000000"/>
                <w:sz w:val="20"/>
              </w:rPr>
              <w:t>94,6</w:t>
            </w:r>
          </w:p>
        </w:tc>
        <w:tc>
          <w:tcPr>
            <w:tcW w:w="850" w:type="dxa"/>
            <w:vMerge w:val="restart"/>
            <w:vAlign w:val="center"/>
          </w:tcPr>
          <w:p w:rsidR="00D602D4" w:rsidRDefault="000B4C86">
            <w:pPr>
              <w:pBdr>
                <w:top w:val="none" w:sz="4" w:space="0" w:color="000000"/>
                <w:left w:val="none" w:sz="4" w:space="0" w:color="000000"/>
                <w:bottom w:val="none" w:sz="4" w:space="0" w:color="000000"/>
                <w:right w:val="none" w:sz="4" w:space="0" w:color="000000"/>
              </w:pBdr>
              <w:spacing w:after="0"/>
              <w:ind w:left="40" w:right="-109"/>
              <w:jc w:val="center"/>
            </w:pPr>
            <w:r>
              <w:rPr>
                <w:rFonts w:ascii="Times New Roman" w:eastAsia="Times New Roman" w:hAnsi="Times New Roman" w:cs="Times New Roman"/>
                <w:color w:val="000000"/>
                <w:sz w:val="20"/>
              </w:rPr>
              <w:t>100</w:t>
            </w:r>
          </w:p>
        </w:tc>
        <w:tc>
          <w:tcPr>
            <w:tcW w:w="1276" w:type="dxa"/>
            <w:vMerge w:val="restart"/>
            <w:vAlign w:val="center"/>
          </w:tcPr>
          <w:p w:rsidR="00D602D4" w:rsidRDefault="000B4C86">
            <w:pPr>
              <w:pBdr>
                <w:top w:val="none" w:sz="4" w:space="0" w:color="000000"/>
                <w:left w:val="none" w:sz="4" w:space="0" w:color="000000"/>
                <w:bottom w:val="none" w:sz="4" w:space="0" w:color="000000"/>
                <w:right w:val="none" w:sz="4" w:space="0" w:color="000000"/>
              </w:pBdr>
              <w:spacing w:after="0"/>
              <w:ind w:left="40" w:right="-109"/>
              <w:jc w:val="center"/>
            </w:pPr>
            <w:r>
              <w:rPr>
                <w:rFonts w:ascii="Times New Roman" w:eastAsia="Times New Roman" w:hAnsi="Times New Roman" w:cs="Times New Roman"/>
                <w:color w:val="000000"/>
                <w:sz w:val="20"/>
              </w:rPr>
              <w:t>6</w:t>
            </w:r>
          </w:p>
        </w:tc>
      </w:tr>
    </w:tbl>
    <w:p w:rsidR="00D602D4" w:rsidRDefault="00D602D4">
      <w:pPr>
        <w:pStyle w:val="13"/>
        <w:spacing w:before="0" w:line="240" w:lineRule="auto"/>
        <w:rPr>
          <w:rFonts w:ascii="Times New Roman" w:eastAsia="Times New Roman" w:hAnsi="Times New Roman" w:cs="Times New Roman"/>
          <w:sz w:val="26"/>
          <w:szCs w:val="26"/>
        </w:rPr>
      </w:pPr>
    </w:p>
    <w:p w:rsidR="00D602D4" w:rsidRDefault="00D602D4">
      <w:pPr>
        <w:spacing w:after="0" w:line="240" w:lineRule="auto"/>
        <w:ind w:firstLine="709"/>
        <w:contextualSpacing/>
        <w:jc w:val="both"/>
        <w:rPr>
          <w:rFonts w:ascii="Times New Roman" w:eastAsia="Yu Mincho" w:hAnsi="Times New Roman" w:cs="Times New Roman"/>
          <w:color w:val="000000"/>
          <w:sz w:val="24"/>
          <w:szCs w:val="24"/>
          <w:lang w:eastAsia="ru-RU"/>
        </w:rPr>
      </w:pPr>
    </w:p>
    <w:p w:rsidR="00D602D4" w:rsidRDefault="00D602D4">
      <w:pPr>
        <w:spacing w:after="0" w:line="240" w:lineRule="auto"/>
        <w:ind w:firstLine="709"/>
        <w:contextualSpacing/>
        <w:jc w:val="both"/>
        <w:rPr>
          <w:rFonts w:ascii="Times New Roman" w:eastAsia="Yu Mincho" w:hAnsi="Times New Roman" w:cs="Times New Roman"/>
          <w:color w:val="000000"/>
          <w:sz w:val="24"/>
          <w:szCs w:val="24"/>
          <w:lang w:eastAsia="ru-RU"/>
        </w:rPr>
      </w:pPr>
    </w:p>
    <w:p w:rsidR="00D602D4" w:rsidRDefault="00D602D4">
      <w:pPr>
        <w:spacing w:after="0" w:line="240" w:lineRule="auto"/>
        <w:ind w:firstLine="709"/>
        <w:contextualSpacing/>
        <w:jc w:val="both"/>
        <w:rPr>
          <w:rFonts w:ascii="Times New Roman" w:eastAsia="Yu Mincho" w:hAnsi="Times New Roman" w:cs="Times New Roman"/>
          <w:color w:val="000000"/>
          <w:sz w:val="24"/>
          <w:szCs w:val="24"/>
          <w:lang w:eastAsia="ru-RU"/>
        </w:rPr>
      </w:pPr>
    </w:p>
    <w:p w:rsidR="00D602D4" w:rsidRDefault="00D602D4">
      <w:pPr>
        <w:spacing w:after="0" w:line="240" w:lineRule="auto"/>
        <w:ind w:firstLine="709"/>
        <w:contextualSpacing/>
        <w:jc w:val="both"/>
        <w:rPr>
          <w:rFonts w:ascii="Times New Roman" w:eastAsia="Yu Mincho" w:hAnsi="Times New Roman" w:cs="Times New Roman"/>
          <w:color w:val="000000"/>
          <w:sz w:val="24"/>
          <w:szCs w:val="24"/>
          <w:lang w:eastAsia="ru-RU"/>
        </w:rPr>
      </w:pPr>
    </w:p>
    <w:p w:rsidR="00D602D4" w:rsidRDefault="00D602D4">
      <w:pPr>
        <w:spacing w:after="0" w:line="240" w:lineRule="auto"/>
        <w:ind w:firstLine="709"/>
        <w:contextualSpacing/>
        <w:jc w:val="both"/>
        <w:rPr>
          <w:rFonts w:ascii="Times New Roman" w:eastAsia="Yu Mincho" w:hAnsi="Times New Roman" w:cs="Times New Roman"/>
          <w:color w:val="000000"/>
          <w:sz w:val="24"/>
          <w:szCs w:val="24"/>
          <w:lang w:eastAsia="ru-RU"/>
        </w:rPr>
      </w:pPr>
    </w:p>
    <w:p w:rsidR="00D602D4" w:rsidRDefault="00D602D4">
      <w:pPr>
        <w:spacing w:after="0" w:line="240" w:lineRule="auto"/>
        <w:ind w:firstLine="709"/>
        <w:contextualSpacing/>
        <w:jc w:val="both"/>
        <w:rPr>
          <w:rFonts w:ascii="Times New Roman" w:eastAsia="Yu Mincho" w:hAnsi="Times New Roman" w:cs="Times New Roman"/>
          <w:color w:val="000000"/>
          <w:sz w:val="24"/>
          <w:szCs w:val="24"/>
          <w:lang w:eastAsia="ru-RU"/>
        </w:rPr>
      </w:pPr>
    </w:p>
    <w:p w:rsidR="00D602D4" w:rsidRDefault="000B4C86">
      <w:pPr>
        <w:spacing w:after="0" w:line="240" w:lineRule="auto"/>
        <w:contextualSpacing/>
        <w:jc w:val="both"/>
        <w:rPr>
          <w:rFonts w:ascii="Times New Roman" w:eastAsia="Yu Mincho" w:hAnsi="Times New Roman" w:cs="Times New Roman"/>
          <w:color w:val="000000"/>
          <w:sz w:val="24"/>
          <w:szCs w:val="24"/>
          <w:lang w:eastAsia="ru-RU"/>
        </w:rPr>
      </w:pPr>
      <w:bookmarkStart w:id="48" w:name="_Toc77"/>
      <w:r>
        <w:rPr>
          <w:rFonts w:ascii="Times New Roman" w:eastAsia="Times New Roman" w:hAnsi="Times New Roman" w:cs="Times New Roman"/>
          <w:b/>
          <w:sz w:val="26"/>
          <w:szCs w:val="26"/>
        </w:rPr>
        <w:lastRenderedPageBreak/>
        <w:t>4. Устойчивое развитие</w:t>
      </w:r>
      <w:bookmarkEnd w:id="48"/>
    </w:p>
    <w:p w:rsidR="00D602D4" w:rsidRDefault="000B4C86">
      <w:pPr>
        <w:pStyle w:val="13"/>
        <w:spacing w:before="0" w:line="240" w:lineRule="auto"/>
        <w:jc w:val="both"/>
        <w:rPr>
          <w:rFonts w:ascii="Times New Roman" w:hAnsi="Times New Roman" w:cs="Times New Roman"/>
          <w:b/>
          <w:color w:val="auto"/>
          <w:sz w:val="26"/>
          <w:szCs w:val="26"/>
        </w:rPr>
      </w:pPr>
      <w:bookmarkStart w:id="49" w:name="_Toc78"/>
      <w:r>
        <w:rPr>
          <w:rFonts w:ascii="Times New Roman" w:eastAsia="Times New Roman" w:hAnsi="Times New Roman" w:cs="Times New Roman"/>
          <w:b/>
          <w:color w:val="auto"/>
          <w:sz w:val="26"/>
          <w:szCs w:val="26"/>
        </w:rPr>
        <w:t>4.1. Общая информация об управлении устойчивым развитием в Обществе</w:t>
      </w:r>
      <w:bookmarkEnd w:id="49"/>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ПАО «Россети Сибирь» стремится последовательно внедрять принципы устойчивого развития в свои операционные и управленческие процессы. Подход к устойчивому развитию основывается на постоянном взаимодействии с заинтересованными сторонами и системной оценке Компанией своего влияния на экономику, окружающую среду и общество.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Решением Совета директоров ПАО «Россети Сибирь» от 29.12.2023 (протокол от 29.12.2023 № 512/23) </w:t>
      </w:r>
      <w:r>
        <w:rPr>
          <w:rFonts w:ascii="Times New Roman" w:eastAsia="Times New Roman" w:hAnsi="Times New Roman" w:cs="Times New Roman"/>
          <w:bCs/>
          <w:sz w:val="24"/>
          <w:szCs w:val="24"/>
        </w:rPr>
        <w:t>Политика в области устойчивого развития ПАО «Россети» и Политика в области изменения климата ПАО «Россети» утверждены в качестве внутренних документов ПАО «Россети Сибирь».</w:t>
      </w:r>
      <w:r>
        <w:rPr>
          <w:rStyle w:val="af1"/>
          <w:rFonts w:ascii="Times New Roman" w:eastAsia="Times New Roman" w:hAnsi="Times New Roman" w:cs="Times New Roman"/>
          <w:bCs/>
          <w:sz w:val="20"/>
          <w:szCs w:val="20"/>
        </w:rPr>
        <w:footnoteReference w:id="21"/>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В качестве основных приоритетов своего развития ПАО «Россети Сибирь» выделяет 5 ключевых направлений как традиционно связываемых с деятельностью в области устойчивого развития, так и специфических, присущих ПАО «Россети Сибирь» как электросетевой компании: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 взаимодействие с заинтересованными лицами;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 устойчивое экономическое развитие;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 уменьшение негативного воздействия на экологию;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 управление воздействием на социальную сферу и персонал;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повышение энергоэффективности и обеспечение надежности электроснабжения.</w:t>
      </w:r>
    </w:p>
    <w:p w:rsidR="00D602D4" w:rsidRDefault="00D602D4">
      <w:pPr>
        <w:rPr>
          <w:rFonts w:ascii="Times New Roman" w:hAnsi="Times New Roman" w:cs="Times New Roman"/>
        </w:rPr>
      </w:pPr>
    </w:p>
    <w:p w:rsidR="00D602D4" w:rsidRDefault="000B4C86">
      <w:pPr>
        <w:pStyle w:val="13"/>
        <w:spacing w:before="0" w:line="240" w:lineRule="auto"/>
        <w:rPr>
          <w:rFonts w:ascii="Times New Roman" w:hAnsi="Times New Roman" w:cs="Times New Roman"/>
          <w:b/>
          <w:color w:val="auto"/>
          <w:sz w:val="26"/>
          <w:szCs w:val="26"/>
        </w:rPr>
      </w:pPr>
      <w:bookmarkStart w:id="50" w:name="_Toc79"/>
      <w:r>
        <w:rPr>
          <w:rFonts w:ascii="Times New Roman" w:eastAsia="Times New Roman" w:hAnsi="Times New Roman" w:cs="Times New Roman"/>
          <w:b/>
          <w:color w:val="auto"/>
          <w:sz w:val="26"/>
          <w:szCs w:val="26"/>
        </w:rPr>
        <w:t>4.2. Стратегия устойчивого развития Общества</w:t>
      </w:r>
      <w:bookmarkEnd w:id="50"/>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Понимание Компанией устойчивого развития совпадает с определением ООН: «Устойчивое развитие – это такое развитие, которое удовлетворяет потребности настоящего времени, но не ставит под угрозу способность будущих поколений удовлетворять свои собственные потребности».</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В своей деятельности ПАО «Россети Сибирь» придерживается принципа предосторожности, сформулированного в Декларации ООН по окружающей среде и развитию. Указанный принцип реализуется Компанией повсеместно в процессе управления воздействием на окружающую среду на всех стадиях жизни проектов. Компания на постоянной основе работает над выполнением требований природоохранного законодательства, повышением уровня производственной и экологической безопасности, обеспечением планомерного и эффективного снижения негативного воздействия производственной деятельности на окружающую среду.</w:t>
      </w:r>
    </w:p>
    <w:p w:rsidR="00D602D4" w:rsidRDefault="00D602D4">
      <w:pPr>
        <w:spacing w:after="0" w:line="240" w:lineRule="auto"/>
        <w:ind w:firstLine="709"/>
        <w:jc w:val="both"/>
        <w:rPr>
          <w:rFonts w:ascii="Times New Roman" w:hAnsi="Times New Roman" w:cs="Times New Roman"/>
          <w:b/>
          <w:bCs/>
          <w:sz w:val="24"/>
          <w:szCs w:val="24"/>
        </w:rPr>
      </w:pPr>
    </w:p>
    <w:p w:rsidR="00D602D4" w:rsidRDefault="000B4C86">
      <w:pPr>
        <w:spacing w:after="0" w:line="240" w:lineRule="auto"/>
        <w:ind w:firstLine="709"/>
        <w:jc w:val="both"/>
        <w:rPr>
          <w:rFonts w:ascii="Times New Roman" w:hAnsi="Times New Roman" w:cs="Times New Roman"/>
          <w:b/>
          <w:bCs/>
          <w:sz w:val="24"/>
          <w:szCs w:val="24"/>
        </w:rPr>
      </w:pPr>
      <w:r>
        <w:rPr>
          <w:rFonts w:ascii="Times New Roman" w:eastAsia="Times New Roman" w:hAnsi="Times New Roman" w:cs="Times New Roman"/>
          <w:b/>
          <w:bCs/>
          <w:sz w:val="24"/>
          <w:szCs w:val="24"/>
        </w:rPr>
        <w:t>Деятельность ПАО «Россети Сибирь» и Цели в области устойчивого развития ООН</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25.09.2015 в штаб-квартире Организации Объединенных Наций в Нью-Йорке мировые лидеры, в том числе главы государств и правительств, одобрили Повестку дня в области устойчивого развития под названием: «Преобразование нашего мира: Повестка дня в области устойчивого развития на период до 2030 года» на период после 2015 года. Эта Повестка дня содержит 17 целей и 169 задач.</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Компания осуществляет свою деятельность, ориентируясь на Цели в области устойчивого развития ООН.</w:t>
      </w:r>
    </w:p>
    <w:p w:rsidR="00D602D4" w:rsidRDefault="00D602D4">
      <w:pPr>
        <w:spacing w:after="0" w:line="240" w:lineRule="auto"/>
        <w:jc w:val="right"/>
        <w:rPr>
          <w:rFonts w:ascii="Times New Roman" w:eastAsia="Times New Roman" w:hAnsi="Times New Roman" w:cs="Times New Roman"/>
          <w:sz w:val="24"/>
          <w:szCs w:val="24"/>
        </w:rPr>
      </w:pPr>
    </w:p>
    <w:p w:rsidR="00D602D4" w:rsidRDefault="000B4C86">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Таблица 42</w:t>
      </w:r>
    </w:p>
    <w:tbl>
      <w:tblPr>
        <w:tblW w:w="10348" w:type="dxa"/>
        <w:tblInd w:w="-1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6"/>
        <w:gridCol w:w="2100"/>
        <w:gridCol w:w="3261"/>
        <w:gridCol w:w="2551"/>
      </w:tblGrid>
      <w:tr w:rsidR="00D602D4">
        <w:trPr>
          <w:trHeight w:val="255"/>
        </w:trPr>
        <w:tc>
          <w:tcPr>
            <w:tcW w:w="2436"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Цель ООН </w:t>
            </w:r>
          </w:p>
        </w:tc>
        <w:tc>
          <w:tcPr>
            <w:tcW w:w="2100"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Краткое описание целей</w:t>
            </w:r>
          </w:p>
        </w:tc>
        <w:tc>
          <w:tcPr>
            <w:tcW w:w="3261"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Направление деятельности</w:t>
            </w:r>
          </w:p>
        </w:tc>
        <w:tc>
          <w:tcPr>
            <w:tcW w:w="2551"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Основные результаты и достижения за 2024 год</w:t>
            </w:r>
          </w:p>
        </w:tc>
      </w:tr>
      <w:tr w:rsidR="00D602D4">
        <w:trPr>
          <w:trHeight w:val="2928"/>
        </w:trPr>
        <w:tc>
          <w:tcPr>
            <w:tcW w:w="2436"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noProof/>
                <w:color w:val="000000"/>
                <w:sz w:val="20"/>
                <w:szCs w:val="20"/>
                <w:lang w:eastAsia="ru-RU"/>
              </w:rPr>
              <w:drawing>
                <wp:anchor distT="0" distB="0" distL="114300" distR="114300" simplePos="0" relativeHeight="251613696" behindDoc="0" locked="0" layoutInCell="1" allowOverlap="1">
                  <wp:simplePos x="0" y="0"/>
                  <wp:positionH relativeFrom="column">
                    <wp:posOffset>0</wp:posOffset>
                  </wp:positionH>
                  <wp:positionV relativeFrom="paragraph">
                    <wp:posOffset>0</wp:posOffset>
                  </wp:positionV>
                  <wp:extent cx="1323975" cy="1314450"/>
                  <wp:effectExtent l="0" t="0" r="9525" b="0"/>
                  <wp:wrapNone/>
                  <wp:docPr id="3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74"/>
                          <a:stretch/>
                        </pic:blipFill>
                        <pic:spPr bwMode="auto">
                          <a:xfrm>
                            <a:off x="0" y="0"/>
                            <a:ext cx="1323974" cy="1314450"/>
                          </a:xfrm>
                          <a:prstGeom prst="rect">
                            <a:avLst/>
                          </a:prstGeom>
                          <a:noFill/>
                        </pic:spPr>
                      </pic:pic>
                    </a:graphicData>
                  </a:graphic>
                  <wp14:sizeRelH relativeFrom="page">
                    <wp14:pctWidth>0</wp14:pctWidth>
                  </wp14:sizeRelH>
                  <wp14:sizeRelV relativeFrom="page">
                    <wp14:pctHeight>0</wp14:pctHeight>
                  </wp14:sizeRelV>
                </wp:anchor>
              </w:drawing>
            </w:r>
          </w:p>
          <w:p w:rsidR="00D602D4" w:rsidRDefault="00D602D4">
            <w:pPr>
              <w:spacing w:after="0" w:line="240" w:lineRule="auto"/>
              <w:rPr>
                <w:rFonts w:ascii="Times New Roman" w:hAnsi="Times New Roman" w:cs="Times New Roman"/>
                <w:color w:val="000000"/>
                <w:sz w:val="20"/>
                <w:szCs w:val="20"/>
              </w:rPr>
            </w:pPr>
          </w:p>
        </w:tc>
        <w:tc>
          <w:tcPr>
            <w:tcW w:w="2100"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Обеспечение здорового образа</w:t>
            </w:r>
            <w:r>
              <w:rPr>
                <w:rFonts w:ascii="Times New Roman" w:eastAsia="Times New Roman" w:hAnsi="Times New Roman" w:cs="Times New Roman"/>
                <w:color w:val="000000"/>
                <w:sz w:val="20"/>
                <w:szCs w:val="20"/>
                <w:lang w:eastAsia="ru-RU"/>
              </w:rPr>
              <w:br/>
              <w:t>жизни и содействие</w:t>
            </w:r>
            <w:r>
              <w:rPr>
                <w:rFonts w:ascii="Times New Roman" w:eastAsia="Times New Roman" w:hAnsi="Times New Roman" w:cs="Times New Roman"/>
                <w:color w:val="000000"/>
                <w:sz w:val="20"/>
                <w:szCs w:val="20"/>
                <w:lang w:eastAsia="ru-RU"/>
              </w:rPr>
              <w:br/>
              <w:t>благополучию для всех в любом возрасте</w:t>
            </w:r>
          </w:p>
        </w:tc>
        <w:tc>
          <w:tcPr>
            <w:tcW w:w="3261" w:type="dxa"/>
            <w:shd w:val="clear" w:color="auto" w:fill="auto"/>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sz w:val="20"/>
                <w:szCs w:val="20"/>
              </w:rPr>
              <w:t xml:space="preserve">Общество стремится обеспечить безопасность населения, сохранить здоровье и благополучие своих работников при осуществлении операционной деятельности, в том числе, путем: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обеспечения безопасных условий и охраны труда;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страхования здоровья и жизни персонала; </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sz w:val="20"/>
                <w:szCs w:val="20"/>
              </w:rPr>
              <w:t>· пропаганды спортивного образа жизни</w:t>
            </w:r>
          </w:p>
        </w:tc>
        <w:tc>
          <w:tcPr>
            <w:tcW w:w="2551"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 Расходы на охрану труда в 2024 году составили 727,1 млн руб.</w:t>
            </w:r>
            <w:r>
              <w:rPr>
                <w:rFonts w:ascii="Times New Roman" w:eastAsia="Times New Roman" w:hAnsi="Times New Roman" w:cs="Times New Roman"/>
                <w:color w:val="000000"/>
                <w:sz w:val="20"/>
                <w:szCs w:val="20"/>
                <w:lang w:eastAsia="ru-RU"/>
              </w:rPr>
              <w:br/>
              <w:t xml:space="preserve"> - Обеспечение безопасности на производстве — персонал в соответствии с нормами обеспечен на 100% средствами защиты и приспособлениями и на 100% для работы на высоте.</w:t>
            </w:r>
          </w:p>
        </w:tc>
      </w:tr>
      <w:tr w:rsidR="00D602D4">
        <w:trPr>
          <w:trHeight w:val="3180"/>
        </w:trPr>
        <w:tc>
          <w:tcPr>
            <w:tcW w:w="2436"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noProof/>
                <w:color w:val="000000"/>
                <w:sz w:val="20"/>
                <w:szCs w:val="20"/>
                <w:lang w:eastAsia="ru-RU"/>
              </w:rPr>
              <w:drawing>
                <wp:anchor distT="0" distB="0" distL="114300" distR="114300" simplePos="0" relativeHeight="251614720" behindDoc="0" locked="0" layoutInCell="1" allowOverlap="1">
                  <wp:simplePos x="0" y="0"/>
                  <wp:positionH relativeFrom="column">
                    <wp:posOffset>0</wp:posOffset>
                  </wp:positionH>
                  <wp:positionV relativeFrom="paragraph">
                    <wp:posOffset>0</wp:posOffset>
                  </wp:positionV>
                  <wp:extent cx="1362075" cy="1333500"/>
                  <wp:effectExtent l="0" t="0" r="9525" b="0"/>
                  <wp:wrapNone/>
                  <wp:docPr id="3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75"/>
                          <a:stretch/>
                        </pic:blipFill>
                        <pic:spPr bwMode="auto">
                          <a:xfrm>
                            <a:off x="0" y="0"/>
                            <a:ext cx="1362075" cy="1333500"/>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2220"/>
            </w:tblGrid>
            <w:tr w:rsidR="00D602D4">
              <w:trPr>
                <w:trHeight w:val="3180"/>
                <w:tblCellSpacing w:w="0" w:type="dxa"/>
              </w:trPr>
              <w:tc>
                <w:tcPr>
                  <w:tcW w:w="2220" w:type="dxa"/>
                  <w:tcBorders>
                    <w:top w:val="none" w:sz="4" w:space="0" w:color="000000"/>
                    <w:left w:val="none" w:sz="4" w:space="0" w:color="000000"/>
                    <w:bottom w:val="none" w:sz="4" w:space="0" w:color="000000"/>
                    <w:right w:val="none" w:sz="4" w:space="0" w:color="000000"/>
                  </w:tcBorders>
                  <w:shd w:val="clear" w:color="auto" w:fill="auto"/>
                  <w:noWrap/>
                  <w:vAlign w:val="bottom"/>
                </w:tcPr>
                <w:p w:rsidR="00D602D4" w:rsidRDefault="00D602D4">
                  <w:pPr>
                    <w:spacing w:after="0" w:line="240" w:lineRule="auto"/>
                    <w:rPr>
                      <w:rFonts w:ascii="Times New Roman" w:hAnsi="Times New Roman" w:cs="Times New Roman"/>
                      <w:color w:val="000000"/>
                      <w:sz w:val="20"/>
                      <w:szCs w:val="20"/>
                    </w:rPr>
                  </w:pPr>
                </w:p>
              </w:tc>
            </w:tr>
          </w:tbl>
          <w:p w:rsidR="00D602D4" w:rsidRDefault="00D602D4">
            <w:pPr>
              <w:spacing w:after="0" w:line="240" w:lineRule="auto"/>
              <w:rPr>
                <w:rFonts w:ascii="Times New Roman" w:hAnsi="Times New Roman" w:cs="Times New Roman"/>
                <w:color w:val="000000"/>
                <w:sz w:val="20"/>
                <w:szCs w:val="20"/>
              </w:rPr>
            </w:pPr>
          </w:p>
        </w:tc>
        <w:tc>
          <w:tcPr>
            <w:tcW w:w="2100"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Обеспечение всеохватного и</w:t>
            </w:r>
            <w:r>
              <w:rPr>
                <w:rFonts w:ascii="Times New Roman" w:eastAsia="Times New Roman" w:hAnsi="Times New Roman" w:cs="Times New Roman"/>
                <w:color w:val="000000"/>
                <w:sz w:val="20"/>
                <w:szCs w:val="20"/>
                <w:lang w:eastAsia="ru-RU"/>
              </w:rPr>
              <w:br/>
              <w:t>справедливого качественного</w:t>
            </w:r>
            <w:r>
              <w:rPr>
                <w:rFonts w:ascii="Times New Roman" w:eastAsia="Times New Roman" w:hAnsi="Times New Roman" w:cs="Times New Roman"/>
                <w:color w:val="000000"/>
                <w:sz w:val="20"/>
                <w:szCs w:val="20"/>
                <w:lang w:eastAsia="ru-RU"/>
              </w:rPr>
              <w:br/>
              <w:t>образования и поощрение</w:t>
            </w:r>
            <w:r>
              <w:rPr>
                <w:rFonts w:ascii="Times New Roman" w:eastAsia="Times New Roman" w:hAnsi="Times New Roman" w:cs="Times New Roman"/>
                <w:color w:val="000000"/>
                <w:sz w:val="20"/>
                <w:szCs w:val="20"/>
                <w:lang w:eastAsia="ru-RU"/>
              </w:rPr>
              <w:br/>
              <w:t>возможности обучения на</w:t>
            </w:r>
            <w:r>
              <w:rPr>
                <w:rFonts w:ascii="Times New Roman" w:eastAsia="Times New Roman" w:hAnsi="Times New Roman" w:cs="Times New Roman"/>
                <w:color w:val="000000"/>
                <w:sz w:val="20"/>
                <w:szCs w:val="20"/>
                <w:lang w:eastAsia="ru-RU"/>
              </w:rPr>
              <w:br/>
              <w:t>протяжении всей жизни для</w:t>
            </w:r>
            <w:r>
              <w:rPr>
                <w:rFonts w:ascii="Times New Roman" w:eastAsia="Times New Roman" w:hAnsi="Times New Roman" w:cs="Times New Roman"/>
                <w:color w:val="000000"/>
                <w:sz w:val="20"/>
                <w:szCs w:val="20"/>
                <w:lang w:eastAsia="ru-RU"/>
              </w:rPr>
              <w:br/>
              <w:t>всех</w:t>
            </w:r>
          </w:p>
        </w:tc>
        <w:tc>
          <w:tcPr>
            <w:tcW w:w="3261" w:type="dxa"/>
            <w:shd w:val="clear" w:color="auto" w:fill="auto"/>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sz w:val="20"/>
                <w:szCs w:val="20"/>
              </w:rPr>
              <w:t xml:space="preserve">Принимая во внимание специфику знаний и умений, необходимых для работы на электросетевых объектах, Общество способствует развитию профессиональных навыков работников, в том числе, путем: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подготовки, переподготовки и повышения квалификации персонала;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развития корпоративной системы подготовки персонала;</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повышения качества подготовки новых специалистов для электросетевого комплекса; </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sz w:val="20"/>
                <w:szCs w:val="20"/>
              </w:rPr>
              <w:t>· сотрудничества с высшими и средними специальными учебными заведениями.</w:t>
            </w:r>
          </w:p>
        </w:tc>
        <w:tc>
          <w:tcPr>
            <w:tcW w:w="2551" w:type="dxa"/>
            <w:shd w:val="clear" w:color="auto" w:fill="auto"/>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lang w:eastAsia="ru-RU"/>
              </w:rPr>
              <w:t xml:space="preserve"> - Постоянное повышение квалификации работников (88,5% работников имеют профессиональное образование).</w:t>
            </w:r>
            <w:r>
              <w:rPr>
                <w:rFonts w:ascii="Times New Roman" w:eastAsia="Times New Roman" w:hAnsi="Times New Roman" w:cs="Times New Roman"/>
                <w:color w:val="000000"/>
                <w:sz w:val="20"/>
                <w:szCs w:val="20"/>
                <w:lang w:eastAsia="ru-RU"/>
              </w:rPr>
              <w:br/>
              <w:t xml:space="preserve">- </w:t>
            </w:r>
            <w:r>
              <w:rPr>
                <w:rFonts w:ascii="Times New Roman" w:eastAsia="Times New Roman" w:hAnsi="Times New Roman" w:cs="Times New Roman"/>
                <w:sz w:val="20"/>
                <w:szCs w:val="20"/>
              </w:rPr>
              <w:t xml:space="preserve">В 2024 году в обучающих мероприятиях с отрывом от работы приняло участие </w:t>
            </w:r>
            <w:r>
              <w:rPr>
                <w:rFonts w:ascii="Times New Roman" w:eastAsia="Times New Roman" w:hAnsi="Times New Roman" w:cs="Times New Roman"/>
                <w:sz w:val="20"/>
                <w:szCs w:val="20"/>
              </w:rPr>
              <w:br/>
              <w:t>39 508 чел., что составляет 218 % к среднесписочной численности персонала</w:t>
            </w:r>
          </w:p>
        </w:tc>
      </w:tr>
      <w:tr w:rsidR="00D602D4">
        <w:trPr>
          <w:trHeight w:val="2565"/>
        </w:trPr>
        <w:tc>
          <w:tcPr>
            <w:tcW w:w="2436"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noProof/>
                <w:color w:val="000000"/>
                <w:sz w:val="20"/>
                <w:szCs w:val="20"/>
                <w:lang w:eastAsia="ru-RU"/>
              </w:rPr>
              <w:drawing>
                <wp:anchor distT="0" distB="0" distL="114300" distR="114300" simplePos="0" relativeHeight="251615744" behindDoc="0" locked="0" layoutInCell="1" allowOverlap="1">
                  <wp:simplePos x="0" y="0"/>
                  <wp:positionH relativeFrom="column">
                    <wp:posOffset>0</wp:posOffset>
                  </wp:positionH>
                  <wp:positionV relativeFrom="paragraph">
                    <wp:posOffset>0</wp:posOffset>
                  </wp:positionV>
                  <wp:extent cx="1323975" cy="1304925"/>
                  <wp:effectExtent l="0" t="0" r="9525" b="9525"/>
                  <wp:wrapNone/>
                  <wp:docPr id="35"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76"/>
                          <a:stretch/>
                        </pic:blipFill>
                        <pic:spPr bwMode="auto">
                          <a:xfrm>
                            <a:off x="0" y="0"/>
                            <a:ext cx="1323974" cy="130492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2220"/>
            </w:tblGrid>
            <w:tr w:rsidR="00D602D4">
              <w:trPr>
                <w:trHeight w:val="2565"/>
                <w:tblCellSpacing w:w="0" w:type="dxa"/>
              </w:trPr>
              <w:tc>
                <w:tcPr>
                  <w:tcW w:w="2220" w:type="dxa"/>
                  <w:tcBorders>
                    <w:top w:val="none" w:sz="4" w:space="0" w:color="000000"/>
                    <w:left w:val="none" w:sz="4" w:space="0" w:color="000000"/>
                    <w:bottom w:val="none" w:sz="4" w:space="0" w:color="000000"/>
                    <w:right w:val="none" w:sz="4" w:space="0" w:color="000000"/>
                  </w:tcBorders>
                  <w:shd w:val="clear" w:color="auto" w:fill="auto"/>
                  <w:noWrap/>
                  <w:vAlign w:val="bottom"/>
                </w:tcPr>
                <w:p w:rsidR="00D602D4" w:rsidRDefault="00D602D4">
                  <w:pPr>
                    <w:spacing w:after="0" w:line="240" w:lineRule="auto"/>
                    <w:rPr>
                      <w:rFonts w:ascii="Times New Roman" w:hAnsi="Times New Roman" w:cs="Times New Roman"/>
                      <w:color w:val="000000"/>
                      <w:sz w:val="20"/>
                      <w:szCs w:val="20"/>
                    </w:rPr>
                  </w:pPr>
                </w:p>
              </w:tc>
            </w:tr>
          </w:tbl>
          <w:p w:rsidR="00D602D4" w:rsidRDefault="00D602D4">
            <w:pPr>
              <w:spacing w:after="0" w:line="240" w:lineRule="auto"/>
              <w:rPr>
                <w:rFonts w:ascii="Times New Roman" w:hAnsi="Times New Roman" w:cs="Times New Roman"/>
                <w:color w:val="000000"/>
                <w:sz w:val="20"/>
                <w:szCs w:val="20"/>
              </w:rPr>
            </w:pPr>
          </w:p>
        </w:tc>
        <w:tc>
          <w:tcPr>
            <w:tcW w:w="2100"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Обеспечение всеобщего</w:t>
            </w:r>
            <w:r>
              <w:rPr>
                <w:rFonts w:ascii="Times New Roman" w:eastAsia="Times New Roman" w:hAnsi="Times New Roman" w:cs="Times New Roman"/>
                <w:color w:val="000000"/>
                <w:sz w:val="20"/>
                <w:szCs w:val="20"/>
                <w:lang w:eastAsia="ru-RU"/>
              </w:rPr>
              <w:br/>
              <w:t>доступа к недорогим,</w:t>
            </w:r>
            <w:r>
              <w:rPr>
                <w:rFonts w:ascii="Times New Roman" w:eastAsia="Times New Roman" w:hAnsi="Times New Roman" w:cs="Times New Roman"/>
                <w:color w:val="000000"/>
                <w:sz w:val="20"/>
                <w:szCs w:val="20"/>
                <w:lang w:eastAsia="ru-RU"/>
              </w:rPr>
              <w:br/>
              <w:t>надежным, устойчивым и</w:t>
            </w:r>
            <w:r>
              <w:rPr>
                <w:rFonts w:ascii="Times New Roman" w:eastAsia="Times New Roman" w:hAnsi="Times New Roman" w:cs="Times New Roman"/>
                <w:color w:val="000000"/>
                <w:sz w:val="20"/>
                <w:szCs w:val="20"/>
                <w:lang w:eastAsia="ru-RU"/>
              </w:rPr>
              <w:br/>
              <w:t>современным источникам</w:t>
            </w:r>
            <w:r>
              <w:rPr>
                <w:rFonts w:ascii="Times New Roman" w:eastAsia="Times New Roman" w:hAnsi="Times New Roman" w:cs="Times New Roman"/>
                <w:color w:val="000000"/>
                <w:sz w:val="20"/>
                <w:szCs w:val="20"/>
                <w:lang w:eastAsia="ru-RU"/>
              </w:rPr>
              <w:br/>
              <w:t>энергии для всех</w:t>
            </w:r>
          </w:p>
        </w:tc>
        <w:tc>
          <w:tcPr>
            <w:tcW w:w="3261" w:type="dxa"/>
            <w:shd w:val="clear" w:color="auto" w:fill="auto"/>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Общество обеспечивает надежное, качественное и доступное электроснабжение по приемлемой для потребителей плате за предоставляемые услуги путем: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выполнения нормативных требований к эксплуатации электрических сетей, направленных на поддержание установленных показателей надежности и качества электроснабжения потребителей;</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упрощения процедуры технологического присоединения энергопринимающих устройств потребителей и объектов генерации (включая возобновляемые источники энергии);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качественной и своевременной реализации инвестиционных проектов, направленных на осуществление мероприятий технологического присоединения;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минимизации издержек потребителя при доступе к </w:t>
            </w:r>
            <w:r>
              <w:rPr>
                <w:rFonts w:ascii="Times New Roman" w:eastAsia="Times New Roman" w:hAnsi="Times New Roman" w:cs="Times New Roman"/>
                <w:sz w:val="20"/>
                <w:szCs w:val="20"/>
              </w:rPr>
              <w:lastRenderedPageBreak/>
              <w:t xml:space="preserve">электроэнергии;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повышения энергоэффективности и снижения уровня потерь электроэнергии;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повышения качества обслуживания потребителей; </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sz w:val="20"/>
                <w:szCs w:val="20"/>
              </w:rPr>
              <w:t>· развития электронных сервисов для клиентов.</w:t>
            </w:r>
          </w:p>
        </w:tc>
        <w:tc>
          <w:tcPr>
            <w:tcW w:w="2551"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lastRenderedPageBreak/>
              <w:t xml:space="preserve"> - Исполнено 26 884 договора по технологическому присоединению суммарной мощностью 929,5 МВт.</w:t>
            </w:r>
            <w:r>
              <w:rPr>
                <w:rFonts w:ascii="Times New Roman" w:eastAsia="Times New Roman" w:hAnsi="Times New Roman" w:cs="Times New Roman"/>
                <w:color w:val="000000"/>
                <w:sz w:val="20"/>
                <w:szCs w:val="20"/>
                <w:lang w:eastAsia="ru-RU"/>
              </w:rPr>
              <w:br/>
              <w:t xml:space="preserve"> - Осуществлено технологическое подключение 79 социально-значимых объекта.</w:t>
            </w:r>
            <w:r>
              <w:rPr>
                <w:rFonts w:ascii="Times New Roman" w:eastAsia="Times New Roman" w:hAnsi="Times New Roman" w:cs="Times New Roman"/>
                <w:color w:val="000000"/>
                <w:sz w:val="20"/>
                <w:szCs w:val="20"/>
                <w:lang w:eastAsia="ru-RU"/>
              </w:rPr>
              <w:br/>
              <w:t xml:space="preserve">- </w:t>
            </w:r>
            <w:r>
              <w:rPr>
                <w:rFonts w:ascii="Times New Roman" w:eastAsia="Times New Roman" w:hAnsi="Times New Roman" w:cs="Times New Roman"/>
                <w:sz w:val="20"/>
                <w:szCs w:val="20"/>
              </w:rPr>
              <w:t xml:space="preserve">На едином портале ПАО «Россети» https://портал-тп.рф/ реализован функционал «Карта центров питания» для оценки заявителями существующих резервов мощности на центрах питания 35-110 кВ, а также обеспечена возможность для предварительного и контрольного расчета заявителем платы за технологическое присоединение по видам </w:t>
            </w:r>
            <w:r>
              <w:rPr>
                <w:rFonts w:ascii="Times New Roman" w:eastAsia="Times New Roman" w:hAnsi="Times New Roman" w:cs="Times New Roman"/>
                <w:sz w:val="20"/>
                <w:szCs w:val="20"/>
              </w:rPr>
              <w:lastRenderedPageBreak/>
              <w:t>ставок и составу мероприятий в технических условиях (простой и инженерный калькуляторы</w:t>
            </w:r>
            <w:r>
              <w:rPr>
                <w:rFonts w:ascii="Times New Roman" w:eastAsia="Times New Roman" w:hAnsi="Times New Roman" w:cs="Times New Roman"/>
                <w:color w:val="000000"/>
                <w:sz w:val="20"/>
                <w:szCs w:val="20"/>
                <w:lang w:eastAsia="ru-RU"/>
              </w:rPr>
              <w:t xml:space="preserve"> </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sz w:val="20"/>
                <w:szCs w:val="20"/>
              </w:rPr>
              <w:t>внедрена система энергетического менеджмента по национальному стандарту ГОСТ Р ИСО 50001:2012 в 2014, по международному стандарту ISO 50001:2018 сертифицирована в 2019, ресертифицирована в 2022</w:t>
            </w:r>
            <w:r>
              <w:rPr>
                <w:rFonts w:ascii="Times New Roman" w:eastAsia="Times New Roman" w:hAnsi="Times New Roman" w:cs="Times New Roman"/>
                <w:color w:val="000000"/>
                <w:sz w:val="20"/>
                <w:szCs w:val="20"/>
                <w:lang w:eastAsia="ru-RU"/>
              </w:rPr>
              <w:t>.</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Доля обращений потребителей по цифровым каналам составила 17% от всехобращений.</w:t>
            </w:r>
          </w:p>
        </w:tc>
      </w:tr>
      <w:tr w:rsidR="00D602D4">
        <w:trPr>
          <w:trHeight w:val="2815"/>
        </w:trPr>
        <w:tc>
          <w:tcPr>
            <w:tcW w:w="2436"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noProof/>
                <w:color w:val="000000"/>
                <w:sz w:val="20"/>
                <w:szCs w:val="20"/>
                <w:lang w:eastAsia="ru-RU"/>
              </w:rPr>
              <w:lastRenderedPageBreak/>
              <w:drawing>
                <wp:anchor distT="0" distB="0" distL="114300" distR="114300" simplePos="0" relativeHeight="251616768" behindDoc="0" locked="0" layoutInCell="1" allowOverlap="1">
                  <wp:simplePos x="0" y="0"/>
                  <wp:positionH relativeFrom="column">
                    <wp:posOffset>0</wp:posOffset>
                  </wp:positionH>
                  <wp:positionV relativeFrom="paragraph">
                    <wp:posOffset>0</wp:posOffset>
                  </wp:positionV>
                  <wp:extent cx="1362075" cy="1343025"/>
                  <wp:effectExtent l="0" t="0" r="9525" b="9525"/>
                  <wp:wrapNone/>
                  <wp:docPr id="36"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77"/>
                          <a:stretch/>
                        </pic:blipFill>
                        <pic:spPr bwMode="auto">
                          <a:xfrm>
                            <a:off x="0" y="0"/>
                            <a:ext cx="1362075" cy="134302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2220"/>
            </w:tblGrid>
            <w:tr w:rsidR="00D602D4">
              <w:trPr>
                <w:trHeight w:val="4065"/>
                <w:tblCellSpacing w:w="0" w:type="dxa"/>
              </w:trPr>
              <w:tc>
                <w:tcPr>
                  <w:tcW w:w="2220" w:type="dxa"/>
                  <w:tcBorders>
                    <w:top w:val="none" w:sz="4" w:space="0" w:color="000000"/>
                    <w:left w:val="none" w:sz="4" w:space="0" w:color="000000"/>
                    <w:bottom w:val="none" w:sz="4" w:space="0" w:color="000000"/>
                    <w:right w:val="none" w:sz="4" w:space="0" w:color="000000"/>
                  </w:tcBorders>
                  <w:shd w:val="clear" w:color="auto" w:fill="auto"/>
                  <w:noWrap/>
                  <w:vAlign w:val="bottom"/>
                </w:tcPr>
                <w:p w:rsidR="00D602D4" w:rsidRDefault="00D602D4">
                  <w:pPr>
                    <w:spacing w:after="0" w:line="240" w:lineRule="auto"/>
                    <w:rPr>
                      <w:rFonts w:ascii="Times New Roman" w:hAnsi="Times New Roman" w:cs="Times New Roman"/>
                      <w:color w:val="000000"/>
                      <w:sz w:val="20"/>
                      <w:szCs w:val="20"/>
                    </w:rPr>
                  </w:pPr>
                </w:p>
              </w:tc>
            </w:tr>
          </w:tbl>
          <w:p w:rsidR="00D602D4" w:rsidRDefault="00D602D4">
            <w:pPr>
              <w:spacing w:after="0" w:line="240" w:lineRule="auto"/>
              <w:rPr>
                <w:rFonts w:ascii="Times New Roman" w:hAnsi="Times New Roman" w:cs="Times New Roman"/>
                <w:color w:val="000000"/>
                <w:sz w:val="20"/>
                <w:szCs w:val="20"/>
              </w:rPr>
            </w:pPr>
          </w:p>
        </w:tc>
        <w:tc>
          <w:tcPr>
            <w:tcW w:w="2100"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Содействие поступательному,</w:t>
            </w:r>
            <w:r>
              <w:rPr>
                <w:rFonts w:ascii="Times New Roman" w:eastAsia="Times New Roman" w:hAnsi="Times New Roman" w:cs="Times New Roman"/>
                <w:color w:val="000000"/>
                <w:sz w:val="20"/>
                <w:szCs w:val="20"/>
                <w:lang w:eastAsia="ru-RU"/>
              </w:rPr>
              <w:br/>
              <w:t>всеохватному и устойчивому</w:t>
            </w:r>
            <w:r>
              <w:rPr>
                <w:rFonts w:ascii="Times New Roman" w:eastAsia="Times New Roman" w:hAnsi="Times New Roman" w:cs="Times New Roman"/>
                <w:color w:val="000000"/>
                <w:sz w:val="20"/>
                <w:szCs w:val="20"/>
                <w:lang w:eastAsia="ru-RU"/>
              </w:rPr>
              <w:br/>
              <w:t>экономическому росту, полной</w:t>
            </w:r>
            <w:r>
              <w:rPr>
                <w:rFonts w:ascii="Times New Roman" w:eastAsia="Times New Roman" w:hAnsi="Times New Roman" w:cs="Times New Roman"/>
                <w:color w:val="000000"/>
                <w:sz w:val="20"/>
                <w:szCs w:val="20"/>
                <w:lang w:eastAsia="ru-RU"/>
              </w:rPr>
              <w:br/>
              <w:t>и производительной занятости</w:t>
            </w:r>
            <w:r>
              <w:rPr>
                <w:rFonts w:ascii="Times New Roman" w:eastAsia="Times New Roman" w:hAnsi="Times New Roman" w:cs="Times New Roman"/>
                <w:color w:val="000000"/>
                <w:sz w:val="20"/>
                <w:szCs w:val="20"/>
                <w:lang w:eastAsia="ru-RU"/>
              </w:rPr>
              <w:br/>
              <w:t>и достойной работе для всех</w:t>
            </w:r>
          </w:p>
        </w:tc>
        <w:tc>
          <w:tcPr>
            <w:tcW w:w="3261" w:type="dxa"/>
            <w:shd w:val="clear" w:color="auto" w:fill="auto"/>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Общество гарантирует возможности для всестороннего развития работников, а также обеспечивает достойные условия труда путем: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предоставления рабочих мест в регионах деятельности;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приоритетного назначения на руководящие позиции работников из внутреннего кадрового резерва;</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обеспечения достойной оплаты и условий труда, соблюдения прав работников;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профессионального развития работников;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заключения коллективных договоров;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предоставления работникам компенсаций, социальных льгот и гарантий;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повышения производительности труда; </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sz w:val="20"/>
                <w:szCs w:val="20"/>
              </w:rPr>
              <w:t>· снижения производственного травматизма.</w:t>
            </w:r>
          </w:p>
        </w:tc>
        <w:tc>
          <w:tcPr>
            <w:tcW w:w="2551"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 текучесть кадров – </w:t>
            </w:r>
            <w:r>
              <w:rPr>
                <w:rFonts w:ascii="Times New Roman" w:eastAsia="Times New Roman" w:hAnsi="Times New Roman" w:cs="Times New Roman"/>
                <w:color w:val="000000"/>
                <w:sz w:val="20"/>
                <w:szCs w:val="20"/>
                <w:highlight w:val="white"/>
                <w:shd w:val="clear" w:color="FFFFFF" w:themeColor="background1" w:fill="FFFFFF" w:themeFill="background1"/>
                <w:lang w:eastAsia="ru-RU"/>
              </w:rPr>
              <w:t>4,2</w:t>
            </w:r>
            <w:r>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color w:val="000000"/>
                <w:sz w:val="20"/>
                <w:szCs w:val="20"/>
                <w:lang w:eastAsia="ru-RU"/>
              </w:rPr>
              <w:br/>
              <w:t>- 86,3 тыс. руб. — средняя заработная плата.</w:t>
            </w:r>
            <w:r>
              <w:rPr>
                <w:rFonts w:ascii="Times New Roman" w:eastAsia="Times New Roman" w:hAnsi="Times New Roman" w:cs="Times New Roman"/>
                <w:color w:val="000000"/>
                <w:sz w:val="20"/>
                <w:szCs w:val="20"/>
                <w:lang w:eastAsia="ru-RU"/>
              </w:rPr>
              <w:br/>
              <w:t xml:space="preserve"> - в Обществе работает 18 377 сотрудников в 8 субъектах Российской Федерации.</w:t>
            </w:r>
          </w:p>
        </w:tc>
      </w:tr>
      <w:tr w:rsidR="00D602D4">
        <w:trPr>
          <w:trHeight w:val="2565"/>
        </w:trPr>
        <w:tc>
          <w:tcPr>
            <w:tcW w:w="2436"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noProof/>
                <w:color w:val="000000"/>
                <w:sz w:val="20"/>
                <w:szCs w:val="20"/>
                <w:lang w:eastAsia="ru-RU"/>
              </w:rPr>
              <w:drawing>
                <wp:anchor distT="0" distB="0" distL="114300" distR="114300" simplePos="0" relativeHeight="251617792" behindDoc="0" locked="0" layoutInCell="1" allowOverlap="1">
                  <wp:simplePos x="0" y="0"/>
                  <wp:positionH relativeFrom="column">
                    <wp:posOffset>0</wp:posOffset>
                  </wp:positionH>
                  <wp:positionV relativeFrom="paragraph">
                    <wp:posOffset>0</wp:posOffset>
                  </wp:positionV>
                  <wp:extent cx="1362075" cy="1323975"/>
                  <wp:effectExtent l="0" t="0" r="9525" b="9525"/>
                  <wp:wrapNone/>
                  <wp:docPr id="37"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78"/>
                          <a:stretch/>
                        </pic:blipFill>
                        <pic:spPr bwMode="auto">
                          <a:xfrm>
                            <a:off x="0" y="0"/>
                            <a:ext cx="1362075" cy="1323974"/>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2220"/>
            </w:tblGrid>
            <w:tr w:rsidR="00D602D4">
              <w:trPr>
                <w:trHeight w:val="2565"/>
                <w:tblCellSpacing w:w="0" w:type="dxa"/>
              </w:trPr>
              <w:tc>
                <w:tcPr>
                  <w:tcW w:w="2220" w:type="dxa"/>
                  <w:tcBorders>
                    <w:top w:val="none" w:sz="4" w:space="0" w:color="000000"/>
                    <w:left w:val="none" w:sz="4" w:space="0" w:color="000000"/>
                    <w:bottom w:val="none" w:sz="4" w:space="0" w:color="000000"/>
                    <w:right w:val="none" w:sz="4" w:space="0" w:color="000000"/>
                  </w:tcBorders>
                  <w:shd w:val="clear" w:color="auto" w:fill="auto"/>
                  <w:noWrap/>
                  <w:vAlign w:val="bottom"/>
                </w:tcPr>
                <w:p w:rsidR="00D602D4" w:rsidRDefault="00D602D4">
                  <w:pPr>
                    <w:spacing w:after="0" w:line="240" w:lineRule="auto"/>
                    <w:rPr>
                      <w:rFonts w:ascii="Times New Roman" w:hAnsi="Times New Roman" w:cs="Times New Roman"/>
                      <w:color w:val="000000"/>
                      <w:sz w:val="20"/>
                      <w:szCs w:val="20"/>
                    </w:rPr>
                  </w:pPr>
                </w:p>
              </w:tc>
            </w:tr>
          </w:tbl>
          <w:p w:rsidR="00D602D4" w:rsidRDefault="00D602D4">
            <w:pPr>
              <w:spacing w:after="0" w:line="240" w:lineRule="auto"/>
              <w:rPr>
                <w:rFonts w:ascii="Times New Roman" w:hAnsi="Times New Roman" w:cs="Times New Roman"/>
                <w:color w:val="000000"/>
                <w:sz w:val="20"/>
                <w:szCs w:val="20"/>
              </w:rPr>
            </w:pPr>
          </w:p>
        </w:tc>
        <w:tc>
          <w:tcPr>
            <w:tcW w:w="2100"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Обеспечение перехода к</w:t>
            </w:r>
            <w:r>
              <w:rPr>
                <w:rFonts w:ascii="Times New Roman" w:eastAsia="Times New Roman" w:hAnsi="Times New Roman" w:cs="Times New Roman"/>
                <w:color w:val="000000"/>
                <w:sz w:val="20"/>
                <w:szCs w:val="20"/>
                <w:lang w:eastAsia="ru-RU"/>
              </w:rPr>
              <w:br/>
              <w:t>рациональным моделям</w:t>
            </w:r>
            <w:r>
              <w:rPr>
                <w:rFonts w:ascii="Times New Roman" w:eastAsia="Times New Roman" w:hAnsi="Times New Roman" w:cs="Times New Roman"/>
                <w:color w:val="000000"/>
                <w:sz w:val="20"/>
                <w:szCs w:val="20"/>
                <w:lang w:eastAsia="ru-RU"/>
              </w:rPr>
              <w:br/>
              <w:t>потребления и производства</w:t>
            </w:r>
          </w:p>
        </w:tc>
        <w:tc>
          <w:tcPr>
            <w:tcW w:w="3261" w:type="dxa"/>
            <w:shd w:val="clear" w:color="auto" w:fill="auto"/>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Общество поддерживает развитие инноваций и устойчивой, экологически чистой инфраструктуры через:</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сохранение и модернизацию распределительной электросетевой инфраструктуры;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реализацию инвестиционных проектов;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реализацию Стратегии Цифровой трансформации; </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sz w:val="20"/>
                <w:szCs w:val="20"/>
              </w:rPr>
              <w:t>· технологическое и инновационное развитие.</w:t>
            </w:r>
          </w:p>
        </w:tc>
        <w:tc>
          <w:tcPr>
            <w:tcW w:w="2551"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Объем затрат на НИОКР 15,1 млн руб., объем внедрения инновационных решений 775,4 млн руб.</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Объем финансирования капитальных вложений 14 034 млн руб.</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Объем финансирования мероприятий по цифровой трансформации 691,2 млн руб.</w:t>
            </w:r>
          </w:p>
        </w:tc>
      </w:tr>
      <w:tr w:rsidR="00D602D4">
        <w:trPr>
          <w:trHeight w:val="566"/>
        </w:trPr>
        <w:tc>
          <w:tcPr>
            <w:tcW w:w="2436"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noProof/>
                <w:lang w:eastAsia="ru-RU"/>
              </w:rPr>
              <w:lastRenderedPageBreak/>
              <w:drawing>
                <wp:inline distT="0" distB="0" distL="0" distR="0">
                  <wp:extent cx="1362075" cy="1315388"/>
                  <wp:effectExtent l="0" t="0" r="0" b="0"/>
                  <wp:docPr id="3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79"/>
                          <a:srcRect l="21555" t="14782" r="70684" b="73226"/>
                          <a:stretch/>
                        </pic:blipFill>
                        <pic:spPr bwMode="auto">
                          <a:xfrm>
                            <a:off x="0" y="0"/>
                            <a:ext cx="1372469" cy="1325425"/>
                          </a:xfrm>
                          <a:prstGeom prst="rect">
                            <a:avLst/>
                          </a:prstGeom>
                          <a:ln>
                            <a:noFill/>
                          </a:ln>
                        </pic:spPr>
                      </pic:pic>
                    </a:graphicData>
                  </a:graphic>
                </wp:inline>
              </w:drawing>
            </w:r>
          </w:p>
        </w:tc>
        <w:tc>
          <w:tcPr>
            <w:tcW w:w="2100"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sz w:val="20"/>
                <w:szCs w:val="20"/>
              </w:rPr>
              <w:t>Обеспечение открытости, безопасности, жизнестойкости и экологической устойчивости городов и населенных пунктов</w:t>
            </w:r>
          </w:p>
        </w:tc>
        <w:tc>
          <w:tcPr>
            <w:tcW w:w="3261" w:type="dxa"/>
            <w:shd w:val="clear" w:color="auto" w:fill="auto"/>
            <w:noWrap/>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Общество обеспечивает безопасность и устойчивость городов и населенных пунктов, в том числе, путем: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обеспечения надежности и качества электроснабжения потребителей;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развития в регионах присутствия сети зарядных станций для общественного и личного электротранспорта; </w:t>
            </w:r>
          </w:p>
        </w:tc>
        <w:tc>
          <w:tcPr>
            <w:tcW w:w="2551" w:type="dxa"/>
            <w:shd w:val="clear" w:color="auto" w:fill="auto"/>
          </w:tcPr>
          <w:p w:rsidR="00D602D4" w:rsidRDefault="000B4C86">
            <w:pPr>
              <w:spacing w:after="0" w:line="240" w:lineRule="auto"/>
              <w:ind w:right="67"/>
              <w:rPr>
                <w:rFonts w:ascii="Times New Roman" w:hAnsi="Times New Roman" w:cs="Times New Roman"/>
                <w:sz w:val="20"/>
                <w:szCs w:val="20"/>
              </w:rPr>
            </w:pPr>
            <w:r>
              <w:rPr>
                <w:rFonts w:ascii="Times New Roman" w:eastAsia="Times New Roman" w:hAnsi="Times New Roman" w:cs="Times New Roman"/>
                <w:sz w:val="20"/>
                <w:szCs w:val="20"/>
              </w:rPr>
              <w:t xml:space="preserve">- На 10,2 % – снижение </w:t>
            </w:r>
            <w:r>
              <w:rPr>
                <w:rFonts w:ascii="Times New Roman" w:eastAsia="Times New Roman" w:hAnsi="Times New Roman" w:cs="Times New Roman"/>
                <w:color w:val="000000"/>
                <w:sz w:val="20"/>
                <w:szCs w:val="20"/>
                <w:lang w:eastAsia="ru-RU"/>
              </w:rPr>
              <w:t>Пsaidi;</w:t>
            </w:r>
            <w:r>
              <w:rPr>
                <w:rFonts w:ascii="Times New Roman" w:eastAsia="Times New Roman" w:hAnsi="Times New Roman" w:cs="Times New Roman"/>
                <w:sz w:val="20"/>
                <w:szCs w:val="20"/>
              </w:rPr>
              <w:t xml:space="preserve">. </w:t>
            </w:r>
          </w:p>
          <w:p w:rsidR="00D602D4" w:rsidRDefault="000B4C86">
            <w:pPr>
              <w:spacing w:after="0" w:line="240" w:lineRule="auto"/>
              <w:ind w:right="67"/>
              <w:rPr>
                <w:rFonts w:ascii="Times New Roman" w:hAnsi="Times New Roman" w:cs="Times New Roman"/>
                <w:sz w:val="20"/>
                <w:szCs w:val="20"/>
              </w:rPr>
            </w:pPr>
            <w:r>
              <w:rPr>
                <w:rFonts w:ascii="Times New Roman" w:eastAsia="Times New Roman" w:hAnsi="Times New Roman" w:cs="Times New Roman"/>
                <w:sz w:val="20"/>
                <w:szCs w:val="20"/>
              </w:rPr>
              <w:t xml:space="preserve">- На 9,2 % – снижение </w:t>
            </w:r>
            <w:r>
              <w:rPr>
                <w:rFonts w:ascii="Times New Roman" w:eastAsia="Times New Roman" w:hAnsi="Times New Roman" w:cs="Times New Roman"/>
                <w:color w:val="000000"/>
                <w:sz w:val="20"/>
                <w:szCs w:val="20"/>
                <w:lang w:eastAsia="ru-RU"/>
              </w:rPr>
              <w:t>Пsaifi;</w:t>
            </w:r>
          </w:p>
          <w:p w:rsidR="00D602D4" w:rsidRDefault="000B4C86">
            <w:pPr>
              <w:pStyle w:val="ac"/>
              <w:spacing w:after="0" w:line="240" w:lineRule="auto"/>
              <w:ind w:left="0" w:right="67"/>
              <w:rPr>
                <w:rFonts w:ascii="Times New Roman" w:hAnsi="Times New Roman" w:cs="Times New Roman"/>
                <w:sz w:val="20"/>
                <w:szCs w:val="20"/>
              </w:rPr>
            </w:pPr>
            <w:r>
              <w:rPr>
                <w:rFonts w:ascii="Times New Roman" w:eastAsia="Times New Roman" w:hAnsi="Times New Roman" w:cs="Times New Roman"/>
                <w:sz w:val="20"/>
                <w:szCs w:val="20"/>
              </w:rPr>
              <w:t>- реализован проект по переводу 106 частных домовладений с печного или угольного отопления на электроотопление.</w:t>
            </w:r>
          </w:p>
        </w:tc>
      </w:tr>
      <w:tr w:rsidR="00D602D4">
        <w:trPr>
          <w:trHeight w:val="566"/>
        </w:trPr>
        <w:tc>
          <w:tcPr>
            <w:tcW w:w="2436"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noProof/>
                <w:lang w:eastAsia="ru-RU"/>
              </w:rPr>
              <w:drawing>
                <wp:inline distT="0" distB="0" distL="0" distR="0">
                  <wp:extent cx="1362075" cy="1361746"/>
                  <wp:effectExtent l="0" t="0" r="0" b="0"/>
                  <wp:docPr id="3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79"/>
                          <a:srcRect l="21424" t="45636" r="70684" b="41739"/>
                          <a:stretch/>
                        </pic:blipFill>
                        <pic:spPr bwMode="auto">
                          <a:xfrm>
                            <a:off x="0" y="0"/>
                            <a:ext cx="1372412" cy="1372080"/>
                          </a:xfrm>
                          <a:prstGeom prst="rect">
                            <a:avLst/>
                          </a:prstGeom>
                          <a:ln>
                            <a:noFill/>
                          </a:ln>
                        </pic:spPr>
                      </pic:pic>
                    </a:graphicData>
                  </a:graphic>
                </wp:inline>
              </w:drawing>
            </w:r>
          </w:p>
        </w:tc>
        <w:tc>
          <w:tcPr>
            <w:tcW w:w="2100"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sz w:val="20"/>
                <w:szCs w:val="20"/>
              </w:rPr>
              <w:t>Обеспечение перехода к рациональным моделям потребления и производства</w:t>
            </w:r>
          </w:p>
        </w:tc>
        <w:tc>
          <w:tcPr>
            <w:tcW w:w="3261" w:type="dxa"/>
            <w:shd w:val="clear" w:color="auto" w:fill="auto"/>
            <w:noWrap/>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Общество придерживается политики рационального потребления и производства, в том числе, путем: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повышения энергоэффективности и снижения потерь;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рационального использования природных ресурсов при осуществлении операционной деятельности;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 минимизации негативного влияния на окружающую среду; </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sz w:val="20"/>
                <w:szCs w:val="20"/>
              </w:rPr>
              <w:t>· эффективного функционирования системы экологического менеджмента.</w:t>
            </w:r>
          </w:p>
        </w:tc>
        <w:tc>
          <w:tcPr>
            <w:tcW w:w="2551" w:type="dxa"/>
            <w:shd w:val="clear" w:color="auto" w:fill="auto"/>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sz w:val="20"/>
                <w:szCs w:val="20"/>
              </w:rPr>
              <w:t>доля отходов, отправленных на утилизацию и обезвреживание 24,5%.</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подготовка отчета в соответствии со стандартами GRI.</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sz w:val="20"/>
                <w:szCs w:val="20"/>
              </w:rPr>
              <w:t>- соответствие требованиям стандарта энергетического менеджмента ISO 50001.</w:t>
            </w:r>
          </w:p>
        </w:tc>
      </w:tr>
      <w:tr w:rsidR="00D602D4">
        <w:trPr>
          <w:trHeight w:val="566"/>
        </w:trPr>
        <w:tc>
          <w:tcPr>
            <w:tcW w:w="2436" w:type="dxa"/>
            <w:shd w:val="clear" w:color="auto" w:fill="auto"/>
            <w:noWrap/>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noProof/>
                <w:lang w:eastAsia="ru-RU"/>
              </w:rPr>
              <w:drawing>
                <wp:inline distT="0" distB="0" distL="0" distR="0">
                  <wp:extent cx="1357493" cy="1240404"/>
                  <wp:effectExtent l="0" t="0" r="0" b="0"/>
                  <wp:docPr id="4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80"/>
                          <a:srcRect l="21286" t="38344" r="70951" b="50307"/>
                          <a:stretch/>
                        </pic:blipFill>
                        <pic:spPr bwMode="auto">
                          <a:xfrm>
                            <a:off x="0" y="0"/>
                            <a:ext cx="1372129" cy="1253777"/>
                          </a:xfrm>
                          <a:prstGeom prst="rect">
                            <a:avLst/>
                          </a:prstGeom>
                          <a:ln>
                            <a:noFill/>
                          </a:ln>
                        </pic:spPr>
                      </pic:pic>
                    </a:graphicData>
                  </a:graphic>
                </wp:inline>
              </w:drawing>
            </w:r>
          </w:p>
        </w:tc>
        <w:tc>
          <w:tcPr>
            <w:tcW w:w="2100" w:type="dxa"/>
            <w:shd w:val="clear" w:color="auto" w:fill="auto"/>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sz w:val="20"/>
                <w:szCs w:val="20"/>
              </w:rPr>
              <w:t>Принятие срочных мер по борьбе с изменением климата и его последствиями</w:t>
            </w:r>
          </w:p>
        </w:tc>
        <w:tc>
          <w:tcPr>
            <w:tcW w:w="3261" w:type="dxa"/>
            <w:shd w:val="clear" w:color="auto" w:fill="auto"/>
            <w:noWrap/>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xml:space="preserve">Общество принимает активное участие в борьбе с изменением климата, в том числе, путем сокращения выбросов парниковых газов через развитие зарядной инфраструктуры; </w:t>
            </w:r>
          </w:p>
          <w:p w:rsidR="00D602D4" w:rsidRDefault="00D602D4">
            <w:pPr>
              <w:spacing w:after="0" w:line="240" w:lineRule="auto"/>
              <w:rPr>
                <w:rFonts w:ascii="Times New Roman" w:hAnsi="Times New Roman" w:cs="Times New Roman"/>
                <w:color w:val="000000"/>
                <w:sz w:val="20"/>
                <w:szCs w:val="20"/>
              </w:rPr>
            </w:pPr>
          </w:p>
        </w:tc>
        <w:tc>
          <w:tcPr>
            <w:tcW w:w="2551" w:type="dxa"/>
            <w:shd w:val="clear" w:color="auto" w:fill="auto"/>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rPr>
              <w:t>- установлено 3 «быстрых» зарядных станций постоянного тока мощностью 150 кВт в 4 Кемеровской области.</w:t>
            </w:r>
          </w:p>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т</w:t>
            </w:r>
            <w:r>
              <w:rPr>
                <w:rFonts w:ascii="Times New Roman" w:eastAsia="Times New Roman" w:hAnsi="Times New Roman" w:cs="Times New Roman"/>
                <w:sz w:val="20"/>
                <w:szCs w:val="20"/>
              </w:rPr>
              <w:t>екущий парк зарядных станций Общества насчитывает 123 ЭЗС</w:t>
            </w:r>
          </w:p>
        </w:tc>
      </w:tr>
    </w:tbl>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pStyle w:val="13"/>
        <w:spacing w:before="0" w:line="240" w:lineRule="auto"/>
        <w:rPr>
          <w:rFonts w:ascii="Times New Roman" w:hAnsi="Times New Roman" w:cs="Times New Roman"/>
          <w:b/>
          <w:bCs/>
          <w:color w:val="auto"/>
          <w:sz w:val="26"/>
          <w:szCs w:val="26"/>
        </w:rPr>
      </w:pPr>
      <w:bookmarkStart w:id="51" w:name="_Toc80"/>
      <w:r>
        <w:rPr>
          <w:rFonts w:ascii="Times New Roman" w:eastAsia="Times New Roman" w:hAnsi="Times New Roman" w:cs="Times New Roman"/>
          <w:b/>
          <w:color w:val="auto"/>
          <w:sz w:val="26"/>
          <w:szCs w:val="26"/>
        </w:rPr>
        <w:t>4.3. Управление персоналом</w:t>
      </w:r>
      <w:bookmarkEnd w:id="51"/>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pStyle w:val="220"/>
        <w:spacing w:after="0"/>
        <w:ind w:left="0" w:firstLine="0"/>
        <w:rPr>
          <w:sz w:val="24"/>
          <w:szCs w:val="24"/>
        </w:rPr>
      </w:pPr>
      <w:bookmarkStart w:id="52" w:name="_Toc81"/>
      <w:r>
        <w:rPr>
          <w:sz w:val="24"/>
          <w:szCs w:val="24"/>
        </w:rPr>
        <w:t>4.3.1. Результаты реализации кадровой политики</w:t>
      </w:r>
      <w:bookmarkEnd w:id="52"/>
    </w:p>
    <w:p w:rsidR="00D602D4" w:rsidRDefault="000B4C86">
      <w:pPr>
        <w:widowControl w:val="0"/>
        <w:spacing w:after="0" w:line="240" w:lineRule="auto"/>
        <w:ind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Ключевыми целями кадровой и социальной политики Общества (далее – Политика), призванными обеспечить достижение целевых ориентиров Стратегии развития электросетевого комплекса, являются: </w:t>
      </w:r>
    </w:p>
    <w:p w:rsidR="00D602D4" w:rsidRDefault="000B4C86">
      <w:pPr>
        <w:widowControl w:val="0"/>
        <w:spacing w:after="0" w:line="240" w:lineRule="auto"/>
        <w:ind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 планирование потребности в персонале – обеспечение наличия достоверной информации об оперативной и прогнозной численной и качественной потребности в трудовых ресурсах, необходимой и достаточной для выполнения поставленных перед филиалом задач;  </w:t>
      </w:r>
    </w:p>
    <w:p w:rsidR="00D602D4" w:rsidRDefault="000B4C86">
      <w:pPr>
        <w:widowControl w:val="0"/>
        <w:spacing w:after="0" w:line="240" w:lineRule="auto"/>
        <w:ind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 своевременное обеспечение потребностей Общества в персонале требуемой квалификации;</w:t>
      </w:r>
    </w:p>
    <w:p w:rsidR="00D602D4" w:rsidRDefault="000B4C86">
      <w:pPr>
        <w:widowControl w:val="0"/>
        <w:spacing w:after="0" w:line="240" w:lineRule="auto"/>
        <w:ind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 обеспечение эффективности деятельности персонала, рост производительности труда.</w:t>
      </w:r>
    </w:p>
    <w:p w:rsidR="00D602D4" w:rsidRDefault="000B4C86">
      <w:pPr>
        <w:widowControl w:val="0"/>
        <w:spacing w:after="0" w:line="240" w:lineRule="auto"/>
        <w:ind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Указанные ключевые цели кадровой и социальной политики достигаются путем реализации комплекса мер по различным направлениям деятельности и достижения установленных целевых ориентиров:</w:t>
      </w:r>
    </w:p>
    <w:p w:rsidR="00D602D4" w:rsidRDefault="000B4C86">
      <w:pPr>
        <w:widowControl w:val="0"/>
        <w:spacing w:after="0" w:line="240" w:lineRule="auto"/>
        <w:ind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 в области организационного проектирования;</w:t>
      </w:r>
    </w:p>
    <w:p w:rsidR="00D602D4" w:rsidRDefault="000B4C86">
      <w:pPr>
        <w:widowControl w:val="0"/>
        <w:spacing w:after="0" w:line="240" w:lineRule="auto"/>
        <w:ind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 в области кадрового обеспечения и развития персонала;</w:t>
      </w:r>
    </w:p>
    <w:p w:rsidR="00D602D4" w:rsidRDefault="000B4C86">
      <w:pPr>
        <w:widowControl w:val="0"/>
        <w:spacing w:after="0" w:line="240" w:lineRule="auto"/>
        <w:ind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 в области управления эффективностью деятельности персонала (мотивация </w:t>
      </w:r>
      <w:r>
        <w:rPr>
          <w:rFonts w:ascii="Times New Roman" w:eastAsia="Calibri" w:hAnsi="Times New Roman" w:cs="Times New Roman"/>
          <w:bCs/>
          <w:sz w:val="24"/>
          <w:szCs w:val="24"/>
        </w:rPr>
        <w:lastRenderedPageBreak/>
        <w:t>персонала);</w:t>
      </w:r>
    </w:p>
    <w:p w:rsidR="00D602D4" w:rsidRDefault="000B4C86">
      <w:pPr>
        <w:widowControl w:val="0"/>
        <w:spacing w:after="0" w:line="240" w:lineRule="auto"/>
        <w:ind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 в области социальных льгот и гарантий;</w:t>
      </w:r>
    </w:p>
    <w:p w:rsidR="00D602D4" w:rsidRDefault="000B4C86">
      <w:pPr>
        <w:widowControl w:val="0"/>
        <w:spacing w:after="0" w:line="240" w:lineRule="auto"/>
        <w:ind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 в области обеспечения безопасности деятельности персонала и культуры труда.</w:t>
      </w:r>
    </w:p>
    <w:p w:rsidR="00D602D4" w:rsidRDefault="00D602D4">
      <w:pPr>
        <w:spacing w:after="0" w:line="240" w:lineRule="auto"/>
        <w:ind w:firstLine="709"/>
        <w:rPr>
          <w:rFonts w:ascii="Times New Roman" w:hAnsi="Times New Roman" w:cs="Times New Roman"/>
          <w:sz w:val="24"/>
          <w:szCs w:val="24"/>
        </w:rPr>
      </w:pPr>
    </w:p>
    <w:p w:rsidR="00D602D4" w:rsidRDefault="000B4C86">
      <w:pPr>
        <w:keepNext/>
        <w:spacing w:after="0" w:line="240" w:lineRule="auto"/>
        <w:ind w:firstLine="709"/>
        <w:jc w:val="both"/>
        <w:outlineLvl w:val="2"/>
        <w:rPr>
          <w:rFonts w:ascii="Times New Roman" w:eastAsia="Times New Roman" w:hAnsi="Times New Roman" w:cs="Times New Roman"/>
          <w:b/>
          <w:bCs/>
          <w:iCs/>
          <w:sz w:val="24"/>
          <w:szCs w:val="24"/>
          <w:lang w:eastAsia="ru-RU"/>
        </w:rPr>
      </w:pPr>
      <w:bookmarkStart w:id="53" w:name="_Toc82"/>
      <w:r>
        <w:rPr>
          <w:rFonts w:ascii="Times New Roman" w:eastAsia="Times New Roman" w:hAnsi="Times New Roman" w:cs="Times New Roman"/>
          <w:b/>
          <w:bCs/>
          <w:iCs/>
          <w:sz w:val="24"/>
          <w:szCs w:val="24"/>
          <w:lang w:eastAsia="ru-RU"/>
        </w:rPr>
        <w:t>Численность и структура персонала</w:t>
      </w:r>
      <w:bookmarkEnd w:id="53"/>
    </w:p>
    <w:p w:rsidR="00D602D4" w:rsidRDefault="000B4C86">
      <w:pPr>
        <w:pStyle w:val="af9"/>
        <w:ind w:firstLine="709"/>
        <w:rPr>
          <w:sz w:val="24"/>
        </w:rPr>
      </w:pPr>
      <w:r>
        <w:rPr>
          <w:sz w:val="24"/>
        </w:rPr>
        <w:t>Среднесписочная численность ПАО «Россети Сибирь» в 2024 году составила 18 095 чел., что на 2,7% ниже, чем в 2023 году.</w:t>
      </w:r>
    </w:p>
    <w:p w:rsidR="00D602D4" w:rsidRDefault="000B4C86">
      <w:pPr>
        <w:pStyle w:val="af9"/>
        <w:ind w:firstLine="0"/>
        <w:jc w:val="center"/>
        <w:rPr>
          <w:rFonts w:eastAsia="Calibri"/>
          <w:b/>
          <w:sz w:val="24"/>
        </w:rPr>
      </w:pPr>
      <w:r>
        <w:rPr>
          <w:noProof/>
          <w:sz w:val="24"/>
        </w:rPr>
        <w:drawing>
          <wp:inline distT="0" distB="0" distL="0" distR="0">
            <wp:extent cx="4882101" cy="1852654"/>
            <wp:effectExtent l="0" t="0" r="13970" b="14604"/>
            <wp:docPr id="41" name="Диаграмма 55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D602D4" w:rsidRDefault="000B4C86">
      <w:pPr>
        <w:pStyle w:val="af9"/>
        <w:ind w:firstLine="0"/>
        <w:jc w:val="center"/>
        <w:rPr>
          <w:sz w:val="24"/>
        </w:rPr>
      </w:pPr>
      <w:r>
        <w:rPr>
          <w:rFonts w:eastAsia="Calibri"/>
          <w:b/>
          <w:sz w:val="24"/>
        </w:rPr>
        <w:t xml:space="preserve">Рис. 20 - </w:t>
      </w:r>
      <w:r>
        <w:rPr>
          <w:b/>
          <w:sz w:val="24"/>
        </w:rPr>
        <w:t>Среднесписочная численность персонала ПАО «Россети Сибирь» в динамике за 2022-2024года</w:t>
      </w:r>
    </w:p>
    <w:p w:rsidR="00D602D4" w:rsidRDefault="00D602D4">
      <w:pPr>
        <w:pStyle w:val="af9"/>
        <w:ind w:firstLine="709"/>
        <w:rPr>
          <w:sz w:val="24"/>
        </w:rPr>
      </w:pPr>
    </w:p>
    <w:p w:rsidR="00D602D4" w:rsidRDefault="000B4C86">
      <w:pPr>
        <w:keepNext/>
        <w:widowControl w:val="0"/>
        <w:spacing w:after="0" w:line="240" w:lineRule="auto"/>
        <w:ind w:firstLine="709"/>
        <w:jc w:val="both"/>
        <w:rPr>
          <w:rFonts w:ascii="Times New Roman" w:hAnsi="Times New Roman" w:cs="Times New Roman"/>
          <w:sz w:val="24"/>
        </w:rPr>
      </w:pPr>
      <w:r>
        <w:rPr>
          <w:rFonts w:ascii="Times New Roman" w:eastAsia="Times New Roman" w:hAnsi="Times New Roman" w:cs="Times New Roman"/>
          <w:sz w:val="24"/>
        </w:rPr>
        <w:t>Снижение среднесписочной численности обусловлено оттоком персонала, неудокомплектованием вакансий.</w:t>
      </w:r>
    </w:p>
    <w:p w:rsidR="00D602D4" w:rsidRDefault="000B4C86">
      <w:pPr>
        <w:keepNext/>
        <w:widowControl w:val="0"/>
        <w:ind w:firstLine="709"/>
        <w:jc w:val="both"/>
        <w:rPr>
          <w:sz w:val="24"/>
        </w:rPr>
      </w:pPr>
      <w:r>
        <w:rPr>
          <w:noProof/>
          <w:lang w:eastAsia="ru-RU"/>
        </w:rPr>
        <w:drawing>
          <wp:inline distT="0" distB="0" distL="0" distR="0">
            <wp:extent cx="5064981" cy="2249888"/>
            <wp:effectExtent l="0" t="0" r="2540" b="17145"/>
            <wp:docPr id="4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D602D4" w:rsidRDefault="000B4C86">
      <w:pPr>
        <w:keepNext/>
        <w:keepLines/>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Рис. 21 - Распределение численности персонала в 2024 году</w:t>
      </w:r>
    </w:p>
    <w:p w:rsidR="00D602D4" w:rsidRDefault="00D602D4">
      <w:pPr>
        <w:tabs>
          <w:tab w:val="left" w:pos="9356"/>
        </w:tabs>
        <w:spacing w:after="0" w:line="240" w:lineRule="auto"/>
        <w:ind w:firstLine="709"/>
        <w:jc w:val="both"/>
        <w:rPr>
          <w:rFonts w:ascii="Times New Roman" w:eastAsia="Calibri" w:hAnsi="Times New Roman" w:cs="Times New Roman"/>
          <w:sz w:val="24"/>
          <w:szCs w:val="24"/>
          <w:highlight w:val="yellow"/>
        </w:rPr>
      </w:pPr>
    </w:p>
    <w:p w:rsidR="00D602D4" w:rsidRDefault="000B4C86">
      <w:pPr>
        <w:tabs>
          <w:tab w:val="left" w:pos="9356"/>
        </w:tabs>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Уровень укомплектованности персоналом по Обществу в 2024 году составил 87,7%.  Уровень укомплектованности производственным персоналом в 2024 году – 86,6% (целевое значение уровня укомплектованности 97%). </w:t>
      </w:r>
    </w:p>
    <w:p w:rsidR="00D602D4" w:rsidRDefault="000B4C86">
      <w:pPr>
        <w:tabs>
          <w:tab w:val="left" w:pos="9356"/>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lang w:eastAsia="ru-RU"/>
        </w:rPr>
        <w:t>Уровень активной текучести – 4,2%, за 2024 год принято 2714 работников, в том числе 2486 человек (91,6%) – производственный персонал, 4 человек (0,1%) – вспомогательный персонал.</w:t>
      </w:r>
    </w:p>
    <w:p w:rsidR="00D602D4" w:rsidRDefault="000B4C86">
      <w:pPr>
        <w:tabs>
          <w:tab w:val="left" w:pos="9356"/>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lang w:eastAsia="ru-RU"/>
        </w:rPr>
        <w:t>Средний возраст работников Общества в 2024 году по сравнению с 2023 годом незначительно вырос и составил 42,8 года (2023 год – 42,3 года), детальный анализ возрастной структуры за последние три года показал увеличение доли работников 35-50 лет (+1 п.п.) и снижение доли работников до 35 лет (-3,2 п.п.) на фоне увеличения доли работников старше 50 лет (+2,2 п.п.). Почти половина персонала относится к возрастной категории от 35 лет до 50 лет (46,9%).</w:t>
      </w:r>
    </w:p>
    <w:p w:rsidR="00D602D4" w:rsidRDefault="00D602D4">
      <w:pPr>
        <w:tabs>
          <w:tab w:val="left" w:pos="9356"/>
        </w:tabs>
        <w:spacing w:after="0" w:line="240" w:lineRule="auto"/>
        <w:ind w:firstLine="709"/>
        <w:jc w:val="both"/>
        <w:rPr>
          <w:rFonts w:ascii="Times New Roman" w:eastAsia="Calibri" w:hAnsi="Times New Roman" w:cs="Times New Roman"/>
          <w:sz w:val="24"/>
          <w:szCs w:val="24"/>
          <w:highlight w:val="yellow"/>
        </w:rPr>
      </w:pPr>
    </w:p>
    <w:p w:rsidR="00D602D4" w:rsidRDefault="000B4C86">
      <w:pPr>
        <w:widowControl w:val="0"/>
        <w:ind w:left="-426" w:firstLine="284"/>
        <w:jc w:val="center"/>
        <w:rPr>
          <w:rFonts w:ascii="Times New Roman" w:eastAsia="Calibri" w:hAnsi="Times New Roman" w:cs="Times New Roman"/>
          <w:b/>
          <w:sz w:val="24"/>
          <w:szCs w:val="24"/>
        </w:rPr>
      </w:pPr>
      <w:r>
        <w:rPr>
          <w:noProof/>
          <w:lang w:eastAsia="ru-RU"/>
        </w:rPr>
        <w:drawing>
          <wp:inline distT="0" distB="0" distL="0" distR="0">
            <wp:extent cx="4571999" cy="2695574"/>
            <wp:effectExtent l="4762" t="4762" r="4762" b="4762"/>
            <wp:docPr id="43" name="Диаграмма 478"/>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D602D4" w:rsidRDefault="00D602D4">
      <w:pPr>
        <w:widowControl w:val="0"/>
        <w:spacing w:after="0" w:line="240" w:lineRule="auto"/>
        <w:ind w:left="-426" w:firstLine="284"/>
        <w:jc w:val="center"/>
        <w:rPr>
          <w:rFonts w:ascii="Times New Roman" w:eastAsia="Calibri" w:hAnsi="Times New Roman" w:cs="Times New Roman"/>
          <w:b/>
          <w:sz w:val="24"/>
          <w:szCs w:val="24"/>
        </w:rPr>
      </w:pPr>
    </w:p>
    <w:p w:rsidR="00D602D4" w:rsidRDefault="000B4C86">
      <w:pPr>
        <w:widowControl w:val="0"/>
        <w:spacing w:after="0" w:line="240" w:lineRule="auto"/>
        <w:ind w:left="-426" w:firstLine="284"/>
        <w:jc w:val="center"/>
        <w:rPr>
          <w:rFonts w:ascii="Times New Roman" w:eastAsia="Calibri" w:hAnsi="Times New Roman" w:cs="Times New Roman"/>
          <w:b/>
          <w:sz w:val="24"/>
          <w:szCs w:val="24"/>
        </w:rPr>
      </w:pPr>
      <w:r>
        <w:rPr>
          <w:rFonts w:ascii="Times New Roman" w:eastAsia="Calibri" w:hAnsi="Times New Roman" w:cs="Times New Roman"/>
          <w:b/>
          <w:sz w:val="24"/>
          <w:szCs w:val="24"/>
          <w:lang w:eastAsia="ru-RU"/>
        </w:rPr>
        <w:t>Рис. 22 - Структура персонала Общества по возрасту в динамике за 2022-2024 года</w:t>
      </w:r>
    </w:p>
    <w:p w:rsidR="00D602D4" w:rsidRDefault="00D602D4">
      <w:pPr>
        <w:widowControl w:val="0"/>
        <w:spacing w:after="0" w:line="240" w:lineRule="auto"/>
        <w:ind w:left="-426" w:firstLine="284"/>
        <w:jc w:val="center"/>
        <w:rPr>
          <w:rFonts w:ascii="Times New Roman" w:eastAsia="Calibri" w:hAnsi="Times New Roman" w:cs="Times New Roman"/>
          <w:b/>
          <w:sz w:val="24"/>
          <w:szCs w:val="24"/>
          <w:lang w:eastAsia="ru-RU"/>
        </w:rPr>
      </w:pPr>
    </w:p>
    <w:p w:rsidR="00D602D4" w:rsidRDefault="000B4C86">
      <w:pPr>
        <w:keepNext/>
        <w:keepLines/>
        <w:ind w:left="-426" w:right="-426" w:firstLine="710"/>
        <w:jc w:val="center"/>
        <w:rPr>
          <w:rFonts w:ascii="Times New Roman" w:eastAsia="Calibri" w:hAnsi="Times New Roman" w:cs="Times New Roman"/>
          <w:b/>
          <w:sz w:val="24"/>
          <w:szCs w:val="24"/>
        </w:rPr>
      </w:pPr>
      <w:r>
        <w:rPr>
          <w:noProof/>
          <w:lang w:eastAsia="ru-RU"/>
        </w:rPr>
        <w:drawing>
          <wp:inline distT="0" distB="0" distL="0" distR="0">
            <wp:extent cx="5238750" cy="3331595"/>
            <wp:effectExtent l="4762" t="4762" r="4762" b="4762"/>
            <wp:docPr id="44"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D602D4" w:rsidRDefault="000B4C86">
      <w:pPr>
        <w:keepNext/>
        <w:keepLines/>
        <w:spacing w:after="0" w:line="240" w:lineRule="auto"/>
        <w:ind w:left="-426" w:right="-426" w:firstLine="284"/>
        <w:jc w:val="center"/>
        <w:rPr>
          <w:rFonts w:ascii="Times New Roman" w:eastAsia="Calibri" w:hAnsi="Times New Roman" w:cs="Times New Roman"/>
          <w:b/>
          <w:sz w:val="24"/>
          <w:szCs w:val="24"/>
        </w:rPr>
      </w:pPr>
      <w:r>
        <w:rPr>
          <w:rFonts w:ascii="Times New Roman" w:eastAsia="Calibri" w:hAnsi="Times New Roman" w:cs="Times New Roman"/>
          <w:b/>
          <w:sz w:val="24"/>
          <w:szCs w:val="24"/>
        </w:rPr>
        <w:t>Рис. 23 - Структура персонала Общества по образованию в динамике за 2022-2024 года</w:t>
      </w:r>
    </w:p>
    <w:p w:rsidR="00D602D4" w:rsidRDefault="00D602D4">
      <w:pPr>
        <w:keepNext/>
        <w:keepLines/>
        <w:spacing w:after="0" w:line="240" w:lineRule="auto"/>
        <w:ind w:left="-426" w:firstLine="284"/>
        <w:jc w:val="both"/>
        <w:rPr>
          <w:rFonts w:ascii="Times New Roman" w:eastAsia="Calibri" w:hAnsi="Times New Roman" w:cs="Times New Roman"/>
          <w:sz w:val="24"/>
          <w:szCs w:val="24"/>
          <w:highlight w:val="yellow"/>
        </w:rPr>
      </w:pP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Персонал Общества характеризуется достаточно высоким уровнем квалификации – 88,5% работников имеют профессиональное образование, в том числе 10 работников Общества имеют ученую степень кандидата наук. </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Calibri" w:hAnsi="Times New Roman" w:cs="Times New Roman"/>
          <w:sz w:val="24"/>
          <w:szCs w:val="24"/>
        </w:rPr>
        <w:t>Доля женщин в 2024 году составила 24,7% от общего числа работников Общества.</w:t>
      </w:r>
    </w:p>
    <w:p w:rsidR="00D602D4" w:rsidRDefault="00D602D4">
      <w:pPr>
        <w:spacing w:after="0" w:line="240" w:lineRule="auto"/>
        <w:ind w:firstLine="709"/>
        <w:jc w:val="both"/>
        <w:rPr>
          <w:rFonts w:ascii="Times New Roman" w:eastAsia="Times New Roman" w:hAnsi="Times New Roman" w:cs="Times New Roman"/>
          <w:sz w:val="24"/>
          <w:szCs w:val="24"/>
        </w:rPr>
      </w:pPr>
    </w:p>
    <w:p w:rsidR="00D602D4" w:rsidRDefault="000B4C86">
      <w:pPr>
        <w:ind w:firstLine="709"/>
        <w:jc w:val="center"/>
        <w:rPr>
          <w:rFonts w:ascii="Times New Roman" w:eastAsia="Times New Roman" w:hAnsi="Times New Roman" w:cs="Times New Roman"/>
          <w:sz w:val="24"/>
          <w:szCs w:val="24"/>
        </w:rPr>
      </w:pPr>
      <w:r>
        <w:rPr>
          <w:noProof/>
          <w:lang w:eastAsia="ru-RU"/>
        </w:rPr>
        <w:lastRenderedPageBreak/>
        <w:drawing>
          <wp:inline distT="0" distB="0" distL="0" distR="0">
            <wp:extent cx="4269851" cy="2242268"/>
            <wp:effectExtent l="0" t="0" r="16510" b="5715"/>
            <wp:docPr id="45"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D602D4" w:rsidRDefault="000B4C86">
      <w:pPr>
        <w:spacing w:after="0" w:line="240" w:lineRule="auto"/>
        <w:ind w:firstLine="709"/>
        <w:jc w:val="center"/>
        <w:rPr>
          <w:rFonts w:ascii="Times New Roman" w:eastAsia="Calibri" w:hAnsi="Times New Roman"/>
          <w:b/>
          <w:sz w:val="24"/>
          <w:szCs w:val="24"/>
        </w:rPr>
      </w:pPr>
      <w:r>
        <w:rPr>
          <w:rFonts w:ascii="Times New Roman" w:eastAsia="Calibri" w:hAnsi="Times New Roman" w:cs="Times New Roman"/>
          <w:b/>
          <w:sz w:val="24"/>
          <w:szCs w:val="24"/>
        </w:rPr>
        <w:t xml:space="preserve">Рис. 24 - </w:t>
      </w:r>
      <w:r>
        <w:rPr>
          <w:rFonts w:ascii="Times New Roman" w:eastAsia="Calibri" w:hAnsi="Times New Roman"/>
          <w:b/>
          <w:sz w:val="24"/>
          <w:szCs w:val="24"/>
        </w:rPr>
        <w:t>Структура персонала по гендерным признакам в 2024 году</w:t>
      </w:r>
    </w:p>
    <w:p w:rsidR="00D602D4" w:rsidRDefault="00D602D4">
      <w:pPr>
        <w:spacing w:after="0" w:line="240" w:lineRule="auto"/>
        <w:ind w:firstLine="709"/>
        <w:jc w:val="both"/>
        <w:rPr>
          <w:rFonts w:ascii="Times New Roman" w:hAnsi="Times New Roman" w:cs="Times New Roman"/>
          <w:b/>
          <w:sz w:val="24"/>
          <w:szCs w:val="24"/>
        </w:rPr>
      </w:pPr>
    </w:p>
    <w:p w:rsidR="00D602D4" w:rsidRDefault="000B4C86">
      <w:pPr>
        <w:ind w:firstLine="709"/>
        <w:jc w:val="center"/>
        <w:rPr>
          <w:rFonts w:ascii="Times New Roman" w:hAnsi="Times New Roman" w:cs="Times New Roman"/>
          <w:b/>
          <w:sz w:val="24"/>
          <w:szCs w:val="24"/>
        </w:rPr>
      </w:pPr>
      <w:r>
        <w:rPr>
          <w:noProof/>
          <w:lang w:eastAsia="ru-RU"/>
        </w:rPr>
        <w:drawing>
          <wp:inline distT="0" distB="0" distL="0" distR="0">
            <wp:extent cx="4572000" cy="2571749"/>
            <wp:effectExtent l="4762" t="4762" r="4762" b="4762"/>
            <wp:docPr id="46"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D602D4" w:rsidRDefault="000B4C86">
      <w:pPr>
        <w:spacing w:after="0" w:line="240" w:lineRule="auto"/>
        <w:ind w:firstLine="709"/>
        <w:jc w:val="center"/>
        <w:rPr>
          <w:rFonts w:ascii="Times New Roman" w:hAnsi="Times New Roman" w:cs="Times New Roman"/>
          <w:b/>
          <w:sz w:val="24"/>
          <w:szCs w:val="24"/>
        </w:rPr>
      </w:pPr>
      <w:r>
        <w:rPr>
          <w:rFonts w:ascii="Times New Roman" w:eastAsia="Times New Roman" w:hAnsi="Times New Roman" w:cs="Times New Roman"/>
          <w:b/>
          <w:sz w:val="24"/>
          <w:szCs w:val="24"/>
        </w:rPr>
        <w:t>Рис. 25 - Гендерный состав по категориям сотрудников в 2024 году, %</w:t>
      </w:r>
    </w:p>
    <w:p w:rsidR="00D602D4" w:rsidRDefault="00D602D4">
      <w:pPr>
        <w:pStyle w:val="220"/>
        <w:spacing w:after="0"/>
        <w:ind w:left="0" w:firstLine="709"/>
        <w:jc w:val="right"/>
        <w:rPr>
          <w:b w:val="0"/>
          <w:sz w:val="24"/>
          <w:szCs w:val="24"/>
          <w:highlight w:val="white"/>
        </w:rPr>
      </w:pPr>
    </w:p>
    <w:p w:rsidR="00D602D4" w:rsidRDefault="000B4C86">
      <w:pPr>
        <w:pStyle w:val="220"/>
        <w:spacing w:after="0"/>
        <w:ind w:left="0" w:firstLine="709"/>
        <w:jc w:val="right"/>
        <w:rPr>
          <w:b w:val="0"/>
          <w:sz w:val="24"/>
          <w:szCs w:val="24"/>
        </w:rPr>
      </w:pPr>
      <w:bookmarkStart w:id="54" w:name="_Toc83"/>
      <w:r>
        <w:rPr>
          <w:b w:val="0"/>
          <w:sz w:val="24"/>
          <w:szCs w:val="24"/>
          <w:highlight w:val="white"/>
        </w:rPr>
        <w:t>Таблиц</w:t>
      </w:r>
      <w:r>
        <w:rPr>
          <w:b w:val="0"/>
          <w:sz w:val="24"/>
          <w:szCs w:val="24"/>
        </w:rPr>
        <w:t>а 43</w:t>
      </w:r>
      <w:bookmarkEnd w:id="54"/>
    </w:p>
    <w:p w:rsidR="00D602D4" w:rsidRDefault="000B4C86">
      <w:pPr>
        <w:pStyle w:val="a1"/>
        <w:numPr>
          <w:ilvl w:val="0"/>
          <w:numId w:val="0"/>
        </w:numPr>
        <w:spacing w:after="0"/>
        <w:ind w:firstLine="709"/>
        <w:rPr>
          <w:b w:val="0"/>
          <w:sz w:val="24"/>
          <w:szCs w:val="24"/>
        </w:rPr>
      </w:pPr>
      <w:bookmarkStart w:id="55" w:name="_Toc84"/>
      <w:r>
        <w:rPr>
          <w:b w:val="0"/>
          <w:color w:val="000000"/>
          <w:sz w:val="24"/>
          <w:szCs w:val="24"/>
        </w:rPr>
        <w:t>Численность и качественный состав персонала</w:t>
      </w:r>
      <w:bookmarkEnd w:id="55"/>
    </w:p>
    <w:tbl>
      <w:tblPr>
        <w:tblW w:w="99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22"/>
        <w:gridCol w:w="853"/>
        <w:gridCol w:w="1219"/>
        <w:gridCol w:w="1216"/>
        <w:gridCol w:w="1216"/>
        <w:gridCol w:w="1384"/>
      </w:tblGrid>
      <w:tr w:rsidR="00D602D4">
        <w:tc>
          <w:tcPr>
            <w:tcW w:w="4022" w:type="dxa"/>
            <w:vMerge w:val="restart"/>
            <w:shd w:val="clear" w:color="FFFFFF" w:fill="FFFFFF"/>
            <w:vAlign w:val="center"/>
          </w:tcPr>
          <w:p w:rsidR="00D602D4" w:rsidRDefault="000B4C86">
            <w:pPr>
              <w:spacing w:after="0" w:line="240" w:lineRule="auto"/>
              <w:jc w:val="center"/>
              <w:rPr>
                <w:rFonts w:ascii="Times New Roman" w:hAnsi="Times New Roman" w:cstheme="minorHAnsi"/>
                <w:bCs/>
                <w:sz w:val="20"/>
                <w:szCs w:val="20"/>
              </w:rPr>
            </w:pPr>
            <w:r>
              <w:rPr>
                <w:rFonts w:ascii="Times New Roman" w:eastAsia="Times New Roman" w:hAnsi="Times New Roman" w:cs="Times New Roman"/>
                <w:bCs/>
                <w:sz w:val="20"/>
                <w:szCs w:val="20"/>
                <w:lang w:eastAsia="ru-RU"/>
              </w:rPr>
              <w:t>Показатели</w:t>
            </w:r>
          </w:p>
        </w:tc>
        <w:tc>
          <w:tcPr>
            <w:tcW w:w="853" w:type="dxa"/>
            <w:vMerge w:val="restart"/>
            <w:shd w:val="clear" w:color="FFFFFF" w:fill="FFFFFF"/>
            <w:vAlign w:val="center"/>
          </w:tcPr>
          <w:p w:rsidR="00D602D4" w:rsidRDefault="000B4C86">
            <w:pPr>
              <w:spacing w:after="0" w:line="240" w:lineRule="auto"/>
              <w:jc w:val="center"/>
              <w:rPr>
                <w:rFonts w:ascii="Times New Roman" w:hAnsi="Times New Roman" w:cstheme="minorHAnsi"/>
                <w:bCs/>
                <w:sz w:val="20"/>
                <w:szCs w:val="20"/>
              </w:rPr>
            </w:pPr>
            <w:r>
              <w:rPr>
                <w:rFonts w:ascii="Times New Roman" w:eastAsia="Times New Roman" w:hAnsi="Times New Roman" w:cs="Times New Roman"/>
                <w:bCs/>
                <w:sz w:val="20"/>
                <w:szCs w:val="20"/>
                <w:lang w:eastAsia="ru-RU"/>
              </w:rPr>
              <w:t>Ед.изм.</w:t>
            </w:r>
          </w:p>
        </w:tc>
        <w:tc>
          <w:tcPr>
            <w:tcW w:w="5035" w:type="dxa"/>
            <w:gridSpan w:val="4"/>
            <w:shd w:val="clear" w:color="FFFFFF" w:fill="FFFFFF"/>
            <w:noWrap/>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lang w:eastAsia="ru-RU"/>
              </w:rPr>
              <w:t>Период</w:t>
            </w:r>
          </w:p>
        </w:tc>
      </w:tr>
      <w:tr w:rsidR="00D602D4">
        <w:trPr>
          <w:trHeight w:val="230"/>
        </w:trPr>
        <w:tc>
          <w:tcPr>
            <w:tcW w:w="4022" w:type="dxa"/>
            <w:vMerge/>
            <w:vAlign w:val="center"/>
          </w:tcPr>
          <w:p w:rsidR="00D602D4" w:rsidRDefault="00D602D4">
            <w:pPr>
              <w:rPr>
                <w:rFonts w:eastAsia="Times New Roman" w:cstheme="minorHAnsi"/>
                <w:bCs/>
                <w:sz w:val="20"/>
                <w:szCs w:val="20"/>
                <w:lang w:eastAsia="ru-RU"/>
              </w:rPr>
            </w:pPr>
          </w:p>
        </w:tc>
        <w:tc>
          <w:tcPr>
            <w:tcW w:w="853" w:type="dxa"/>
            <w:vMerge/>
            <w:vAlign w:val="center"/>
          </w:tcPr>
          <w:p w:rsidR="00D602D4" w:rsidRDefault="00D602D4">
            <w:pPr>
              <w:rPr>
                <w:rFonts w:eastAsia="Times New Roman" w:cstheme="minorHAnsi"/>
                <w:bCs/>
                <w:sz w:val="20"/>
                <w:szCs w:val="20"/>
                <w:lang w:eastAsia="ru-RU"/>
              </w:rPr>
            </w:pP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bCs/>
                <w:sz w:val="20"/>
                <w:szCs w:val="20"/>
              </w:rPr>
            </w:pPr>
            <w:r>
              <w:rPr>
                <w:rFonts w:ascii="Times New Roman" w:eastAsia="Times New Roman" w:hAnsi="Times New Roman" w:cs="Times New Roman"/>
                <w:bCs/>
                <w:sz w:val="20"/>
                <w:szCs w:val="20"/>
                <w:lang w:eastAsia="ru-RU"/>
              </w:rPr>
              <w:t>2022 год</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bCs/>
                <w:sz w:val="20"/>
                <w:szCs w:val="20"/>
              </w:rPr>
            </w:pPr>
            <w:r>
              <w:rPr>
                <w:rFonts w:ascii="Times New Roman" w:eastAsia="Times New Roman" w:hAnsi="Times New Roman" w:cs="Times New Roman"/>
                <w:bCs/>
                <w:sz w:val="20"/>
                <w:szCs w:val="20"/>
                <w:lang w:eastAsia="ru-RU"/>
              </w:rPr>
              <w:t>2023 год</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bCs/>
                <w:sz w:val="20"/>
                <w:szCs w:val="20"/>
              </w:rPr>
            </w:pPr>
            <w:r>
              <w:rPr>
                <w:rFonts w:ascii="Times New Roman" w:eastAsia="Times New Roman" w:hAnsi="Times New Roman" w:cs="Times New Roman"/>
                <w:bCs/>
                <w:sz w:val="20"/>
                <w:szCs w:val="20"/>
                <w:lang w:eastAsia="ru-RU"/>
              </w:rPr>
              <w:t>2024 год</w:t>
            </w:r>
          </w:p>
        </w:tc>
        <w:tc>
          <w:tcPr>
            <w:tcW w:w="1384" w:type="dxa"/>
            <w:vMerge w:val="restart"/>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lang w:eastAsia="ru-RU"/>
              </w:rPr>
              <w:t>изменение 2024/2023, %</w:t>
            </w:r>
          </w:p>
        </w:tc>
      </w:tr>
      <w:tr w:rsidR="00D602D4">
        <w:tc>
          <w:tcPr>
            <w:tcW w:w="4022" w:type="dxa"/>
            <w:vMerge/>
            <w:vAlign w:val="center"/>
          </w:tcPr>
          <w:p w:rsidR="00D602D4" w:rsidRDefault="00D602D4">
            <w:pPr>
              <w:rPr>
                <w:rFonts w:eastAsia="Times New Roman" w:cstheme="minorHAnsi"/>
                <w:bCs/>
                <w:sz w:val="20"/>
                <w:szCs w:val="20"/>
                <w:lang w:eastAsia="ru-RU"/>
              </w:rPr>
            </w:pPr>
          </w:p>
        </w:tc>
        <w:tc>
          <w:tcPr>
            <w:tcW w:w="853" w:type="dxa"/>
            <w:vMerge/>
            <w:vAlign w:val="center"/>
          </w:tcPr>
          <w:p w:rsidR="00D602D4" w:rsidRDefault="00D602D4">
            <w:pPr>
              <w:rPr>
                <w:rFonts w:eastAsia="Times New Roman" w:cstheme="minorHAnsi"/>
                <w:bCs/>
                <w:sz w:val="20"/>
                <w:szCs w:val="20"/>
                <w:lang w:eastAsia="ru-RU"/>
              </w:rPr>
            </w:pP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bCs/>
                <w:sz w:val="20"/>
                <w:szCs w:val="20"/>
              </w:rPr>
            </w:pPr>
            <w:r>
              <w:rPr>
                <w:rFonts w:ascii="Times New Roman" w:eastAsia="Times New Roman" w:hAnsi="Times New Roman" w:cs="Times New Roman"/>
                <w:bCs/>
                <w:sz w:val="20"/>
                <w:szCs w:val="20"/>
                <w:lang w:eastAsia="ru-RU"/>
              </w:rPr>
              <w:t>факт</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bCs/>
                <w:sz w:val="20"/>
                <w:szCs w:val="20"/>
              </w:rPr>
            </w:pPr>
            <w:r>
              <w:rPr>
                <w:rFonts w:ascii="Times New Roman" w:eastAsia="Times New Roman" w:hAnsi="Times New Roman" w:cs="Times New Roman"/>
                <w:bCs/>
                <w:sz w:val="20"/>
                <w:szCs w:val="20"/>
                <w:lang w:eastAsia="ru-RU"/>
              </w:rPr>
              <w:t>факт</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bCs/>
                <w:sz w:val="20"/>
                <w:szCs w:val="20"/>
              </w:rPr>
            </w:pPr>
            <w:r>
              <w:rPr>
                <w:rFonts w:ascii="Times New Roman" w:eastAsia="Times New Roman" w:hAnsi="Times New Roman" w:cs="Times New Roman"/>
                <w:bCs/>
                <w:sz w:val="20"/>
                <w:szCs w:val="20"/>
                <w:lang w:eastAsia="ru-RU"/>
              </w:rPr>
              <w:t>факт</w:t>
            </w:r>
          </w:p>
        </w:tc>
        <w:tc>
          <w:tcPr>
            <w:tcW w:w="1384" w:type="dxa"/>
            <w:vMerge/>
            <w:vAlign w:val="center"/>
          </w:tcPr>
          <w:p w:rsidR="00D602D4" w:rsidRDefault="00D602D4">
            <w:pPr>
              <w:rPr>
                <w:rFonts w:eastAsia="Times New Roman" w:cstheme="minorHAnsi"/>
                <w:sz w:val="20"/>
                <w:szCs w:val="20"/>
                <w:lang w:eastAsia="ru-RU"/>
              </w:rPr>
            </w:pPr>
          </w:p>
        </w:tc>
      </w:tr>
      <w:tr w:rsidR="00D602D4">
        <w:tc>
          <w:tcPr>
            <w:tcW w:w="4022"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lang w:eastAsia="ru-RU"/>
              </w:rPr>
              <w:t>1</w:t>
            </w:r>
          </w:p>
        </w:tc>
        <w:tc>
          <w:tcPr>
            <w:tcW w:w="853"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lang w:eastAsia="ru-RU"/>
              </w:rPr>
              <w:t>2</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lang w:eastAsia="ru-RU"/>
              </w:rPr>
              <w:t>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lang w:eastAsia="ru-RU"/>
              </w:rPr>
              <w:t>4</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lang w:eastAsia="ru-RU"/>
              </w:rPr>
              <w:t>5</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lang w:eastAsia="ru-RU"/>
              </w:rPr>
              <w:t>6</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 xml:space="preserve">Среднесписочная численность персонала </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чел.</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18909</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18603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18 095</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-2,7%</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Распределение среднесписочной численности персонала по филиалам за отчетный год</w:t>
            </w:r>
            <w:r>
              <w:rPr>
                <w:rFonts w:ascii="Times New Roman" w:eastAsia="Times New Roman" w:hAnsi="Times New Roman" w:cs="Times New Roman"/>
                <w:sz w:val="20"/>
                <w:szCs w:val="20"/>
                <w:vertAlign w:val="subscript"/>
              </w:rPr>
              <w:t>[1]</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18,0%</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18,3%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18,3%</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0%</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Алтайэнерго</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12,6%</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12,7%</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12,7%</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0%</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Бурятэнерго</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2,7%</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2,8%</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2,9%</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4%</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Горно-Алтайские электрические сети</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19,2%</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19,5%</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19,7%</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Красноярскэнерго</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12,9%</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13,0%</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13,0%</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0%</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Кузбассэнерго-РЭС</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14,3%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14,3%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14,1%</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Омскэнерго</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6,3%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5,6%</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5,6%</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Хакасэнерго</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11,7%</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11,6%</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11,3%</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-2%</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Читаэнерго</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2,3%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2,3%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2,5%</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6%</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Исполнительный аппарат</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92%</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90%</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88%</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-3%</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lastRenderedPageBreak/>
              <w:t>Уровень активной текучести персонала</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7,0</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5,6</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4,2</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-32,0%</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 xml:space="preserve">Гендерный состав </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384"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жен.</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23,3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23,9</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24,7</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3,2%</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муж.</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76,7</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76,1</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75,3</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sz w:val="20"/>
                <w:szCs w:val="20"/>
              </w:rPr>
              <w:t>-1,1%</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sz w:val="20"/>
                <w:szCs w:val="20"/>
              </w:rPr>
              <w:t>Гендерный состав руководителей</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384"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жен.</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9,1</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9,3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9,4</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1,1%</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муж.</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90,9</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90,7</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90,6</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-0,1%</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Гендерный состав специалистов</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384"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жен.</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47,8</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48,2</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49,1</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1,8%</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муж.</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52,2</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51,8</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50,9</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-1,8%</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Гендерный состав рабочих</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384"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жен.</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9,8</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10,1</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10,7</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5,6%</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муж.</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90,2</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89,9</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89,3</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-0,7%</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 xml:space="preserve">Средний возраст работников </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лет</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41,8</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42,3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42,8</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1,2%</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Возрастной состав персонала в разрезе групп:</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384"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до 35 лет</w:t>
            </w:r>
          </w:p>
        </w:tc>
        <w:tc>
          <w:tcPr>
            <w:tcW w:w="853"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27,3</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25,4</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24,1</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-5,3%</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 xml:space="preserve">от 35 до 50 лет </w:t>
            </w:r>
          </w:p>
        </w:tc>
        <w:tc>
          <w:tcPr>
            <w:tcW w:w="853"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45,9</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46,7</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46,9</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0,3%</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старше 50 лет</w:t>
            </w:r>
          </w:p>
        </w:tc>
        <w:tc>
          <w:tcPr>
            <w:tcW w:w="853"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26,8</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27,9</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29,0</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3,9%</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 xml:space="preserve">Структура персонала по образованию: </w:t>
            </w:r>
          </w:p>
        </w:tc>
        <w:tc>
          <w:tcPr>
            <w:tcW w:w="853" w:type="dxa"/>
            <w:shd w:val="clear" w:color="FFFFFF" w:fill="FFFFFF"/>
            <w:vAlign w:val="center"/>
          </w:tcPr>
          <w:p w:rsidR="00D602D4" w:rsidRDefault="00D602D4">
            <w:pPr>
              <w:spacing w:after="0" w:line="240" w:lineRule="auto"/>
              <w:rPr>
                <w:rFonts w:ascii="Times New Roman" w:hAnsi="Times New Roman" w:cstheme="minorHAnsi"/>
                <w:sz w:val="20"/>
                <w:szCs w:val="20"/>
              </w:rPr>
            </w:pPr>
          </w:p>
        </w:tc>
        <w:tc>
          <w:tcPr>
            <w:tcW w:w="1219"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216"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c>
          <w:tcPr>
            <w:tcW w:w="1384" w:type="dxa"/>
            <w:shd w:val="clear" w:color="FFFFFF" w:fill="FFFFFF"/>
            <w:vAlign w:val="center"/>
          </w:tcPr>
          <w:p w:rsidR="00D602D4" w:rsidRDefault="00D602D4">
            <w:pPr>
              <w:spacing w:after="0" w:line="240" w:lineRule="auto"/>
              <w:jc w:val="center"/>
              <w:rPr>
                <w:rFonts w:ascii="Times New Roman" w:hAnsi="Times New Roman" w:cstheme="minorHAnsi"/>
                <w:sz w:val="20"/>
                <w:szCs w:val="20"/>
              </w:rPr>
            </w:pP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основное/среднее общее</w:t>
            </w:r>
          </w:p>
        </w:tc>
        <w:tc>
          <w:tcPr>
            <w:tcW w:w="853"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11,4</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11,5</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11,5</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0,0%</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 xml:space="preserve">начальное/среднее профессиональное, </w:t>
            </w:r>
          </w:p>
        </w:tc>
        <w:tc>
          <w:tcPr>
            <w:tcW w:w="853"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41,5</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40,8</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39,9</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-2,3%</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 xml:space="preserve">высшее образование </w:t>
            </w:r>
          </w:p>
        </w:tc>
        <w:tc>
          <w:tcPr>
            <w:tcW w:w="853"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47,1</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47,7</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48,6</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1,9%</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Число работников, имеющих ученую степень</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чел.</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11</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10</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10</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0,0%</w:t>
            </w:r>
          </w:p>
        </w:tc>
      </w:tr>
      <w:tr w:rsidR="00D602D4">
        <w:tc>
          <w:tcPr>
            <w:tcW w:w="4022"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Общее количество принятых на работу работников за отчетный период</w:t>
            </w:r>
          </w:p>
        </w:tc>
        <w:tc>
          <w:tcPr>
            <w:tcW w:w="853" w:type="dxa"/>
            <w:shd w:val="clear" w:color="FFFFFF" w:fill="FFFFFF"/>
            <w:vAlign w:val="center"/>
          </w:tcPr>
          <w:p w:rsidR="00D602D4" w:rsidRDefault="000B4C86">
            <w:pPr>
              <w:spacing w:after="0" w:line="240" w:lineRule="auto"/>
              <w:rPr>
                <w:rFonts w:ascii="Times New Roman" w:hAnsi="Times New Roman" w:cstheme="minorHAnsi"/>
                <w:sz w:val="20"/>
                <w:szCs w:val="20"/>
              </w:rPr>
            </w:pPr>
            <w:r>
              <w:rPr>
                <w:rFonts w:ascii="Times New Roman" w:eastAsia="Times New Roman" w:hAnsi="Times New Roman" w:cs="Times New Roman"/>
                <w:color w:val="000000"/>
                <w:sz w:val="20"/>
                <w:szCs w:val="20"/>
              </w:rPr>
              <w:t>тыс. чел.</w:t>
            </w:r>
          </w:p>
        </w:tc>
        <w:tc>
          <w:tcPr>
            <w:tcW w:w="1219"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3,1</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2,6</w:t>
            </w:r>
          </w:p>
        </w:tc>
        <w:tc>
          <w:tcPr>
            <w:tcW w:w="121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2,7</w:t>
            </w:r>
          </w:p>
        </w:tc>
        <w:tc>
          <w:tcPr>
            <w:tcW w:w="138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3,7%</w:t>
            </w:r>
          </w:p>
        </w:tc>
      </w:tr>
    </w:tbl>
    <w:p w:rsidR="00D602D4" w:rsidRDefault="00D602D4">
      <w:pPr>
        <w:pStyle w:val="220"/>
        <w:spacing w:after="0"/>
        <w:ind w:left="0" w:firstLine="709"/>
      </w:pPr>
    </w:p>
    <w:p w:rsidR="00D602D4" w:rsidRDefault="000B4C86">
      <w:pPr>
        <w:keepNext/>
        <w:spacing w:after="0" w:line="240" w:lineRule="auto"/>
        <w:ind w:left="567" w:hanging="567"/>
        <w:outlineLvl w:val="1"/>
        <w:rPr>
          <w:rFonts w:ascii="Times New Roman" w:eastAsia="Times New Roman" w:hAnsi="Times New Roman" w:cs="Times New Roman"/>
          <w:b/>
          <w:sz w:val="24"/>
          <w:szCs w:val="24"/>
          <w:lang w:eastAsia="ru-RU"/>
        </w:rPr>
      </w:pPr>
      <w:bookmarkStart w:id="56" w:name="_Toc85"/>
      <w:r>
        <w:rPr>
          <w:rFonts w:ascii="Times New Roman" w:eastAsia="Times New Roman" w:hAnsi="Times New Roman" w:cs="Times New Roman"/>
          <w:b/>
          <w:sz w:val="24"/>
          <w:szCs w:val="24"/>
          <w:lang w:eastAsia="ru-RU"/>
        </w:rPr>
        <w:t>Повышение производительности труда</w:t>
      </w:r>
      <w:bookmarkEnd w:id="56"/>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Повышение производительности труда зависит от социально-экономических показателей, связанных с квалификацией, образованием, знаниями и </w:t>
      </w:r>
      <w:hyperlink r:id="rId87" w:tooltip="Гибкие навыки" w:history="1">
        <w:r>
          <w:rPr>
            <w:rFonts w:ascii="Times New Roman" w:eastAsia="Times New Roman" w:hAnsi="Times New Roman" w:cs="Times New Roman"/>
            <w:sz w:val="24"/>
            <w:szCs w:val="24"/>
            <w:lang w:eastAsia="ru-RU"/>
          </w:rPr>
          <w:t>навыками</w:t>
        </w:r>
      </w:hyperlink>
      <w:r>
        <w:rPr>
          <w:rFonts w:ascii="Times New Roman" w:eastAsia="Times New Roman" w:hAnsi="Times New Roman" w:cs="Times New Roman"/>
          <w:sz w:val="24"/>
          <w:szCs w:val="24"/>
          <w:lang w:eastAsia="ru-RU"/>
        </w:rPr>
        <w:t xml:space="preserve"> исполнителей, условиями труда, применением оптимальных режимов труда и отдыха, психологическим климатом в коллективе, его сплоченностью и внутриколлективными отношениями, улучшение условий труда, повышение творческой активности работников. Стимулом повышения производительности труда также является совершенствование форм систем оплаты труда, воспроизводства рабочей силы и решения социальных проблем общества. </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Повышение производительности труда создает условия для роста заработной платы, и наоборот, увеличение заработной платы стимулирует производительность труда.</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ПАО «Россети Сибирь» показатель «Повышение производительности труда» по итогам 2022 и 2023 годов выполнен, за 2024 год оценка не проведена. </w:t>
      </w:r>
    </w:p>
    <w:p w:rsidR="00D602D4" w:rsidRDefault="00D602D4">
      <w:pPr>
        <w:widowControl w:val="0"/>
        <w:spacing w:after="0" w:line="240" w:lineRule="auto"/>
        <w:ind w:firstLine="709"/>
        <w:jc w:val="both"/>
        <w:rPr>
          <w:rFonts w:ascii="Times New Roman" w:eastAsia="Times New Roman" w:hAnsi="Times New Roman" w:cs="Times New Roman"/>
          <w:sz w:val="24"/>
          <w:szCs w:val="24"/>
          <w:lang w:eastAsia="ru-RU"/>
        </w:rPr>
      </w:pPr>
    </w:p>
    <w:p w:rsidR="00D602D4" w:rsidRDefault="000B4C86">
      <w:pPr>
        <w:widowControl w:val="0"/>
        <w:tabs>
          <w:tab w:val="left" w:pos="9356"/>
        </w:tabs>
        <w:spacing w:after="0" w:line="240" w:lineRule="auto"/>
        <w:ind w:firstLine="709"/>
        <w:jc w:val="right"/>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Динамика производительности труда </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Таблица 44</w:t>
      </w:r>
    </w:p>
    <w:tbl>
      <w:tblPr>
        <w:tblW w:w="9746" w:type="dxa"/>
        <w:tblInd w:w="98" w:type="dxa"/>
        <w:tblLayout w:type="fixed"/>
        <w:tblLook w:val="04A0" w:firstRow="1" w:lastRow="0" w:firstColumn="1" w:lastColumn="0" w:noHBand="0" w:noVBand="1"/>
      </w:tblPr>
      <w:tblGrid>
        <w:gridCol w:w="3512"/>
        <w:gridCol w:w="947"/>
        <w:gridCol w:w="1607"/>
        <w:gridCol w:w="1906"/>
        <w:gridCol w:w="1774"/>
      </w:tblGrid>
      <w:tr w:rsidR="00D602D4">
        <w:trPr>
          <w:trHeight w:val="170"/>
        </w:trPr>
        <w:tc>
          <w:tcPr>
            <w:tcW w:w="3512" w:type="dxa"/>
            <w:vMerge w:val="restart"/>
            <w:tcBorders>
              <w:top w:val="single" w:sz="8" w:space="0" w:color="000000"/>
              <w:left w:val="single" w:sz="8" w:space="0" w:color="000000"/>
              <w:bottom w:val="single" w:sz="8" w:space="0" w:color="000000"/>
              <w:right w:val="single" w:sz="4" w:space="0" w:color="000000"/>
            </w:tcBorders>
            <w:shd w:val="clear" w:color="FFFFFF" w:fill="BDD6EE" w:themeFill="accent1" w:themeFillTint="66"/>
            <w:vAlign w:val="center"/>
          </w:tcPr>
          <w:p w:rsidR="00D602D4" w:rsidRDefault="000B4C86">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Наименование</w:t>
            </w:r>
          </w:p>
        </w:tc>
        <w:tc>
          <w:tcPr>
            <w:tcW w:w="947" w:type="dxa"/>
            <w:vMerge w:val="restart"/>
            <w:tcBorders>
              <w:top w:val="single" w:sz="8" w:space="0" w:color="000000"/>
              <w:left w:val="single" w:sz="4" w:space="0" w:color="000000"/>
              <w:bottom w:val="single" w:sz="8" w:space="0" w:color="000000"/>
              <w:right w:val="single" w:sz="4" w:space="0" w:color="000000"/>
            </w:tcBorders>
            <w:shd w:val="clear" w:color="FFFFFF" w:fill="BDD6EE" w:themeFill="accent1" w:themeFillTint="66"/>
            <w:vAlign w:val="center"/>
          </w:tcPr>
          <w:p w:rsidR="00D602D4" w:rsidRDefault="000B4C86">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Ед. изм.</w:t>
            </w:r>
          </w:p>
        </w:tc>
        <w:tc>
          <w:tcPr>
            <w:tcW w:w="5287" w:type="dxa"/>
            <w:gridSpan w:val="3"/>
            <w:tcBorders>
              <w:top w:val="single" w:sz="8" w:space="0" w:color="000000"/>
              <w:left w:val="none" w:sz="4" w:space="0" w:color="000000"/>
              <w:bottom w:val="single" w:sz="4" w:space="0" w:color="000000"/>
              <w:right w:val="single" w:sz="8" w:space="0" w:color="000000"/>
            </w:tcBorders>
            <w:shd w:val="clear" w:color="FFFFFF" w:fill="BDD6EE" w:themeFill="accent1" w:themeFillTint="66"/>
            <w:noWrap/>
            <w:vAlign w:val="center"/>
          </w:tcPr>
          <w:p w:rsidR="00D602D4" w:rsidRDefault="000B4C86">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Значения параметров</w:t>
            </w:r>
          </w:p>
        </w:tc>
      </w:tr>
      <w:tr w:rsidR="00D602D4">
        <w:trPr>
          <w:trHeight w:val="170"/>
        </w:trPr>
        <w:tc>
          <w:tcPr>
            <w:tcW w:w="3512" w:type="dxa"/>
            <w:vMerge/>
            <w:tcBorders>
              <w:top w:val="single" w:sz="8" w:space="0" w:color="000000"/>
              <w:left w:val="single" w:sz="8" w:space="0" w:color="000000"/>
              <w:bottom w:val="single" w:sz="8" w:space="0" w:color="000000"/>
              <w:right w:val="single" w:sz="4" w:space="0" w:color="000000"/>
            </w:tcBorders>
            <w:shd w:val="clear" w:color="FFFFFF" w:fill="BDD6EE" w:themeFill="accent1" w:themeFillTint="66"/>
            <w:vAlign w:val="center"/>
          </w:tcPr>
          <w:p w:rsidR="00D602D4" w:rsidRDefault="00D602D4">
            <w:pPr>
              <w:rPr>
                <w:rFonts w:ascii="Times New Roman" w:eastAsia="Times New Roman" w:hAnsi="Times New Roman" w:cs="Times New Roman"/>
                <w:b/>
                <w:bCs/>
                <w:sz w:val="20"/>
                <w:szCs w:val="20"/>
                <w:lang w:eastAsia="ru-RU"/>
              </w:rPr>
            </w:pPr>
          </w:p>
        </w:tc>
        <w:tc>
          <w:tcPr>
            <w:tcW w:w="947" w:type="dxa"/>
            <w:vMerge/>
            <w:tcBorders>
              <w:top w:val="single" w:sz="8" w:space="0" w:color="000000"/>
              <w:left w:val="single" w:sz="4" w:space="0" w:color="000000"/>
              <w:bottom w:val="single" w:sz="8" w:space="0" w:color="000000"/>
              <w:right w:val="single" w:sz="4" w:space="0" w:color="000000"/>
            </w:tcBorders>
            <w:shd w:val="clear" w:color="FFFFFF" w:fill="BDD6EE" w:themeFill="accent1" w:themeFillTint="66"/>
            <w:vAlign w:val="center"/>
          </w:tcPr>
          <w:p w:rsidR="00D602D4" w:rsidRDefault="00D602D4">
            <w:pPr>
              <w:rPr>
                <w:rFonts w:ascii="Times New Roman" w:eastAsia="Times New Roman" w:hAnsi="Times New Roman" w:cs="Times New Roman"/>
                <w:b/>
                <w:bCs/>
                <w:sz w:val="20"/>
                <w:szCs w:val="20"/>
                <w:lang w:eastAsia="ru-RU"/>
              </w:rPr>
            </w:pPr>
          </w:p>
        </w:tc>
        <w:tc>
          <w:tcPr>
            <w:tcW w:w="1607" w:type="dxa"/>
            <w:tcBorders>
              <w:top w:val="none" w:sz="4" w:space="0" w:color="000000"/>
              <w:left w:val="none" w:sz="4" w:space="0" w:color="000000"/>
              <w:bottom w:val="single" w:sz="8" w:space="0" w:color="000000"/>
              <w:right w:val="single" w:sz="8" w:space="0" w:color="000000"/>
            </w:tcBorders>
            <w:shd w:val="clear" w:color="FFFFFF" w:fill="BDD6EE" w:themeFill="accent1" w:themeFillTint="66"/>
            <w:noWrap/>
            <w:vAlign w:val="center"/>
          </w:tcPr>
          <w:p w:rsidR="00D602D4" w:rsidRDefault="000B4C86">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Факт 2022 </w:t>
            </w:r>
          </w:p>
        </w:tc>
        <w:tc>
          <w:tcPr>
            <w:tcW w:w="1906" w:type="dxa"/>
            <w:tcBorders>
              <w:top w:val="none" w:sz="4" w:space="0" w:color="000000"/>
              <w:left w:val="single" w:sz="4" w:space="0" w:color="000000"/>
              <w:bottom w:val="single" w:sz="8" w:space="0" w:color="000000"/>
              <w:right w:val="single" w:sz="8" w:space="0" w:color="000000"/>
            </w:tcBorders>
            <w:shd w:val="clear" w:color="FFFFFF" w:fill="BDD6EE" w:themeFill="accent1" w:themeFillTint="66"/>
            <w:noWrap/>
            <w:vAlign w:val="center"/>
          </w:tcPr>
          <w:p w:rsidR="00D602D4" w:rsidRDefault="000B4C86">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xml:space="preserve">Факт 2023 </w:t>
            </w:r>
          </w:p>
        </w:tc>
        <w:tc>
          <w:tcPr>
            <w:tcW w:w="1774" w:type="dxa"/>
            <w:tcBorders>
              <w:top w:val="none" w:sz="4" w:space="0" w:color="000000"/>
              <w:left w:val="single" w:sz="4" w:space="0" w:color="000000"/>
              <w:bottom w:val="single" w:sz="8" w:space="0" w:color="000000"/>
              <w:right w:val="single" w:sz="8" w:space="0" w:color="000000"/>
            </w:tcBorders>
            <w:shd w:val="clear" w:color="FFFFFF" w:fill="BDD6EE" w:themeFill="accent1" w:themeFillTint="66"/>
            <w:noWrap/>
            <w:vAlign w:val="center"/>
          </w:tcPr>
          <w:p w:rsidR="00D602D4" w:rsidRDefault="000B4C86">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Факт 2024 *</w:t>
            </w:r>
          </w:p>
        </w:tc>
      </w:tr>
      <w:tr w:rsidR="00D602D4">
        <w:trPr>
          <w:trHeight w:val="170"/>
        </w:trPr>
        <w:tc>
          <w:tcPr>
            <w:tcW w:w="3512" w:type="dxa"/>
            <w:tcBorders>
              <w:top w:val="none" w:sz="4" w:space="0" w:color="000000"/>
              <w:left w:val="single" w:sz="8" w:space="0" w:color="000000"/>
              <w:bottom w:val="single" w:sz="8"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947" w:type="dxa"/>
            <w:tcBorders>
              <w:top w:val="none" w:sz="4" w:space="0" w:color="000000"/>
              <w:left w:val="none" w:sz="4" w:space="0" w:color="000000"/>
              <w:bottom w:val="single" w:sz="8"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1607"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906" w:type="dxa"/>
            <w:tcBorders>
              <w:top w:val="none" w:sz="4" w:space="0" w:color="000000"/>
              <w:left w:val="single" w:sz="4" w:space="0" w:color="000000"/>
              <w:bottom w:val="single" w:sz="8"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774"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r>
      <w:tr w:rsidR="00D602D4">
        <w:trPr>
          <w:trHeight w:val="170"/>
        </w:trPr>
        <w:tc>
          <w:tcPr>
            <w:tcW w:w="3512" w:type="dxa"/>
            <w:tcBorders>
              <w:top w:val="single" w:sz="8" w:space="0" w:color="000000"/>
              <w:left w:val="single" w:sz="8" w:space="0" w:color="000000"/>
              <w:bottom w:val="single" w:sz="4" w:space="0" w:color="000000"/>
              <w:right w:val="none" w:sz="4" w:space="0" w:color="000000"/>
            </w:tcBorders>
            <w:shd w:val="clear" w:color="000000" w:fill="FFFFFF"/>
            <w:vAlign w:val="center"/>
          </w:tcPr>
          <w:p w:rsidR="00D602D4" w:rsidRDefault="000B4C86">
            <w:pPr>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ППТ = ДС/Числ:</w:t>
            </w:r>
          </w:p>
        </w:tc>
        <w:tc>
          <w:tcPr>
            <w:tcW w:w="947" w:type="dxa"/>
            <w:tcBorders>
              <w:top w:val="single" w:sz="8" w:space="0" w:color="000000"/>
              <w:left w:val="single" w:sz="4" w:space="0" w:color="000000"/>
              <w:bottom w:val="single" w:sz="4" w:space="0" w:color="000000"/>
              <w:right w:val="single" w:sz="4" w:space="0" w:color="000000"/>
            </w:tcBorders>
            <w:shd w:val="clear" w:color="000000" w:fill="FFFFFF"/>
            <w:vAlign w:val="center"/>
          </w:tcPr>
          <w:p w:rsidR="00D602D4" w:rsidRDefault="000B4C86">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млн руб./чел</w:t>
            </w:r>
          </w:p>
        </w:tc>
        <w:tc>
          <w:tcPr>
            <w:tcW w:w="1607" w:type="dxa"/>
            <w:tcBorders>
              <w:top w:val="single" w:sz="8" w:space="0" w:color="000000"/>
              <w:left w:val="none" w:sz="4" w:space="0" w:color="000000"/>
              <w:bottom w:val="single" w:sz="4" w:space="0" w:color="000000"/>
              <w:right w:val="single" w:sz="4" w:space="0" w:color="000000"/>
            </w:tcBorders>
            <w:shd w:val="clear" w:color="000000" w:fill="FFFFFF"/>
            <w:vAlign w:val="center"/>
          </w:tcPr>
          <w:p w:rsidR="00D602D4" w:rsidRDefault="000B4C86">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1,30</w:t>
            </w:r>
          </w:p>
        </w:tc>
        <w:tc>
          <w:tcPr>
            <w:tcW w:w="1906" w:type="dxa"/>
            <w:tcBorders>
              <w:top w:val="single" w:sz="8" w:space="0" w:color="000000"/>
              <w:left w:val="none" w:sz="4" w:space="0" w:color="000000"/>
              <w:bottom w:val="single" w:sz="4" w:space="0" w:color="000000"/>
              <w:right w:val="single" w:sz="4" w:space="0" w:color="000000"/>
            </w:tcBorders>
            <w:shd w:val="clear" w:color="000000" w:fill="FFFFFF"/>
            <w:vAlign w:val="center"/>
          </w:tcPr>
          <w:p w:rsidR="00D602D4" w:rsidRDefault="000B4C86">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1,36</w:t>
            </w:r>
          </w:p>
        </w:tc>
        <w:tc>
          <w:tcPr>
            <w:tcW w:w="1774" w:type="dxa"/>
            <w:vMerge w:val="restart"/>
            <w:tcBorders>
              <w:top w:val="single" w:sz="8" w:space="0" w:color="000000"/>
              <w:left w:val="none" w:sz="4" w:space="0" w:color="000000"/>
              <w:right w:val="single" w:sz="4" w:space="0" w:color="000000"/>
            </w:tcBorders>
            <w:shd w:val="clear" w:color="000000" w:fill="FFFFFF"/>
          </w:tcPr>
          <w:p w:rsidR="00D602D4" w:rsidRDefault="000B4C86">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Оценка исполнения КПЭ за 2024 год не проведена</w:t>
            </w:r>
          </w:p>
          <w:p w:rsidR="00D602D4" w:rsidRDefault="00D602D4">
            <w:pPr>
              <w:spacing w:after="0" w:line="240" w:lineRule="auto"/>
              <w:jc w:val="center"/>
              <w:rPr>
                <w:rFonts w:ascii="Times New Roman" w:eastAsia="Times New Roman" w:hAnsi="Times New Roman" w:cs="Times New Roman"/>
                <w:b/>
                <w:bCs/>
                <w:sz w:val="20"/>
                <w:szCs w:val="20"/>
                <w:lang w:eastAsia="ru-RU"/>
              </w:rPr>
            </w:pPr>
          </w:p>
        </w:tc>
      </w:tr>
      <w:tr w:rsidR="00D602D4">
        <w:trPr>
          <w:trHeight w:val="170"/>
        </w:trPr>
        <w:tc>
          <w:tcPr>
            <w:tcW w:w="3512" w:type="dxa"/>
            <w:tcBorders>
              <w:top w:val="single" w:sz="8" w:space="0" w:color="000000"/>
              <w:left w:val="single" w:sz="8" w:space="0" w:color="000000"/>
              <w:bottom w:val="single" w:sz="8" w:space="0" w:color="000000"/>
              <w:right w:val="single" w:sz="4" w:space="0" w:color="000000"/>
            </w:tcBorders>
            <w:shd w:val="clear" w:color="FFFFFF" w:fill="FFFFFF" w:themeFill="background1"/>
            <w:vAlign w:val="center"/>
          </w:tcPr>
          <w:p w:rsidR="00D602D4" w:rsidRDefault="000B4C86">
            <w:pPr>
              <w:spacing w:after="0" w:line="240" w:lineRule="auto"/>
              <w:rPr>
                <w:rFonts w:ascii="Times New Roman" w:eastAsia="Times New Roman" w:hAnsi="Times New Roman" w:cs="Times New Roman"/>
                <w:bCs/>
                <w:sz w:val="20"/>
                <w:szCs w:val="20"/>
                <w:u w:val="single"/>
                <w:lang w:eastAsia="ru-RU"/>
              </w:rPr>
            </w:pPr>
            <w:r>
              <w:rPr>
                <w:rFonts w:ascii="Times New Roman" w:eastAsia="Times New Roman" w:hAnsi="Times New Roman" w:cs="Times New Roman"/>
                <w:bCs/>
                <w:sz w:val="20"/>
                <w:szCs w:val="20"/>
                <w:u w:val="single"/>
                <w:lang w:eastAsia="ru-RU"/>
              </w:rPr>
              <w:t xml:space="preserve">Целевое и фактическое значение ППТ </w:t>
            </w:r>
            <w:r>
              <w:rPr>
                <w:rFonts w:ascii="Times New Roman" w:eastAsia="Times New Roman" w:hAnsi="Times New Roman" w:cs="Times New Roman"/>
                <w:bCs/>
                <w:sz w:val="20"/>
                <w:szCs w:val="20"/>
                <w:lang w:eastAsia="ru-RU"/>
              </w:rPr>
              <w:t xml:space="preserve"> ≥ 10,00%</w:t>
            </w:r>
          </w:p>
        </w:tc>
        <w:tc>
          <w:tcPr>
            <w:tcW w:w="947" w:type="dxa"/>
            <w:tcBorders>
              <w:top w:val="single" w:sz="8" w:space="0" w:color="000000"/>
              <w:left w:val="none" w:sz="4" w:space="0" w:color="000000"/>
              <w:bottom w:val="single" w:sz="8" w:space="0" w:color="000000"/>
              <w:right w:val="single" w:sz="4" w:space="0" w:color="000000"/>
            </w:tcBorders>
            <w:shd w:val="clear" w:color="FFFFFF" w:fill="FFFFFF" w:themeFill="background1"/>
            <w:vAlign w:val="center"/>
          </w:tcPr>
          <w:p w:rsidR="00D602D4" w:rsidRDefault="000B4C86">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w:t>
            </w:r>
          </w:p>
        </w:tc>
        <w:tc>
          <w:tcPr>
            <w:tcW w:w="1607" w:type="dxa"/>
            <w:tcBorders>
              <w:top w:val="single" w:sz="8" w:space="0" w:color="000000"/>
              <w:left w:val="none" w:sz="4" w:space="0" w:color="000000"/>
              <w:bottom w:val="single" w:sz="8" w:space="0" w:color="000000"/>
              <w:right w:val="single" w:sz="8" w:space="0" w:color="000000"/>
            </w:tcBorders>
            <w:shd w:val="clear" w:color="FFFFFF" w:fill="FFFFFF" w:themeFill="background1"/>
            <w:vAlign w:val="center"/>
          </w:tcPr>
          <w:p w:rsidR="00D602D4" w:rsidRDefault="000B4C86">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14,26%</w:t>
            </w:r>
          </w:p>
        </w:tc>
        <w:tc>
          <w:tcPr>
            <w:tcW w:w="1906" w:type="dxa"/>
            <w:tcBorders>
              <w:top w:val="single" w:sz="8" w:space="0" w:color="000000"/>
              <w:left w:val="single" w:sz="4" w:space="0" w:color="000000"/>
              <w:bottom w:val="single" w:sz="8" w:space="0" w:color="000000"/>
              <w:right w:val="single" w:sz="8" w:space="0" w:color="000000"/>
            </w:tcBorders>
            <w:shd w:val="clear" w:color="FFFFFF" w:fill="FFFFFF" w:themeFill="background1"/>
            <w:vAlign w:val="center"/>
          </w:tcPr>
          <w:p w:rsidR="00D602D4" w:rsidRDefault="000B4C86">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12,6%</w:t>
            </w:r>
          </w:p>
        </w:tc>
        <w:tc>
          <w:tcPr>
            <w:tcW w:w="1774" w:type="dxa"/>
            <w:vMerge/>
            <w:tcBorders>
              <w:left w:val="single" w:sz="4" w:space="0" w:color="000000"/>
              <w:right w:val="single" w:sz="4" w:space="0" w:color="000000"/>
            </w:tcBorders>
            <w:shd w:val="clear" w:color="FFFFFF" w:fill="FFFFFF" w:themeFill="background1"/>
          </w:tcPr>
          <w:p w:rsidR="00D602D4" w:rsidRDefault="00D602D4">
            <w:pPr>
              <w:jc w:val="center"/>
            </w:pPr>
          </w:p>
        </w:tc>
      </w:tr>
      <w:tr w:rsidR="00D602D4">
        <w:trPr>
          <w:trHeight w:val="170"/>
        </w:trPr>
        <w:tc>
          <w:tcPr>
            <w:tcW w:w="3512" w:type="dxa"/>
            <w:tcBorders>
              <w:top w:val="none" w:sz="4" w:space="0" w:color="000000"/>
              <w:left w:val="single" w:sz="8" w:space="0" w:color="000000"/>
              <w:bottom w:val="single" w:sz="8" w:space="0" w:color="000000"/>
              <w:right w:val="none" w:sz="4" w:space="0" w:color="000000"/>
            </w:tcBorders>
            <w:shd w:val="clear" w:color="FFFFFF" w:fill="FFFFFF" w:themeFill="background1"/>
            <w:vAlign w:val="center"/>
          </w:tcPr>
          <w:p w:rsidR="00D602D4" w:rsidRDefault="000B4C86">
            <w:pPr>
              <w:spacing w:after="0" w:line="240" w:lineRule="auto"/>
              <w:rPr>
                <w:rFonts w:ascii="Times New Roman" w:eastAsia="Times New Roman" w:hAnsi="Times New Roman" w:cs="Times New Roman"/>
                <w:bCs/>
                <w:sz w:val="20"/>
                <w:szCs w:val="20"/>
                <w:u w:val="single"/>
                <w:lang w:eastAsia="ru-RU"/>
              </w:rPr>
            </w:pPr>
            <w:r>
              <w:rPr>
                <w:rFonts w:ascii="Times New Roman" w:eastAsia="Times New Roman" w:hAnsi="Times New Roman" w:cs="Times New Roman"/>
                <w:bCs/>
                <w:sz w:val="20"/>
                <w:szCs w:val="20"/>
                <w:u w:val="single"/>
                <w:lang w:eastAsia="ru-RU"/>
              </w:rPr>
              <w:t>ОЦЕНКА ВЫПОЛНЕНИЯ</w:t>
            </w:r>
          </w:p>
        </w:tc>
        <w:tc>
          <w:tcPr>
            <w:tcW w:w="947" w:type="dxa"/>
            <w:tcBorders>
              <w:top w:val="none" w:sz="4" w:space="0" w:color="000000"/>
              <w:left w:val="none" w:sz="4" w:space="0" w:color="000000"/>
              <w:bottom w:val="single" w:sz="8" w:space="0" w:color="000000"/>
              <w:right w:val="none" w:sz="4" w:space="0" w:color="000000"/>
            </w:tcBorders>
            <w:shd w:val="clear" w:color="FFFFFF" w:fill="FFFFFF" w:themeFill="background1"/>
            <w:vAlign w:val="center"/>
          </w:tcPr>
          <w:p w:rsidR="00D602D4" w:rsidRDefault="000B4C86">
            <w:pPr>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w:t>
            </w:r>
          </w:p>
        </w:tc>
        <w:tc>
          <w:tcPr>
            <w:tcW w:w="1607" w:type="dxa"/>
            <w:tcBorders>
              <w:top w:val="none" w:sz="4" w:space="0" w:color="000000"/>
              <w:left w:val="single" w:sz="8" w:space="0" w:color="000000"/>
              <w:bottom w:val="single" w:sz="8" w:space="0" w:color="000000"/>
              <w:right w:val="single" w:sz="8" w:space="0" w:color="000000"/>
            </w:tcBorders>
            <w:shd w:val="clear" w:color="FFFFFF" w:fill="FFFFFF" w:themeFill="background1"/>
            <w:vAlign w:val="center"/>
          </w:tcPr>
          <w:p w:rsidR="00D602D4" w:rsidRDefault="000B4C86">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ВЫПОЛНЕНО</w:t>
            </w:r>
          </w:p>
        </w:tc>
        <w:tc>
          <w:tcPr>
            <w:tcW w:w="1906" w:type="dxa"/>
            <w:tcBorders>
              <w:top w:val="none" w:sz="4" w:space="0" w:color="000000"/>
              <w:left w:val="none" w:sz="4" w:space="0" w:color="000000"/>
              <w:bottom w:val="single" w:sz="8" w:space="0" w:color="000000"/>
              <w:right w:val="single" w:sz="8" w:space="0" w:color="000000"/>
            </w:tcBorders>
            <w:shd w:val="clear" w:color="FFFFFF" w:fill="FFFFFF" w:themeFill="background1"/>
            <w:vAlign w:val="center"/>
          </w:tcPr>
          <w:p w:rsidR="00D602D4" w:rsidRDefault="000B4C86">
            <w:pPr>
              <w:spacing w:after="0" w:line="240" w:lineRule="auto"/>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ВЫПОЛНЕНО</w:t>
            </w:r>
          </w:p>
        </w:tc>
        <w:tc>
          <w:tcPr>
            <w:tcW w:w="1774" w:type="dxa"/>
            <w:vMerge/>
            <w:tcBorders>
              <w:left w:val="none" w:sz="4" w:space="0" w:color="000000"/>
              <w:bottom w:val="single" w:sz="8" w:space="0" w:color="000000"/>
              <w:right w:val="single" w:sz="4" w:space="0" w:color="000000"/>
            </w:tcBorders>
            <w:shd w:val="clear" w:color="FFFFFF" w:fill="FFFFFF" w:themeFill="background1"/>
            <w:vAlign w:val="center"/>
          </w:tcPr>
          <w:p w:rsidR="00D602D4" w:rsidRDefault="00D602D4">
            <w:pPr>
              <w:jc w:val="center"/>
              <w:rPr>
                <w:rFonts w:ascii="Times New Roman" w:eastAsia="Times New Roman" w:hAnsi="Times New Roman" w:cs="Times New Roman"/>
                <w:b/>
                <w:bCs/>
                <w:sz w:val="20"/>
                <w:szCs w:val="20"/>
                <w:lang w:eastAsia="ru-RU"/>
              </w:rPr>
            </w:pPr>
          </w:p>
        </w:tc>
      </w:tr>
    </w:tbl>
    <w:p w:rsidR="00D602D4" w:rsidRDefault="000B4C86">
      <w:pPr>
        <w:jc w:val="both"/>
        <w:rPr>
          <w:rFonts w:ascii="Times New Roman" w:eastAsia="Times New Roman" w:hAnsi="Times New Roman" w:cs="Times New Roman"/>
          <w:sz w:val="20"/>
          <w:lang w:eastAsia="ru-RU"/>
        </w:rPr>
      </w:pPr>
      <w:r>
        <w:rPr>
          <w:rFonts w:ascii="Calibri" w:eastAsia="Times New Roman" w:hAnsi="Calibri" w:cs="Times New Roman"/>
          <w:lang w:eastAsia="ru-RU"/>
        </w:rPr>
        <w:t xml:space="preserve">* </w:t>
      </w:r>
      <w:r>
        <w:rPr>
          <w:rFonts w:ascii="Times New Roman" w:eastAsia="Times New Roman" w:hAnsi="Times New Roman" w:cs="Times New Roman"/>
          <w:sz w:val="20"/>
          <w:lang w:eastAsia="ru-RU"/>
        </w:rPr>
        <w:t>За 2024 год оценка исполнения КПЭ «Повышение производительности труда» не произведена</w:t>
      </w:r>
    </w:p>
    <w:p w:rsidR="00D602D4" w:rsidRDefault="00D602D4">
      <w:pPr>
        <w:jc w:val="both"/>
        <w:rPr>
          <w:rFonts w:ascii="Times New Roman" w:eastAsia="Times New Roman" w:hAnsi="Times New Roman" w:cs="Times New Roman"/>
          <w:b/>
          <w:bCs/>
          <w:sz w:val="8"/>
          <w:szCs w:val="20"/>
          <w:lang w:eastAsia="ru-RU"/>
        </w:rPr>
      </w:pPr>
    </w:p>
    <w:p w:rsidR="00D602D4" w:rsidRDefault="000B4C86">
      <w:pPr>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4.3.2. Принципы и задачи кадровой и социальной политики, их привязка к целям устойчивого развития ООН, декларациям, конвенциям и рекомендациям Международной организации труда (МОТ)</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Система управления персоналом направлена на оптимальную реализацию кадрового потенциала, удовлетворение социальных и материальных потребностей сотрудников, постоянное непрерывное развитие, обучение и вовлечение работников в решение корпоративных задач.</w:t>
      </w:r>
    </w:p>
    <w:p w:rsidR="00D602D4" w:rsidRDefault="000B4C86">
      <w:pPr>
        <w:shd w:val="clear" w:color="auto" w:fill="FFFFFF"/>
        <w:spacing w:after="0" w:line="240" w:lineRule="auto"/>
        <w:ind w:firstLine="709"/>
        <w:jc w:val="both"/>
        <w:outlineLvl w:val="3"/>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Принципы управления персоналом ПАО «Россети Сибирь»:</w:t>
      </w:r>
    </w:p>
    <w:p w:rsidR="00D602D4" w:rsidRDefault="000B4C86">
      <w:pPr>
        <w:pStyle w:val="ac"/>
        <w:numPr>
          <w:ilvl w:val="0"/>
          <w:numId w:val="70"/>
        </w:numPr>
        <w:shd w:val="clear" w:color="auto" w:fill="FFFFFF"/>
        <w:tabs>
          <w:tab w:val="clear" w:pos="720"/>
          <w:tab w:val="left" w:pos="992"/>
        </w:tabs>
        <w:spacing w:after="0" w:line="240" w:lineRule="auto"/>
        <w:ind w:left="0" w:firstLine="709"/>
        <w:jc w:val="both"/>
        <w:outlineLvl w:val="2"/>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Единый подход к управлению персоналом с учетом региональной специфики компании;</w:t>
      </w:r>
    </w:p>
    <w:p w:rsidR="00D602D4" w:rsidRDefault="000B4C86">
      <w:pPr>
        <w:pStyle w:val="ac"/>
        <w:numPr>
          <w:ilvl w:val="0"/>
          <w:numId w:val="70"/>
        </w:numPr>
        <w:shd w:val="clear" w:color="auto" w:fill="FFFFFF"/>
        <w:tabs>
          <w:tab w:val="clear" w:pos="720"/>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Предоставление работникам равных возможностей и недопустимость дискриминации;</w:t>
      </w:r>
    </w:p>
    <w:p w:rsidR="00D602D4" w:rsidRDefault="000B4C86">
      <w:pPr>
        <w:pStyle w:val="ac"/>
        <w:numPr>
          <w:ilvl w:val="0"/>
          <w:numId w:val="70"/>
        </w:numPr>
        <w:shd w:val="clear" w:color="auto" w:fill="FFFFFF"/>
        <w:tabs>
          <w:tab w:val="clear" w:pos="720"/>
          <w:tab w:val="left" w:pos="992"/>
        </w:tabs>
        <w:spacing w:after="0" w:line="240" w:lineRule="auto"/>
        <w:ind w:left="0" w:firstLine="709"/>
        <w:jc w:val="both"/>
        <w:outlineLvl w:val="2"/>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Быстрая и эффективная адаптация к корпоративным и внешним изменениям;</w:t>
      </w:r>
    </w:p>
    <w:p w:rsidR="00D602D4" w:rsidRDefault="000B4C86">
      <w:pPr>
        <w:pStyle w:val="ac"/>
        <w:numPr>
          <w:ilvl w:val="0"/>
          <w:numId w:val="70"/>
        </w:numPr>
        <w:shd w:val="clear" w:color="auto" w:fill="FFFFFF"/>
        <w:tabs>
          <w:tab w:val="clear" w:pos="720"/>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Обеспечение прозрачности и единства условий карьерного роста с фокусом на профессионализм, результативность, профессиональное развитие и общекорпоративные ценности;</w:t>
      </w:r>
    </w:p>
    <w:p w:rsidR="00D602D4" w:rsidRDefault="000B4C86">
      <w:pPr>
        <w:pStyle w:val="ac"/>
        <w:numPr>
          <w:ilvl w:val="0"/>
          <w:numId w:val="70"/>
        </w:numPr>
        <w:shd w:val="clear" w:color="auto" w:fill="FFFFFF"/>
        <w:tabs>
          <w:tab w:val="clear" w:pos="720"/>
          <w:tab w:val="left" w:pos="992"/>
        </w:tabs>
        <w:spacing w:after="0" w:line="240" w:lineRule="auto"/>
        <w:ind w:left="0" w:firstLine="709"/>
        <w:jc w:val="both"/>
        <w:outlineLvl w:val="2"/>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Соответствие лучшим российским практикам и стандартам;</w:t>
      </w:r>
    </w:p>
    <w:p w:rsidR="00D602D4" w:rsidRDefault="000B4C86">
      <w:pPr>
        <w:pStyle w:val="ac"/>
        <w:numPr>
          <w:ilvl w:val="0"/>
          <w:numId w:val="70"/>
        </w:numPr>
        <w:shd w:val="clear" w:color="auto" w:fill="FFFFFF"/>
        <w:tabs>
          <w:tab w:val="clear" w:pos="720"/>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Обеспечение условий для раскрытия потенциала сотрудников, их профессионального роста и развития;</w:t>
      </w:r>
    </w:p>
    <w:p w:rsidR="00D602D4" w:rsidRDefault="000B4C86">
      <w:pPr>
        <w:pStyle w:val="ac"/>
        <w:numPr>
          <w:ilvl w:val="0"/>
          <w:numId w:val="70"/>
        </w:numPr>
        <w:shd w:val="clear" w:color="auto" w:fill="FFFFFF"/>
        <w:tabs>
          <w:tab w:val="clear" w:pos="720"/>
          <w:tab w:val="left" w:pos="992"/>
        </w:tabs>
        <w:spacing w:after="0" w:line="240" w:lineRule="auto"/>
        <w:ind w:left="0" w:firstLine="709"/>
        <w:jc w:val="both"/>
        <w:outlineLvl w:val="2"/>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Повышение эффективности кадровой работы и снижение издержек за счет использования единых технологий и информационных ресурсов;</w:t>
      </w:r>
    </w:p>
    <w:p w:rsidR="00D602D4" w:rsidRDefault="000B4C86">
      <w:pPr>
        <w:pStyle w:val="ac"/>
        <w:numPr>
          <w:ilvl w:val="0"/>
          <w:numId w:val="70"/>
        </w:numPr>
        <w:shd w:val="clear" w:color="auto" w:fill="FFFFFF"/>
        <w:tabs>
          <w:tab w:val="clear" w:pos="720"/>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Привлечение высококвалифицированных работников за счет укрепления имиджа Компании как социально ответственного работодателя.</w:t>
      </w:r>
    </w:p>
    <w:p w:rsidR="00D602D4" w:rsidRDefault="00D602D4">
      <w:pPr>
        <w:spacing w:after="0" w:line="240" w:lineRule="auto"/>
        <w:ind w:firstLine="709"/>
        <w:rPr>
          <w:sz w:val="24"/>
          <w:szCs w:val="24"/>
          <w:lang w:eastAsia="ru-RU"/>
        </w:rPr>
      </w:pP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ПАО «Россети Сибирь»</w:t>
      </w:r>
      <w:r>
        <w:rPr>
          <w:rFonts w:ascii="Times New Roman" w:eastAsia="Times New Roman" w:hAnsi="Times New Roman" w:cs="Times New Roman"/>
          <w:sz w:val="24"/>
          <w:szCs w:val="24"/>
          <w:lang w:eastAsia="ru-RU"/>
        </w:rPr>
        <w:t xml:space="preserve"> принимает активное участие в решении современных глобальных проблем. Компания вносит вклад в реализацию национальных проектов России, а также в достижение Целей устойчивого развития (ЦУР) ООН. </w:t>
      </w:r>
    </w:p>
    <w:p w:rsidR="00D602D4" w:rsidRDefault="000B4C86">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Компания ежегодно заявляет о своей приверженности ЦУР ООН и ранжирует их по степени значимости. ПАО «Россети Сибирь» признает важность всех 17 ЦУР и старается содействовать достижению каждой из них. В силу специфики деятельности Компания определяет для себя десять приоритетных ЦУР, в достижение которых Общество вносит наибольший вклад:</w:t>
      </w:r>
    </w:p>
    <w:p w:rsidR="00D602D4" w:rsidRDefault="000B4C86">
      <w:pPr>
        <w:pStyle w:val="ac"/>
        <w:numPr>
          <w:ilvl w:val="0"/>
          <w:numId w:val="71"/>
        </w:numPr>
        <w:shd w:val="clear" w:color="auto" w:fill="FFFFFF"/>
        <w:tabs>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Хорошее здоровье и благополучие;</w:t>
      </w:r>
    </w:p>
    <w:p w:rsidR="00D602D4" w:rsidRDefault="000B4C86">
      <w:pPr>
        <w:pStyle w:val="ac"/>
        <w:numPr>
          <w:ilvl w:val="0"/>
          <w:numId w:val="71"/>
        </w:numPr>
        <w:shd w:val="clear" w:color="auto" w:fill="FFFFFF"/>
        <w:tabs>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Качественное образование;</w:t>
      </w:r>
    </w:p>
    <w:p w:rsidR="00D602D4" w:rsidRDefault="000B4C86">
      <w:pPr>
        <w:pStyle w:val="ac"/>
        <w:numPr>
          <w:ilvl w:val="0"/>
          <w:numId w:val="71"/>
        </w:numPr>
        <w:shd w:val="clear" w:color="auto" w:fill="FFFFFF"/>
        <w:tabs>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Недорогостоящая и чистая энергия;</w:t>
      </w:r>
    </w:p>
    <w:p w:rsidR="00D602D4" w:rsidRDefault="000B4C86">
      <w:pPr>
        <w:pStyle w:val="ac"/>
        <w:numPr>
          <w:ilvl w:val="0"/>
          <w:numId w:val="71"/>
        </w:numPr>
        <w:shd w:val="clear" w:color="auto" w:fill="FFFFFF"/>
        <w:tabs>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Достойная работа и экономический рост;</w:t>
      </w:r>
    </w:p>
    <w:p w:rsidR="00D602D4" w:rsidRDefault="000B4C86">
      <w:pPr>
        <w:pStyle w:val="ac"/>
        <w:numPr>
          <w:ilvl w:val="0"/>
          <w:numId w:val="71"/>
        </w:numPr>
        <w:shd w:val="clear" w:color="auto" w:fill="FFFFFF"/>
        <w:tabs>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Индустриализация, инновации инфраструктура;</w:t>
      </w:r>
    </w:p>
    <w:p w:rsidR="00D602D4" w:rsidRDefault="000B4C86">
      <w:pPr>
        <w:pStyle w:val="ac"/>
        <w:numPr>
          <w:ilvl w:val="0"/>
          <w:numId w:val="71"/>
        </w:numPr>
        <w:shd w:val="clear" w:color="auto" w:fill="FFFFFF"/>
        <w:tabs>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Устойчивые города и населенные пункты;</w:t>
      </w:r>
    </w:p>
    <w:p w:rsidR="00D602D4" w:rsidRDefault="000B4C86">
      <w:pPr>
        <w:pStyle w:val="ac"/>
        <w:numPr>
          <w:ilvl w:val="0"/>
          <w:numId w:val="71"/>
        </w:numPr>
        <w:shd w:val="clear" w:color="auto" w:fill="FFFFFF"/>
        <w:tabs>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Ответственное потребление и производство;</w:t>
      </w:r>
    </w:p>
    <w:p w:rsidR="00D602D4" w:rsidRDefault="000B4C86">
      <w:pPr>
        <w:pStyle w:val="ac"/>
        <w:numPr>
          <w:ilvl w:val="0"/>
          <w:numId w:val="71"/>
        </w:numPr>
        <w:shd w:val="clear" w:color="auto" w:fill="FFFFFF"/>
        <w:tabs>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Борьба с изменением климата;</w:t>
      </w:r>
    </w:p>
    <w:p w:rsidR="00D602D4" w:rsidRDefault="000B4C86">
      <w:pPr>
        <w:pStyle w:val="ac"/>
        <w:numPr>
          <w:ilvl w:val="0"/>
          <w:numId w:val="71"/>
        </w:numPr>
        <w:shd w:val="clear" w:color="auto" w:fill="FFFFFF"/>
        <w:tabs>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Сохранение экосистемы суши;</w:t>
      </w:r>
    </w:p>
    <w:p w:rsidR="00D602D4" w:rsidRDefault="000B4C86">
      <w:pPr>
        <w:pStyle w:val="ac"/>
        <w:numPr>
          <w:ilvl w:val="0"/>
          <w:numId w:val="71"/>
        </w:numPr>
        <w:shd w:val="clear" w:color="auto" w:fill="FFFFFF"/>
        <w:tabs>
          <w:tab w:val="left" w:pos="992"/>
        </w:tabs>
        <w:spacing w:after="0" w:line="240" w:lineRule="auto"/>
        <w:ind w:left="0"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Партнерство в интересах устойчивого развития.</w:t>
      </w:r>
    </w:p>
    <w:p w:rsidR="00D602D4" w:rsidRDefault="000B4C86">
      <w:pPr>
        <w:shd w:val="clear" w:color="auto" w:fill="FFFFFF"/>
        <w:spacing w:after="0" w:line="240" w:lineRule="auto"/>
        <w:ind w:firstLine="709"/>
        <w:jc w:val="both"/>
        <w:rPr>
          <w:rFonts w:ascii="Times New Roman" w:eastAsia="Times New Roman" w:hAnsi="Times New Roman" w:cs="Times New Roman"/>
          <w:color w:val="6D6E71"/>
          <w:sz w:val="24"/>
          <w:szCs w:val="24"/>
          <w:lang w:eastAsia="ru-RU"/>
        </w:rPr>
      </w:pPr>
      <w:r>
        <w:rPr>
          <w:rFonts w:ascii="Times New Roman" w:eastAsia="Times New Roman" w:hAnsi="Times New Roman" w:cs="Times New Roman"/>
          <w:color w:val="000000"/>
          <w:sz w:val="24"/>
          <w:szCs w:val="24"/>
          <w:lang w:eastAsia="ru-RU"/>
        </w:rPr>
        <w:t>По остальным ЦУР ПАО «Россети Сибирь» стремится использовать любые возможности для достижения каждой цели.</w:t>
      </w:r>
    </w:p>
    <w:p w:rsidR="00D602D4" w:rsidRDefault="00D602D4">
      <w:pPr>
        <w:pStyle w:val="220"/>
        <w:spacing w:after="0"/>
        <w:ind w:left="0" w:firstLine="709"/>
        <w:rPr>
          <w:sz w:val="24"/>
          <w:szCs w:val="24"/>
        </w:rPr>
      </w:pPr>
    </w:p>
    <w:p w:rsidR="00D602D4" w:rsidRDefault="000B4C86">
      <w:pPr>
        <w:pStyle w:val="220"/>
        <w:spacing w:after="0"/>
        <w:ind w:left="0" w:firstLine="709"/>
        <w:rPr>
          <w:sz w:val="24"/>
          <w:szCs w:val="24"/>
        </w:rPr>
      </w:pPr>
      <w:bookmarkStart w:id="57" w:name="_Toc90"/>
      <w:r>
        <w:rPr>
          <w:sz w:val="24"/>
          <w:szCs w:val="24"/>
        </w:rPr>
        <w:t>4.3.3. Социальная политика Компании</w:t>
      </w:r>
      <w:bookmarkEnd w:id="57"/>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Компания поддерживает развитие социального партнерства.</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ПАО «Россети Сибирь» является членом Общероссийского отраслевого объединения работодателей электроэнергетики (Ассоциация «ЭРА России), которое от имени работодателя </w:t>
      </w:r>
      <w:r>
        <w:rPr>
          <w:rFonts w:ascii="Times New Roman" w:eastAsia="Times New Roman" w:hAnsi="Times New Roman" w:cs="Times New Roman"/>
          <w:sz w:val="24"/>
          <w:szCs w:val="24"/>
          <w:lang w:eastAsia="ru-RU"/>
        </w:rPr>
        <w:lastRenderedPageBreak/>
        <w:t xml:space="preserve">участвует в разработке и подписании Отраслевого тарифного соглашения в электроэнергетике. </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Для контроля обеспечения законных прав и интересов работника в филиалах компании действуют первичные профсоюзные организации, участие в которых принимают 51,5% от общей численности персонала. Отношение профсоюзов с работодателем строится на основе социального партнерства и взаимодействия сторон трудовых отношений. Мнение участников профсоюзной организации как прямых представителей работника учитывается при разработке и принятии различных социальных проектов, например, при заключении коллективного договора, при разработке стандартов, в процессе принятия решений по производственным вопросам в части управления персоналом, а также при подготовке программ социально-экономического сотрудничества с администрациями регионов.</w:t>
      </w:r>
    </w:p>
    <w:p w:rsidR="00D602D4" w:rsidRDefault="00D602D4">
      <w:pPr>
        <w:widowControl w:val="0"/>
        <w:spacing w:after="0" w:line="240" w:lineRule="auto"/>
        <w:ind w:firstLine="709"/>
        <w:jc w:val="center"/>
        <w:outlineLvl w:val="1"/>
        <w:rPr>
          <w:rFonts w:ascii="Times New Roman" w:eastAsia="Times New Roman" w:hAnsi="Times New Roman" w:cs="Times New Roman"/>
          <w:b/>
          <w:sz w:val="24"/>
          <w:szCs w:val="24"/>
          <w:lang w:eastAsia="ru-RU"/>
        </w:rPr>
      </w:pPr>
    </w:p>
    <w:p w:rsidR="00D602D4" w:rsidRDefault="000B4C86">
      <w:pPr>
        <w:keepNext/>
        <w:keepLines/>
        <w:spacing w:after="0" w:line="240" w:lineRule="auto"/>
        <w:ind w:firstLine="709"/>
        <w:outlineLvl w:val="0"/>
        <w:rPr>
          <w:rFonts w:ascii="Times New Roman" w:eastAsiaTheme="majorEastAsia" w:hAnsi="Times New Roman" w:cs="Times New Roman"/>
          <w:b/>
          <w:sz w:val="24"/>
          <w:szCs w:val="24"/>
        </w:rPr>
      </w:pPr>
      <w:bookmarkStart w:id="58" w:name="_Toc91"/>
      <w:r>
        <w:rPr>
          <w:rFonts w:ascii="Times New Roman" w:eastAsiaTheme="majorEastAsia" w:hAnsi="Times New Roman" w:cs="Times New Roman"/>
          <w:b/>
          <w:sz w:val="24"/>
          <w:szCs w:val="24"/>
        </w:rPr>
        <w:t>Работа с пенсионерами</w:t>
      </w:r>
      <w:bookmarkEnd w:id="58"/>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Общество вместе с Советом ветеранов организует различные мероприятия с привлечением пенсионеров и ветеранов. Среди них: привлечение работающих пенсионеров к наставнической деятельности, участие в торжественных демонстрациях и митингах, корпоративных мероприятиях, организация поздравлений, посвященных Дню пожилого человека, Дню Победы и Дню энергетика.  Также для данной категории бывших сотрудников предусматривается материальная поддержка в рамках СО 5.046 «Социальная поддержка пенсионеров. Положение». </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Кроме того, для пенсионеров реализуется негосударственное пенсионное обеспечение в рамках договоров с АО «НПФ Открытие». За 2024 год по пенсионным программам было выплачено более </w:t>
      </w:r>
      <w:r>
        <w:rPr>
          <w:rFonts w:ascii="Times New Roman" w:hAnsi="Times New Roman" w:cs="Times New Roman"/>
          <w:sz w:val="24"/>
          <w:szCs w:val="24"/>
          <w:lang w:eastAsia="ru-RU"/>
        </w:rPr>
        <w:t xml:space="preserve">46 862 </w:t>
      </w:r>
      <w:r>
        <w:rPr>
          <w:rFonts w:ascii="Times New Roman" w:eastAsia="Times New Roman" w:hAnsi="Times New Roman" w:cs="Times New Roman"/>
          <w:sz w:val="24"/>
          <w:szCs w:val="24"/>
          <w:lang w:eastAsia="ru-RU"/>
        </w:rPr>
        <w:t xml:space="preserve">тыс. руб. </w:t>
      </w:r>
    </w:p>
    <w:p w:rsidR="00D602D4" w:rsidRDefault="00D602D4">
      <w:pPr>
        <w:widowControl w:val="0"/>
        <w:spacing w:after="0" w:line="240" w:lineRule="auto"/>
        <w:ind w:firstLine="709"/>
        <w:jc w:val="both"/>
        <w:rPr>
          <w:rFonts w:ascii="Times New Roman" w:eastAsia="Times New Roman" w:hAnsi="Times New Roman" w:cs="Times New Roman"/>
          <w:sz w:val="24"/>
          <w:szCs w:val="24"/>
          <w:lang w:eastAsia="ru-RU"/>
        </w:rPr>
      </w:pPr>
    </w:p>
    <w:p w:rsidR="00D602D4" w:rsidRDefault="000B4C86">
      <w:pPr>
        <w:keepNext/>
        <w:keepLines/>
        <w:spacing w:after="0" w:line="240" w:lineRule="auto"/>
        <w:ind w:firstLine="709"/>
        <w:outlineLvl w:val="0"/>
        <w:rPr>
          <w:rFonts w:ascii="Times New Roman" w:eastAsiaTheme="majorEastAsia" w:hAnsi="Times New Roman" w:cs="Times New Roman"/>
          <w:b/>
          <w:sz w:val="24"/>
          <w:szCs w:val="24"/>
        </w:rPr>
      </w:pPr>
      <w:bookmarkStart w:id="59" w:name="_Toc92"/>
      <w:r>
        <w:rPr>
          <w:rFonts w:ascii="Times New Roman" w:eastAsiaTheme="majorEastAsia" w:hAnsi="Times New Roman" w:cs="Times New Roman"/>
          <w:b/>
          <w:sz w:val="24"/>
          <w:szCs w:val="24"/>
        </w:rPr>
        <w:t>Культурно-массовые и спортивно-оздоровительные мероприятия</w:t>
      </w:r>
      <w:bookmarkEnd w:id="59"/>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целью развития нематериального стимулирования персонала, а также поддержания здоровья персонала, непосредственного влияющего на надежность профессиональной деятельности проводятся культурно-массовые и спортивно-оздоровительные мероприятия.</w:t>
      </w:r>
      <w:r>
        <w:rPr>
          <w:rFonts w:ascii="Calibri" w:eastAsia="Times New Roman" w:hAnsi="Calibri" w:cs="Times New Roman"/>
          <w:b/>
          <w:lang w:eastAsia="ru-RU"/>
        </w:rPr>
        <w:t xml:space="preserve">         </w:t>
      </w:r>
    </w:p>
    <w:p w:rsidR="00D602D4" w:rsidRDefault="000B4C86">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2-5.07.2024 года в г. Горно-Алтайске прошла X</w:t>
      </w:r>
      <w:r>
        <w:rPr>
          <w:rFonts w:ascii="Times New Roman" w:eastAsia="Times New Roman" w:hAnsi="Times New Roman" w:cs="Times New Roman"/>
          <w:bCs/>
          <w:sz w:val="24"/>
          <w:szCs w:val="24"/>
          <w:lang w:val="en-US" w:eastAsia="ru-RU"/>
        </w:rPr>
        <w:t>V</w:t>
      </w:r>
      <w:r>
        <w:rPr>
          <w:rFonts w:ascii="Times New Roman" w:eastAsia="Times New Roman" w:hAnsi="Times New Roman" w:cs="Times New Roman"/>
          <w:bCs/>
          <w:sz w:val="24"/>
          <w:szCs w:val="24"/>
          <w:lang w:val="en-US"/>
        </w:rPr>
        <w:t>I</w:t>
      </w:r>
      <w:r>
        <w:rPr>
          <w:rFonts w:ascii="Times New Roman" w:eastAsia="Times New Roman" w:hAnsi="Times New Roman" w:cs="Times New Roman"/>
          <w:bCs/>
          <w:sz w:val="24"/>
          <w:szCs w:val="24"/>
          <w:lang w:eastAsia="ru-RU"/>
        </w:rPr>
        <w:t xml:space="preserve"> летняя спартакиада ПАО «Россети Сибирь». В соревнованиях приняло участие 180 сотрудников Общества.</w:t>
      </w:r>
    </w:p>
    <w:p w:rsidR="00D602D4" w:rsidRDefault="000B4C86">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Команда ПАО «Россети Сибирь» принимала участие в корпоративном турнире Группы «Россети» по мини-футболу, который прошел в г. Москве 25 - 26.07.2024 года. </w:t>
      </w:r>
    </w:p>
    <w:p w:rsidR="00D602D4" w:rsidRDefault="000B4C86">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Команда ПАО «Россети Сибирь» принимала участие в корпоративном турнире Группы «Россети» по волейболу, который прошел в г. Москве </w:t>
      </w:r>
      <w:r>
        <w:rPr>
          <w:rFonts w:ascii="Times New Roman" w:eastAsia="Times New Roman" w:hAnsi="Times New Roman" w:cs="Times New Roman"/>
          <w:bCs/>
          <w:sz w:val="24"/>
          <w:szCs w:val="24"/>
        </w:rPr>
        <w:t>8</w:t>
      </w:r>
      <w:r>
        <w:rPr>
          <w:rFonts w:ascii="Times New Roman" w:eastAsia="Times New Roman" w:hAnsi="Times New Roman" w:cs="Times New Roman"/>
          <w:bCs/>
          <w:sz w:val="24"/>
          <w:szCs w:val="24"/>
          <w:lang w:eastAsia="ru-RU"/>
        </w:rPr>
        <w:t xml:space="preserve"> - </w:t>
      </w:r>
      <w:r>
        <w:rPr>
          <w:rFonts w:ascii="Times New Roman" w:eastAsia="Times New Roman" w:hAnsi="Times New Roman" w:cs="Times New Roman"/>
          <w:bCs/>
          <w:sz w:val="24"/>
          <w:szCs w:val="24"/>
        </w:rPr>
        <w:t>9</w:t>
      </w:r>
      <w:r>
        <w:rPr>
          <w:rFonts w:ascii="Times New Roman" w:eastAsia="Times New Roman" w:hAnsi="Times New Roman" w:cs="Times New Roman"/>
          <w:bCs/>
          <w:sz w:val="24"/>
          <w:szCs w:val="24"/>
          <w:lang w:eastAsia="ru-RU"/>
        </w:rPr>
        <w:t xml:space="preserve">.08.2024 года. </w:t>
      </w:r>
    </w:p>
    <w:p w:rsidR="00D602D4" w:rsidRDefault="000B4C86">
      <w:pPr>
        <w:widowControl w:val="0"/>
        <w:tabs>
          <w:tab w:val="num" w:pos="720"/>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4"/>
          <w:szCs w:val="24"/>
          <w:lang w:eastAsia="ru-RU"/>
        </w:rPr>
        <w:t>Команда ПАО «Россети Сибирь» принимала участие</w:t>
      </w:r>
      <w:r>
        <w:rPr>
          <w:rFonts w:ascii="Times New Roman" w:eastAsia="Times New Roman" w:hAnsi="Times New Roman" w:cs="Times New Roman"/>
          <w:sz w:val="24"/>
          <w:szCs w:val="24"/>
          <w:lang w:eastAsia="ru-RU"/>
        </w:rPr>
        <w:t xml:space="preserve"> в спортивном командообразующем мероприятии «Кубок ГТО» группы компаний «Россети», который прошел 11-14.09.2024 года в д. Б. Суходол Нижегородской области.</w:t>
      </w:r>
    </w:p>
    <w:p w:rsidR="00D602D4" w:rsidRDefault="000B4C86">
      <w:pPr>
        <w:widowControl w:val="0"/>
        <w:tabs>
          <w:tab w:val="num" w:pos="720"/>
        </w:tabs>
        <w:spacing w:after="0" w:line="240" w:lineRule="auto"/>
        <w:ind w:firstLine="709"/>
        <w:jc w:val="both"/>
        <w:rPr>
          <w:sz w:val="24"/>
        </w:rPr>
      </w:pPr>
      <w:r>
        <w:rPr>
          <w:rFonts w:ascii="Times New Roman" w:eastAsia="Times New Roman" w:hAnsi="Times New Roman" w:cs="Times New Roman"/>
          <w:bCs/>
          <w:sz w:val="24"/>
          <w:szCs w:val="24"/>
          <w:lang w:eastAsia="ru-RU"/>
        </w:rPr>
        <w:t>Команда ПАО «Россети Сибирь» принимала участие в</w:t>
      </w:r>
      <w:r>
        <w:rPr>
          <w:rFonts w:ascii="Times New Roman" w:eastAsia="Times New Roman" w:hAnsi="Times New Roman" w:cs="Times New Roman"/>
          <w:sz w:val="24"/>
          <w:szCs w:val="24"/>
          <w:lang w:eastAsia="ru-RU"/>
        </w:rPr>
        <w:t xml:space="preserve"> XIV О</w:t>
      </w:r>
      <w:r>
        <w:rPr>
          <w:rFonts w:ascii="Times New Roman" w:eastAsia="Times New Roman" w:hAnsi="Times New Roman" w:cs="Times New Roman"/>
          <w:bCs/>
          <w:sz w:val="24"/>
          <w:szCs w:val="24"/>
          <w:lang w:eastAsia="ru-RU"/>
        </w:rPr>
        <w:t xml:space="preserve">ткрытом шахматном турнире энергетиков памяти Ботвинника М.М., который прошел г. Москве 29.11.2024 года. </w:t>
      </w:r>
    </w:p>
    <w:p w:rsidR="00D602D4" w:rsidRDefault="000B4C86">
      <w:pPr>
        <w:widowControl w:val="0"/>
        <w:tabs>
          <w:tab w:val="num" w:pos="720"/>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период 05-21.02.2024 года среди детей работников ПАО «Россети Сибирь» прошел конкурс «Удивительные дети». </w:t>
      </w:r>
      <w:r>
        <w:rPr>
          <w:rFonts w:ascii="Times New Roman" w:eastAsia="Times New Roman" w:hAnsi="Times New Roman" w:cs="Times New Roman"/>
          <w:bCs/>
          <w:sz w:val="24"/>
          <w:szCs w:val="24"/>
          <w:lang w:eastAsia="ru-RU"/>
        </w:rPr>
        <w:t xml:space="preserve">В конкурсе приняли участие более 500 детей сотрудников Общества. </w:t>
      </w:r>
    </w:p>
    <w:p w:rsidR="00D602D4" w:rsidRDefault="000B4C86">
      <w:pPr>
        <w:widowControl w:val="0"/>
        <w:tabs>
          <w:tab w:val="num" w:pos="720"/>
        </w:tabs>
        <w:spacing w:after="0" w:line="240" w:lineRule="auto"/>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sz w:val="24"/>
          <w:szCs w:val="24"/>
          <w:lang w:eastAsia="ru-RU"/>
        </w:rPr>
        <w:t>В ПАО «Россети Сибирь» проведен отборочный этап конкурса детского рисунка «Красота энергетики», среди детей работников группы компаний «Россети» (согласно ра</w:t>
      </w:r>
      <w:r>
        <w:rPr>
          <w:rFonts w:ascii="Times New Roman" w:eastAsia="Times New Roman" w:hAnsi="Times New Roman" w:cs="Times New Roman"/>
          <w:bCs/>
          <w:sz w:val="24"/>
          <w:szCs w:val="24"/>
          <w:lang w:eastAsia="ru-RU"/>
        </w:rPr>
        <w:t xml:space="preserve">споряжению ПАО «Россети», от 22.03.2024 №165р). В конкурсе приняли участие более 1500 детей сотрудников Общества. </w:t>
      </w:r>
    </w:p>
    <w:p w:rsidR="00D602D4" w:rsidRDefault="00D602D4">
      <w:pPr>
        <w:widowControl w:val="0"/>
        <w:tabs>
          <w:tab w:val="num" w:pos="720"/>
        </w:tabs>
        <w:spacing w:after="0" w:line="240" w:lineRule="auto"/>
        <w:ind w:firstLine="709"/>
        <w:jc w:val="both"/>
        <w:rPr>
          <w:rFonts w:ascii="Times New Roman" w:eastAsia="Times New Roman" w:hAnsi="Times New Roman" w:cs="Times New Roman"/>
          <w:sz w:val="24"/>
          <w:szCs w:val="24"/>
          <w:lang w:eastAsia="ru-RU"/>
        </w:rPr>
      </w:pPr>
    </w:p>
    <w:p w:rsidR="00D602D4" w:rsidRDefault="000B4C86">
      <w:pPr>
        <w:keepNext/>
        <w:keepLines/>
        <w:spacing w:after="0" w:line="240" w:lineRule="auto"/>
        <w:ind w:firstLine="709"/>
        <w:outlineLvl w:val="0"/>
        <w:rPr>
          <w:rFonts w:ascii="Times New Roman" w:eastAsiaTheme="majorEastAsia" w:hAnsi="Times New Roman" w:cs="Times New Roman"/>
          <w:b/>
          <w:sz w:val="24"/>
          <w:szCs w:val="24"/>
        </w:rPr>
      </w:pPr>
      <w:bookmarkStart w:id="60" w:name="_Toc93"/>
      <w:r>
        <w:rPr>
          <w:rFonts w:ascii="Times New Roman" w:eastAsiaTheme="majorEastAsia" w:hAnsi="Times New Roman" w:cs="Times New Roman"/>
          <w:b/>
          <w:sz w:val="24"/>
          <w:szCs w:val="24"/>
        </w:rPr>
        <w:t>Гарантии и компенсации работникам</w:t>
      </w:r>
      <w:bookmarkEnd w:id="60"/>
    </w:p>
    <w:p w:rsidR="00D602D4" w:rsidRDefault="000B4C86">
      <w:pPr>
        <w:widowControl w:val="0"/>
        <w:spacing w:after="0" w:line="240" w:lineRule="auto"/>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Гарантии и компенсации в области оплаты труда, охраны труда и занятости устанавливаются коллективными договорами, действующими во всех филиалах </w:t>
      </w:r>
      <w:r>
        <w:rPr>
          <w:rFonts w:ascii="Times New Roman" w:eastAsia="Times New Roman" w:hAnsi="Times New Roman" w:cs="Times New Roman"/>
          <w:bCs/>
          <w:sz w:val="24"/>
          <w:szCs w:val="24"/>
          <w:lang w:eastAsia="ru-RU"/>
        </w:rPr>
        <w:lastRenderedPageBreak/>
        <w:t>ПАО «Россети Сибирь», а работникам исполнительного аппарата согласно стандарту, посвященного материальной помощи. Сотрудникам предоставляются следующие компенсационные выплаты:</w:t>
      </w:r>
    </w:p>
    <w:p w:rsidR="00D602D4" w:rsidRDefault="000B4C86">
      <w:pPr>
        <w:pStyle w:val="ac"/>
        <w:widowControl w:val="0"/>
        <w:spacing w:after="0" w:line="240" w:lineRule="auto"/>
        <w:ind w:left="0"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выплаты единовременных пособий в случае гибели работников;</w:t>
      </w:r>
    </w:p>
    <w:p w:rsidR="00D602D4" w:rsidRDefault="000B4C86">
      <w:pPr>
        <w:pStyle w:val="ac"/>
        <w:widowControl w:val="0"/>
        <w:spacing w:after="0" w:line="240" w:lineRule="auto"/>
        <w:ind w:left="0"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материальная помощь на покупку дорогостоящих лекарственных препаратов, дорогостоящего лечения;</w:t>
      </w:r>
    </w:p>
    <w:p w:rsidR="00D602D4" w:rsidRDefault="000B4C86">
      <w:pPr>
        <w:pStyle w:val="ac"/>
        <w:widowControl w:val="0"/>
        <w:spacing w:after="0" w:line="240" w:lineRule="auto"/>
        <w:ind w:left="0"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материальная помощь работникам по семейным обстоятельствам (в связи с рождением детей, регистрацией брака, смертью близких родственников, форс-мажорными обстоятельствами и пр.);</w:t>
      </w:r>
    </w:p>
    <w:p w:rsidR="00D602D4" w:rsidRDefault="000B4C86">
      <w:pPr>
        <w:pStyle w:val="ac"/>
        <w:widowControl w:val="0"/>
        <w:spacing w:after="0" w:line="240" w:lineRule="auto"/>
        <w:ind w:left="0"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и др. </w:t>
      </w:r>
    </w:p>
    <w:p w:rsidR="00D602D4" w:rsidRDefault="000B4C86">
      <w:pPr>
        <w:widowControl w:val="0"/>
        <w:spacing w:after="0" w:line="240" w:lineRule="auto"/>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Кроме того, Общество обеспечивает страхование жизни работников на производстве и добровольное медицинское страхование.</w:t>
      </w:r>
    </w:p>
    <w:p w:rsidR="00D602D4" w:rsidRDefault="00D602D4">
      <w:pPr>
        <w:widowControl w:val="0"/>
        <w:spacing w:after="0" w:line="240" w:lineRule="auto"/>
        <w:ind w:firstLine="709"/>
        <w:jc w:val="both"/>
        <w:rPr>
          <w:rFonts w:ascii="Times New Roman" w:eastAsia="Times New Roman" w:hAnsi="Times New Roman" w:cs="Times New Roman"/>
          <w:bCs/>
          <w:sz w:val="24"/>
          <w:szCs w:val="24"/>
          <w:lang w:eastAsia="ru-RU"/>
        </w:rPr>
      </w:pPr>
    </w:p>
    <w:p w:rsidR="00D602D4" w:rsidRDefault="000B4C86">
      <w:pPr>
        <w:pStyle w:val="220"/>
        <w:spacing w:after="0"/>
        <w:ind w:left="0" w:firstLine="709"/>
        <w:rPr>
          <w:sz w:val="24"/>
          <w:szCs w:val="24"/>
        </w:rPr>
      </w:pPr>
      <w:bookmarkStart w:id="61" w:name="_Toc94"/>
      <w:r>
        <w:rPr>
          <w:sz w:val="24"/>
          <w:szCs w:val="24"/>
        </w:rPr>
        <w:t>4.3.4. Система вознаграждения персонала</w:t>
      </w:r>
      <w:bookmarkEnd w:id="61"/>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Организация оплаты труда в ПАО «Россети Сибирь» проводится в соответствии с действующим законодательством, локальными актами, стандартами Общества по оплате труда и материального стимулирования.</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За основу расчета тарифных ставок, должностных окладов принимается минимальная месячная тарифная ставка (ММТС) рабочих первого разряда промышленно-производственного персонала и полностью отработавших определенную работодателем на этот период норму рабочего времени и выполнивших свои трудовые обязанности (норму труда). </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Конкретные размеры тарифных ставок и должностных окладов определяются умножением тарифной ставки рабочего первого разряда на тарифный коэффициент, соответствующий квалификационному разряду, устанавливаемому работнику.</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 целью реализации принципа равной оплаты за равный труд Обществе применяется Единая тарифная сетка (ЕТС), которая представляет собой единую шкалу тарификации и поразрядной оплаты труда рабочих, руководителей, специалистов и служащих. </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Единая тарифная сетка предусматривает возможность повышения тарифного коэффициента работника в пределах ступени оплаты труда в соответствии с действующим классификатором. Повышение тарифного коэффициента работников производится только по результатам оценки показателей и характеризующих профессиональные качества работника за оцениваемый период.</w:t>
      </w:r>
    </w:p>
    <w:p w:rsidR="00D602D4" w:rsidRDefault="000B4C86">
      <w:pPr>
        <w:pStyle w:val="af9"/>
        <w:ind w:firstLine="709"/>
        <w:rPr>
          <w:sz w:val="24"/>
        </w:rPr>
      </w:pPr>
      <w:r>
        <w:rPr>
          <w:sz w:val="24"/>
        </w:rPr>
        <w:t>Рост средней заработной платы промышленно-производственного персонала 13,1% за период с 2023 по 2024 год.</w:t>
      </w:r>
    </w:p>
    <w:p w:rsidR="00D602D4" w:rsidRDefault="000B4C86">
      <w:pPr>
        <w:pStyle w:val="af9"/>
        <w:ind w:firstLine="709"/>
        <w:rPr>
          <w:sz w:val="24"/>
        </w:rPr>
      </w:pPr>
      <w:r>
        <w:rPr>
          <w:sz w:val="24"/>
        </w:rPr>
        <w:t>Основные факторы роста заработной платы:</w:t>
      </w:r>
    </w:p>
    <w:p w:rsidR="00D602D4" w:rsidRDefault="000B4C86">
      <w:pPr>
        <w:pStyle w:val="ac"/>
        <w:numPr>
          <w:ilvl w:val="0"/>
          <w:numId w:val="7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влияние индексации ММТС с 01.07.2024 в филиалах на 7,2%, и на 5,5% в исполнительном аппарате;</w:t>
      </w:r>
    </w:p>
    <w:p w:rsidR="00D602D4" w:rsidRDefault="000B4C86">
      <w:pPr>
        <w:pStyle w:val="ac"/>
        <w:numPr>
          <w:ilvl w:val="0"/>
          <w:numId w:val="7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влияние индексации ММТС с 01.12.2024 в филиалах на 5,1%, </w:t>
      </w:r>
    </w:p>
    <w:p w:rsidR="00D602D4" w:rsidRDefault="000B4C86">
      <w:pPr>
        <w:pStyle w:val="ac"/>
        <w:numPr>
          <w:ilvl w:val="0"/>
          <w:numId w:val="7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влияние роста должностных окладов за счет повышение тарифных коэффициентов в целях удержания персонала и повышения конкурентоспособности заработной платы в рамках стандартов Общества</w:t>
      </w:r>
    </w:p>
    <w:p w:rsidR="00D602D4" w:rsidRDefault="000B4C86">
      <w:pPr>
        <w:pStyle w:val="ac"/>
        <w:numPr>
          <w:ilvl w:val="0"/>
          <w:numId w:val="7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предоставление единовременной выплаты к отпуску в размере 11 369 руб., согласно приказа от 18.12.2023 №367 «Об установлении размера единовременной выплаты к отпуску на 2024 год»;</w:t>
      </w:r>
    </w:p>
    <w:p w:rsidR="00D602D4" w:rsidRDefault="000B4C86">
      <w:pPr>
        <w:pStyle w:val="ac"/>
        <w:numPr>
          <w:ilvl w:val="0"/>
          <w:numId w:val="7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материальное стимулирование работников за выявление неучтенного потребления электроэнергии в распределительных сетях (СО 2.094).</w:t>
      </w:r>
    </w:p>
    <w:p w:rsidR="00D602D4" w:rsidRDefault="00D602D4">
      <w:pPr>
        <w:widowControl w:val="0"/>
        <w:spacing w:after="0" w:line="240" w:lineRule="auto"/>
        <w:ind w:firstLine="709"/>
        <w:jc w:val="right"/>
        <w:rPr>
          <w:rFonts w:ascii="Times New Roman" w:eastAsia="Calibri" w:hAnsi="Times New Roman" w:cs="Times New Roman"/>
          <w:sz w:val="24"/>
          <w:szCs w:val="24"/>
        </w:rPr>
      </w:pPr>
    </w:p>
    <w:p w:rsidR="00D602D4" w:rsidRDefault="00D602D4">
      <w:pPr>
        <w:widowControl w:val="0"/>
        <w:spacing w:after="0" w:line="240" w:lineRule="auto"/>
        <w:ind w:firstLine="709"/>
        <w:jc w:val="right"/>
        <w:rPr>
          <w:rFonts w:ascii="Times New Roman" w:eastAsia="Calibri" w:hAnsi="Times New Roman" w:cs="Times New Roman"/>
          <w:sz w:val="24"/>
          <w:szCs w:val="24"/>
        </w:rPr>
      </w:pPr>
    </w:p>
    <w:p w:rsidR="00D602D4" w:rsidRDefault="00D602D4">
      <w:pPr>
        <w:widowControl w:val="0"/>
        <w:spacing w:after="0" w:line="240" w:lineRule="auto"/>
        <w:ind w:firstLine="709"/>
        <w:jc w:val="right"/>
        <w:rPr>
          <w:rFonts w:ascii="Times New Roman" w:eastAsia="Calibri" w:hAnsi="Times New Roman" w:cs="Times New Roman"/>
          <w:sz w:val="24"/>
          <w:szCs w:val="24"/>
        </w:rPr>
      </w:pPr>
    </w:p>
    <w:p w:rsidR="00D602D4" w:rsidRDefault="000B4C86">
      <w:pPr>
        <w:widowControl w:val="0"/>
        <w:spacing w:after="0" w:line="240" w:lineRule="auto"/>
        <w:ind w:firstLine="709"/>
        <w:jc w:val="right"/>
        <w:rPr>
          <w:rFonts w:ascii="Times New Roman" w:eastAsia="Calibri" w:hAnsi="Times New Roman" w:cs="Times New Roman"/>
          <w:sz w:val="24"/>
          <w:szCs w:val="24"/>
        </w:rPr>
      </w:pPr>
      <w:r>
        <w:rPr>
          <w:rFonts w:ascii="Times New Roman" w:eastAsia="Calibri" w:hAnsi="Times New Roman" w:cs="Times New Roman"/>
          <w:sz w:val="24"/>
          <w:szCs w:val="24"/>
        </w:rPr>
        <w:lastRenderedPageBreak/>
        <w:t>Таблица 45</w:t>
      </w:r>
    </w:p>
    <w:tbl>
      <w:tblPr>
        <w:tblW w:w="4908" w:type="pct"/>
        <w:tblInd w:w="108" w:type="dxa"/>
        <w:tblLook w:val="04A0" w:firstRow="1" w:lastRow="0" w:firstColumn="1" w:lastColumn="0" w:noHBand="0" w:noVBand="1"/>
      </w:tblPr>
      <w:tblGrid>
        <w:gridCol w:w="3107"/>
        <w:gridCol w:w="946"/>
        <w:gridCol w:w="1293"/>
        <w:gridCol w:w="1489"/>
        <w:gridCol w:w="1281"/>
        <w:gridCol w:w="1695"/>
      </w:tblGrid>
      <w:tr w:rsidR="00D602D4">
        <w:trPr>
          <w:trHeight w:val="230"/>
        </w:trPr>
        <w:tc>
          <w:tcPr>
            <w:tcW w:w="1583" w:type="pct"/>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Показатели</w:t>
            </w:r>
          </w:p>
        </w:tc>
        <w:tc>
          <w:tcPr>
            <w:tcW w:w="482" w:type="pct"/>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Ед.изм.</w:t>
            </w:r>
          </w:p>
        </w:tc>
        <w:tc>
          <w:tcPr>
            <w:tcW w:w="2935" w:type="pct"/>
            <w:gridSpan w:val="4"/>
            <w:vMerge w:val="restart"/>
            <w:tcBorders>
              <w:top w:val="single" w:sz="8" w:space="0" w:color="000000"/>
              <w:left w:val="single" w:sz="8" w:space="0" w:color="000000"/>
              <w:bottom w:val="none" w:sz="4"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Период</w:t>
            </w:r>
          </w:p>
        </w:tc>
      </w:tr>
      <w:tr w:rsidR="00D602D4">
        <w:trPr>
          <w:trHeight w:val="450"/>
        </w:trPr>
        <w:tc>
          <w:tcPr>
            <w:tcW w:w="1583" w:type="pct"/>
            <w:vMerge/>
            <w:tcBorders>
              <w:top w:val="single" w:sz="8" w:space="0" w:color="000000"/>
              <w:left w:val="single" w:sz="8" w:space="0" w:color="000000"/>
              <w:bottom w:val="single" w:sz="8" w:space="0" w:color="000000"/>
              <w:right w:val="single" w:sz="8" w:space="0" w:color="000000"/>
            </w:tcBorders>
            <w:vAlign w:val="center"/>
          </w:tcPr>
          <w:p w:rsidR="00D602D4" w:rsidRDefault="00D602D4">
            <w:pPr>
              <w:rPr>
                <w:rFonts w:ascii="Times New Roman" w:eastAsia="Times New Roman" w:hAnsi="Times New Roman" w:cs="Times New Roman"/>
                <w:b/>
                <w:bCs/>
                <w:color w:val="000000"/>
                <w:sz w:val="20"/>
                <w:szCs w:val="20"/>
                <w:lang w:eastAsia="ru-RU"/>
              </w:rPr>
            </w:pPr>
          </w:p>
        </w:tc>
        <w:tc>
          <w:tcPr>
            <w:tcW w:w="482" w:type="pct"/>
            <w:vMerge/>
            <w:tcBorders>
              <w:top w:val="single" w:sz="8" w:space="0" w:color="000000"/>
              <w:left w:val="single" w:sz="8" w:space="0" w:color="000000"/>
              <w:bottom w:val="single" w:sz="8" w:space="0" w:color="000000"/>
              <w:right w:val="single" w:sz="8" w:space="0" w:color="000000"/>
            </w:tcBorders>
            <w:vAlign w:val="center"/>
          </w:tcPr>
          <w:p w:rsidR="00D602D4" w:rsidRDefault="00D602D4">
            <w:pPr>
              <w:rPr>
                <w:rFonts w:ascii="Times New Roman" w:eastAsia="Times New Roman" w:hAnsi="Times New Roman" w:cs="Times New Roman"/>
                <w:b/>
                <w:bCs/>
                <w:color w:val="000000"/>
                <w:sz w:val="20"/>
                <w:szCs w:val="20"/>
                <w:lang w:eastAsia="ru-RU"/>
              </w:rPr>
            </w:pPr>
          </w:p>
        </w:tc>
        <w:tc>
          <w:tcPr>
            <w:tcW w:w="659" w:type="pct"/>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2022 год</w:t>
            </w:r>
          </w:p>
        </w:tc>
        <w:tc>
          <w:tcPr>
            <w:tcW w:w="759" w:type="pct"/>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rsidR="00D602D4" w:rsidRDefault="000B4C86">
            <w:pPr>
              <w:tabs>
                <w:tab w:val="left" w:pos="237"/>
                <w:tab w:val="center" w:pos="601"/>
              </w:tabs>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ab/>
            </w:r>
            <w:r>
              <w:rPr>
                <w:rFonts w:ascii="Times New Roman" w:eastAsia="Times New Roman" w:hAnsi="Times New Roman" w:cs="Times New Roman"/>
                <w:b/>
                <w:bCs/>
                <w:color w:val="000000"/>
                <w:sz w:val="20"/>
                <w:szCs w:val="20"/>
                <w:lang w:eastAsia="ru-RU"/>
              </w:rPr>
              <w:tab/>
              <w:t>2023 год</w:t>
            </w:r>
          </w:p>
        </w:tc>
        <w:tc>
          <w:tcPr>
            <w:tcW w:w="653" w:type="pct"/>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 год</w:t>
            </w:r>
          </w:p>
        </w:tc>
        <w:tc>
          <w:tcPr>
            <w:tcW w:w="864" w:type="pct"/>
            <w:vMerge w:val="restart"/>
            <w:tcBorders>
              <w:top w:val="single" w:sz="8"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изменение 2024/2023, %</w:t>
            </w:r>
          </w:p>
        </w:tc>
      </w:tr>
      <w:tr w:rsidR="00D602D4">
        <w:trPr>
          <w:trHeight w:val="170"/>
        </w:trPr>
        <w:tc>
          <w:tcPr>
            <w:tcW w:w="1583" w:type="pct"/>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482"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659"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3</w:t>
            </w:r>
          </w:p>
        </w:tc>
        <w:tc>
          <w:tcPr>
            <w:tcW w:w="759"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w:t>
            </w:r>
          </w:p>
        </w:tc>
        <w:tc>
          <w:tcPr>
            <w:tcW w:w="653"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5</w:t>
            </w:r>
          </w:p>
        </w:tc>
        <w:tc>
          <w:tcPr>
            <w:tcW w:w="864"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6</w:t>
            </w:r>
          </w:p>
        </w:tc>
      </w:tr>
      <w:tr w:rsidR="00D602D4">
        <w:trPr>
          <w:trHeight w:val="170"/>
        </w:trPr>
        <w:tc>
          <w:tcPr>
            <w:tcW w:w="1583" w:type="pct"/>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Средняя заработная плата работников</w:t>
            </w:r>
          </w:p>
        </w:tc>
        <w:tc>
          <w:tcPr>
            <w:tcW w:w="482"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т. руб.</w:t>
            </w:r>
          </w:p>
        </w:tc>
        <w:tc>
          <w:tcPr>
            <w:tcW w:w="659"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65,3</w:t>
            </w:r>
          </w:p>
        </w:tc>
        <w:tc>
          <w:tcPr>
            <w:tcW w:w="759"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76,8</w:t>
            </w:r>
          </w:p>
        </w:tc>
        <w:tc>
          <w:tcPr>
            <w:tcW w:w="653"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86,3</w:t>
            </w:r>
          </w:p>
        </w:tc>
        <w:tc>
          <w:tcPr>
            <w:tcW w:w="864"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12,4%</w:t>
            </w:r>
          </w:p>
        </w:tc>
      </w:tr>
      <w:tr w:rsidR="00D602D4">
        <w:trPr>
          <w:trHeight w:val="170"/>
        </w:trPr>
        <w:tc>
          <w:tcPr>
            <w:tcW w:w="1583" w:type="pct"/>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Средняя заработная плата АУП</w:t>
            </w:r>
          </w:p>
        </w:tc>
        <w:tc>
          <w:tcPr>
            <w:tcW w:w="482"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т. руб.</w:t>
            </w:r>
          </w:p>
        </w:tc>
        <w:tc>
          <w:tcPr>
            <w:tcW w:w="659"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118,9</w:t>
            </w:r>
          </w:p>
        </w:tc>
        <w:tc>
          <w:tcPr>
            <w:tcW w:w="759"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138,4</w:t>
            </w:r>
          </w:p>
        </w:tc>
        <w:tc>
          <w:tcPr>
            <w:tcW w:w="653"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148,5</w:t>
            </w:r>
          </w:p>
        </w:tc>
        <w:tc>
          <w:tcPr>
            <w:tcW w:w="864"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7,3%</w:t>
            </w:r>
          </w:p>
        </w:tc>
      </w:tr>
      <w:tr w:rsidR="00D602D4">
        <w:trPr>
          <w:trHeight w:val="170"/>
        </w:trPr>
        <w:tc>
          <w:tcPr>
            <w:tcW w:w="1583" w:type="pct"/>
            <w:tcBorders>
              <w:top w:val="none" w:sz="4" w:space="0" w:color="000000"/>
              <w:left w:val="single" w:sz="8"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Средняя заработная плата ПП</w:t>
            </w:r>
          </w:p>
        </w:tc>
        <w:tc>
          <w:tcPr>
            <w:tcW w:w="482"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т.руб.</w:t>
            </w:r>
          </w:p>
        </w:tc>
        <w:tc>
          <w:tcPr>
            <w:tcW w:w="659"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58,0</w:t>
            </w:r>
          </w:p>
        </w:tc>
        <w:tc>
          <w:tcPr>
            <w:tcW w:w="759"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68,1</w:t>
            </w:r>
          </w:p>
        </w:tc>
        <w:tc>
          <w:tcPr>
            <w:tcW w:w="653"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77,1</w:t>
            </w:r>
          </w:p>
        </w:tc>
        <w:tc>
          <w:tcPr>
            <w:tcW w:w="864" w:type="pc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13,2%</w:t>
            </w:r>
          </w:p>
        </w:tc>
      </w:tr>
    </w:tbl>
    <w:p w:rsidR="00D602D4" w:rsidRDefault="00D602D4">
      <w:pPr>
        <w:spacing w:after="0" w:line="240" w:lineRule="auto"/>
        <w:ind w:firstLine="709"/>
        <w:jc w:val="center"/>
        <w:rPr>
          <w:rFonts w:ascii="Times New Roman" w:eastAsia="Times New Roman" w:hAnsi="Times New Roman" w:cs="Times New Roman"/>
          <w:bCs/>
          <w:color w:val="000000"/>
          <w:sz w:val="20"/>
          <w:szCs w:val="20"/>
          <w:lang w:eastAsia="ru-RU"/>
        </w:rPr>
      </w:pPr>
    </w:p>
    <w:p w:rsidR="00D602D4" w:rsidRDefault="000B4C86">
      <w:pPr>
        <w:pStyle w:val="a1"/>
        <w:numPr>
          <w:ilvl w:val="0"/>
          <w:numId w:val="0"/>
        </w:numPr>
        <w:spacing w:after="0"/>
        <w:ind w:firstLine="709"/>
        <w:jc w:val="left"/>
        <w:rPr>
          <w:sz w:val="24"/>
          <w:szCs w:val="24"/>
        </w:rPr>
      </w:pPr>
      <w:bookmarkStart w:id="62" w:name="_Toc95"/>
      <w:r>
        <w:rPr>
          <w:sz w:val="24"/>
          <w:szCs w:val="24"/>
        </w:rPr>
        <w:t>Наградная политика</w:t>
      </w:r>
      <w:bookmarkEnd w:id="62"/>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Наградная политика ПАО «Россети Сибирь» реализуется в соответствии с СО 5.006 «Награждение. Положение». </w:t>
      </w:r>
      <w:r>
        <w:rPr>
          <w:rFonts w:ascii="Times New Roman" w:hAnsi="Times New Roman" w:cs="Times New Roman"/>
          <w:color w:val="000000"/>
          <w:sz w:val="24"/>
        </w:rPr>
        <w:t xml:space="preserve">Наградная кампания направлена на признание заслуг работников </w:t>
      </w:r>
      <w:r>
        <w:rPr>
          <w:rFonts w:ascii="Times New Roman" w:hAnsi="Times New Roman" w:cs="Times New Roman"/>
          <w:sz w:val="24"/>
        </w:rPr>
        <w:t>за добросовестный труд, высокие достижения в развитии распределительно-сетевого комплекса.</w:t>
      </w:r>
    </w:p>
    <w:p w:rsidR="00D602D4" w:rsidRDefault="000B4C86">
      <w:pPr>
        <w:spacing w:after="0" w:line="240" w:lineRule="auto"/>
        <w:ind w:firstLine="709"/>
        <w:jc w:val="both"/>
        <w:rPr>
          <w:rFonts w:ascii="Times New Roman" w:hAnsi="Times New Roman" w:cs="Times New Roman"/>
          <w:color w:val="000000" w:themeColor="text1"/>
          <w:sz w:val="24"/>
        </w:rPr>
      </w:pPr>
      <w:r>
        <w:rPr>
          <w:rFonts w:ascii="Times New Roman" w:hAnsi="Times New Roman" w:cs="Times New Roman"/>
          <w:color w:val="000000" w:themeColor="text1"/>
          <w:sz w:val="24"/>
        </w:rPr>
        <w:t>В 2024 году награждено 2658 работников, а также 2 коллектива филиала, при этом ведомственными наградами Министерства энергетики Российской Федерации – 64 чел., отраслевыми наградами Ассоциации «ЭРА России» – 28 чел., корпоративными наградами ПАО «Россети» – 112 чел., наградами ПАО «Россети Сибирь» – 358 чел. и 2 коллектива филиала, наградами филиалов ПАО «Россети Сибирь» – 1736 чел.; региональными наградами – 360 чел.</w:t>
      </w:r>
    </w:p>
    <w:p w:rsidR="00D602D4" w:rsidRDefault="000B4C86">
      <w:pPr>
        <w:spacing w:after="0" w:line="240" w:lineRule="auto"/>
        <w:ind w:firstLine="709"/>
        <w:jc w:val="both"/>
        <w:rPr>
          <w:rFonts w:ascii="Times New Roman" w:hAnsi="Times New Roman" w:cs="Times New Roman"/>
          <w:color w:val="000000"/>
          <w:sz w:val="24"/>
        </w:rPr>
      </w:pPr>
      <w:r>
        <w:rPr>
          <w:rFonts w:ascii="Times New Roman" w:hAnsi="Times New Roman" w:cs="Times New Roman"/>
          <w:color w:val="000000"/>
          <w:sz w:val="24"/>
        </w:rPr>
        <w:t>В отчетном периоде в связи с празднованием Дня Компании ПАО «Россети»</w:t>
      </w:r>
      <w:r>
        <w:rPr>
          <w:rFonts w:ascii="Times New Roman" w:hAnsi="Times New Roman" w:cs="Times New Roman"/>
          <w:color w:val="000000"/>
          <w:sz w:val="24"/>
        </w:rPr>
        <w:br/>
        <w:t>34 работника награждены корпоративными наградами ПАО «Россети».</w:t>
      </w:r>
    </w:p>
    <w:p w:rsidR="00D602D4" w:rsidRDefault="000B4C86">
      <w:pPr>
        <w:spacing w:after="0" w:line="240" w:lineRule="auto"/>
        <w:ind w:firstLine="709"/>
        <w:jc w:val="both"/>
        <w:rPr>
          <w:rFonts w:ascii="Times New Roman" w:hAnsi="Times New Roman" w:cs="Times New Roman"/>
          <w:color w:val="000000"/>
          <w:sz w:val="24"/>
        </w:rPr>
      </w:pPr>
      <w:r>
        <w:rPr>
          <w:rFonts w:ascii="Times New Roman" w:hAnsi="Times New Roman" w:cs="Times New Roman"/>
          <w:color w:val="000000"/>
          <w:sz w:val="24"/>
        </w:rPr>
        <w:t xml:space="preserve">В связи с празднованием Дня Компании ПАО «Россети Сибирь» 17 работников награждены наградами ПАО «Россети Сибирь». </w:t>
      </w:r>
    </w:p>
    <w:p w:rsidR="00D602D4" w:rsidRDefault="000B4C86">
      <w:pPr>
        <w:spacing w:after="0" w:line="240" w:lineRule="auto"/>
        <w:ind w:firstLine="709"/>
        <w:jc w:val="both"/>
        <w:rPr>
          <w:rFonts w:ascii="Times New Roman" w:hAnsi="Times New Roman" w:cs="Times New Roman"/>
          <w:color w:val="000000"/>
          <w:sz w:val="24"/>
        </w:rPr>
      </w:pPr>
      <w:r>
        <w:rPr>
          <w:rFonts w:ascii="Times New Roman" w:hAnsi="Times New Roman" w:cs="Times New Roman"/>
          <w:color w:val="000000"/>
          <w:sz w:val="24"/>
        </w:rPr>
        <w:t>В связи с празднованием профессионального праздника – Дня энергетика 38 работников отмечены ведомственными наградами Министерства энергетики Российской Федерации, 39 работников награждены корпоративными наградами ПАО «Россети», 20 работников награждены отраслевыми наградами Ассоциации «ЭРА России», 153 работника отмечены наградами ПАО «Россети Сибирь», 1331 работник поощрены наградами филиалов ПАО «Россети Сибирь» и 296 работников отмечены региональными наградами.</w:t>
      </w:r>
    </w:p>
    <w:p w:rsidR="00D602D4" w:rsidRDefault="000B4C86">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rPr>
        <w:t>К юбилейным датам в 2024 году ведомственными наградами Министерства энергетики Российской Федерации награждены 43 работника, 63 юбиляра удостоены корпоративными наградами ПАО «Россети», 8 работников поощрены отраслевыми наградами Ассоциации «ЭРА России», 284 работника отмечены наградами ПАО «Россети Сибирь», 361 работник поощрен наградами филиалов ПАО «Россети Сибирь» и 66 работников отмечены региональными наградами.</w:t>
      </w:r>
    </w:p>
    <w:p w:rsidR="00D602D4" w:rsidRDefault="000B4C86">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За проявленные личное мужество, отвагу, самоотверженность и профессионализм при выполнении профессионального долга, сопряженные с риском для жизни 1 работник награжден нагрудным знаком «За мужество, проявленное при выполнении профессионального долга».</w:t>
      </w:r>
    </w:p>
    <w:p w:rsidR="00D602D4" w:rsidRDefault="000B4C86">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В связи с 15-летним юбилеем формирования студенческих отрядов Группы «Россети» 1 работник удостоен отраслевой награды, 2 работника поощрены корпоративными наградами. </w:t>
      </w:r>
    </w:p>
    <w:p w:rsidR="00D602D4" w:rsidRDefault="00D602D4">
      <w:pPr>
        <w:spacing w:after="0" w:line="240" w:lineRule="auto"/>
        <w:ind w:firstLine="709"/>
        <w:jc w:val="right"/>
        <w:rPr>
          <w:rFonts w:ascii="Times New Roman" w:hAnsi="Times New Roman" w:cs="Times New Roman"/>
          <w:color w:val="000000"/>
          <w:sz w:val="24"/>
          <w:szCs w:val="24"/>
        </w:rPr>
      </w:pPr>
    </w:p>
    <w:p w:rsidR="00D602D4" w:rsidRDefault="00D602D4">
      <w:pPr>
        <w:spacing w:after="0" w:line="240" w:lineRule="auto"/>
        <w:ind w:firstLine="709"/>
        <w:jc w:val="right"/>
        <w:rPr>
          <w:rFonts w:ascii="Times New Roman" w:hAnsi="Times New Roman" w:cs="Times New Roman"/>
          <w:color w:val="000000"/>
          <w:sz w:val="24"/>
          <w:szCs w:val="24"/>
        </w:rPr>
      </w:pPr>
    </w:p>
    <w:p w:rsidR="00D602D4" w:rsidRDefault="00D602D4">
      <w:pPr>
        <w:spacing w:after="0" w:line="240" w:lineRule="auto"/>
        <w:ind w:firstLine="709"/>
        <w:jc w:val="right"/>
        <w:rPr>
          <w:rFonts w:ascii="Times New Roman" w:hAnsi="Times New Roman" w:cs="Times New Roman"/>
          <w:color w:val="000000"/>
          <w:sz w:val="24"/>
          <w:szCs w:val="24"/>
        </w:rPr>
      </w:pPr>
    </w:p>
    <w:p w:rsidR="00D602D4" w:rsidRDefault="00D602D4">
      <w:pPr>
        <w:spacing w:after="0" w:line="240" w:lineRule="auto"/>
        <w:ind w:firstLine="709"/>
        <w:jc w:val="right"/>
        <w:rPr>
          <w:rFonts w:ascii="Times New Roman" w:hAnsi="Times New Roman" w:cs="Times New Roman"/>
          <w:color w:val="000000"/>
          <w:sz w:val="24"/>
          <w:szCs w:val="24"/>
        </w:rPr>
      </w:pPr>
    </w:p>
    <w:p w:rsidR="00D602D4" w:rsidRDefault="00D602D4">
      <w:pPr>
        <w:spacing w:after="0" w:line="240" w:lineRule="auto"/>
        <w:ind w:firstLine="709"/>
        <w:jc w:val="right"/>
        <w:rPr>
          <w:rFonts w:ascii="Times New Roman" w:hAnsi="Times New Roman" w:cs="Times New Roman"/>
          <w:color w:val="000000"/>
          <w:sz w:val="24"/>
          <w:szCs w:val="24"/>
        </w:rPr>
      </w:pPr>
    </w:p>
    <w:p w:rsidR="00D602D4" w:rsidRDefault="00D602D4">
      <w:pPr>
        <w:spacing w:after="0" w:line="240" w:lineRule="auto"/>
        <w:ind w:firstLine="709"/>
        <w:jc w:val="right"/>
        <w:rPr>
          <w:rFonts w:ascii="Times New Roman" w:hAnsi="Times New Roman" w:cs="Times New Roman"/>
          <w:color w:val="000000"/>
          <w:sz w:val="24"/>
          <w:szCs w:val="24"/>
        </w:rPr>
      </w:pPr>
    </w:p>
    <w:p w:rsidR="00D602D4" w:rsidRDefault="00D602D4">
      <w:pPr>
        <w:spacing w:after="0" w:line="240" w:lineRule="auto"/>
        <w:ind w:firstLine="709"/>
        <w:jc w:val="right"/>
        <w:rPr>
          <w:rFonts w:ascii="Times New Roman" w:hAnsi="Times New Roman" w:cs="Times New Roman"/>
          <w:color w:val="000000"/>
          <w:sz w:val="24"/>
          <w:szCs w:val="24"/>
        </w:rPr>
      </w:pPr>
    </w:p>
    <w:p w:rsidR="00D602D4" w:rsidRDefault="00D602D4">
      <w:pPr>
        <w:spacing w:after="0" w:line="240" w:lineRule="auto"/>
        <w:ind w:firstLine="709"/>
        <w:jc w:val="right"/>
        <w:rPr>
          <w:rFonts w:ascii="Times New Roman" w:hAnsi="Times New Roman" w:cs="Times New Roman"/>
          <w:color w:val="000000"/>
          <w:sz w:val="24"/>
          <w:szCs w:val="24"/>
        </w:rPr>
      </w:pPr>
    </w:p>
    <w:p w:rsidR="00D602D4" w:rsidRDefault="000B4C86">
      <w:pPr>
        <w:spacing w:after="0" w:line="240" w:lineRule="auto"/>
        <w:ind w:firstLine="709"/>
        <w:jc w:val="right"/>
        <w:rPr>
          <w:rFonts w:ascii="Times New Roman" w:hAnsi="Times New Roman" w:cs="Times New Roman"/>
          <w:color w:val="000000"/>
          <w:sz w:val="24"/>
          <w:szCs w:val="24"/>
        </w:rPr>
      </w:pPr>
      <w:bookmarkStart w:id="63" w:name="_Toc96"/>
      <w:r>
        <w:rPr>
          <w:rFonts w:ascii="Times New Roman" w:eastAsia="Times New Roman" w:hAnsi="Times New Roman" w:cs="Times New Roman"/>
          <w:sz w:val="24"/>
          <w:szCs w:val="24"/>
        </w:rPr>
        <w:lastRenderedPageBreak/>
        <w:t>Таблица 46</w:t>
      </w:r>
      <w:bookmarkEnd w:id="63"/>
    </w:p>
    <w:p w:rsidR="00D602D4" w:rsidRDefault="000B4C86">
      <w:pPr>
        <w:pStyle w:val="a1"/>
        <w:numPr>
          <w:ilvl w:val="0"/>
          <w:numId w:val="0"/>
        </w:numPr>
        <w:spacing w:after="0"/>
        <w:ind w:firstLine="709"/>
        <w:rPr>
          <w:b w:val="0"/>
          <w:sz w:val="24"/>
          <w:szCs w:val="24"/>
        </w:rPr>
      </w:pPr>
      <w:bookmarkStart w:id="64" w:name="_Toc97"/>
      <w:r>
        <w:rPr>
          <w:b w:val="0"/>
          <w:color w:val="000000"/>
          <w:sz w:val="24"/>
          <w:szCs w:val="24"/>
        </w:rPr>
        <w:t>Показатели в части социальной политики и устойчивого развития</w:t>
      </w:r>
      <w:bookmarkEnd w:id="64"/>
    </w:p>
    <w:tbl>
      <w:tblPr>
        <w:tblW w:w="9879" w:type="dxa"/>
        <w:tblInd w:w="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68"/>
        <w:gridCol w:w="960"/>
        <w:gridCol w:w="1274"/>
        <w:gridCol w:w="1276"/>
        <w:gridCol w:w="1276"/>
        <w:gridCol w:w="1525"/>
      </w:tblGrid>
      <w:tr w:rsidR="00D602D4">
        <w:trPr>
          <w:trHeight w:val="172"/>
        </w:trPr>
        <w:tc>
          <w:tcPr>
            <w:tcW w:w="3567" w:type="dxa"/>
            <w:vMerge w:val="restart"/>
            <w:shd w:val="clear" w:color="FFFFFF" w:fill="FFFFFF"/>
            <w:vAlign w:val="center"/>
          </w:tcPr>
          <w:p w:rsidR="00D602D4" w:rsidRDefault="000B4C86">
            <w:pPr>
              <w:spacing w:after="0" w:line="240" w:lineRule="auto"/>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Показатели</w:t>
            </w:r>
          </w:p>
        </w:tc>
        <w:tc>
          <w:tcPr>
            <w:tcW w:w="960" w:type="dxa"/>
            <w:vMerge w:val="restart"/>
            <w:shd w:val="clear" w:color="FFFFFF" w:fill="FFFFFF"/>
            <w:vAlign w:val="center"/>
          </w:tcPr>
          <w:p w:rsidR="00D602D4" w:rsidRDefault="000B4C86">
            <w:pPr>
              <w:spacing w:after="0" w:line="240" w:lineRule="auto"/>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Ед.изм.</w:t>
            </w:r>
          </w:p>
        </w:tc>
        <w:tc>
          <w:tcPr>
            <w:tcW w:w="5351" w:type="dxa"/>
            <w:gridSpan w:val="4"/>
            <w:shd w:val="clear" w:color="FFFFFF" w:fill="FFFFFF"/>
            <w:noWrap/>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Период</w:t>
            </w:r>
          </w:p>
        </w:tc>
      </w:tr>
      <w:tr w:rsidR="00D602D4">
        <w:trPr>
          <w:trHeight w:val="233"/>
        </w:trPr>
        <w:tc>
          <w:tcPr>
            <w:tcW w:w="3567" w:type="dxa"/>
            <w:vMerge/>
            <w:vAlign w:val="center"/>
          </w:tcPr>
          <w:p w:rsidR="00D602D4" w:rsidRDefault="00D602D4">
            <w:pPr>
              <w:rPr>
                <w:rFonts w:ascii="Times New Roman" w:eastAsia="Times New Roman" w:hAnsi="Times New Roman" w:cs="Times New Roman"/>
                <w:bCs/>
                <w:color w:val="000000"/>
                <w:sz w:val="20"/>
                <w:szCs w:val="20"/>
                <w:lang w:eastAsia="ru-RU"/>
              </w:rPr>
            </w:pPr>
          </w:p>
        </w:tc>
        <w:tc>
          <w:tcPr>
            <w:tcW w:w="960" w:type="dxa"/>
            <w:vMerge/>
            <w:vAlign w:val="center"/>
          </w:tcPr>
          <w:p w:rsidR="00D602D4" w:rsidRDefault="00D602D4">
            <w:pPr>
              <w:rPr>
                <w:rFonts w:ascii="Times New Roman" w:eastAsia="Times New Roman" w:hAnsi="Times New Roman" w:cs="Times New Roman"/>
                <w:bCs/>
                <w:color w:val="000000"/>
                <w:sz w:val="20"/>
                <w:szCs w:val="20"/>
                <w:lang w:eastAsia="ru-RU"/>
              </w:rPr>
            </w:pPr>
          </w:p>
        </w:tc>
        <w:tc>
          <w:tcPr>
            <w:tcW w:w="1274" w:type="dxa"/>
            <w:shd w:val="clear" w:color="FFFFFF" w:fill="FFFFFF"/>
            <w:vAlign w:val="center"/>
          </w:tcPr>
          <w:p w:rsidR="00D602D4" w:rsidRDefault="000B4C86">
            <w:pPr>
              <w:spacing w:after="0" w:line="240" w:lineRule="auto"/>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2022 год</w:t>
            </w:r>
          </w:p>
        </w:tc>
        <w:tc>
          <w:tcPr>
            <w:tcW w:w="1276" w:type="dxa"/>
            <w:shd w:val="clear" w:color="FFFFFF" w:fill="FFFFFF"/>
            <w:vAlign w:val="center"/>
          </w:tcPr>
          <w:p w:rsidR="00D602D4" w:rsidRDefault="000B4C86">
            <w:pPr>
              <w:spacing w:after="0" w:line="240" w:lineRule="auto"/>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2023 год</w:t>
            </w:r>
          </w:p>
        </w:tc>
        <w:tc>
          <w:tcPr>
            <w:tcW w:w="1276" w:type="dxa"/>
            <w:shd w:val="clear" w:color="FFFFFF" w:fill="FFFFFF"/>
            <w:vAlign w:val="center"/>
          </w:tcPr>
          <w:p w:rsidR="00D602D4" w:rsidRDefault="000B4C86">
            <w:pPr>
              <w:spacing w:after="0" w:line="240" w:lineRule="auto"/>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2024 год</w:t>
            </w:r>
          </w:p>
        </w:tc>
        <w:tc>
          <w:tcPr>
            <w:tcW w:w="1525" w:type="dxa"/>
            <w:vMerge w:val="restart"/>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изменение 2024/2023, %</w:t>
            </w:r>
          </w:p>
        </w:tc>
      </w:tr>
      <w:tr w:rsidR="00D602D4">
        <w:trPr>
          <w:trHeight w:val="172"/>
        </w:trPr>
        <w:tc>
          <w:tcPr>
            <w:tcW w:w="3567" w:type="dxa"/>
            <w:vMerge/>
            <w:vAlign w:val="center"/>
          </w:tcPr>
          <w:p w:rsidR="00D602D4" w:rsidRDefault="00D602D4">
            <w:pPr>
              <w:rPr>
                <w:rFonts w:ascii="Times New Roman" w:eastAsia="Times New Roman" w:hAnsi="Times New Roman" w:cs="Times New Roman"/>
                <w:bCs/>
                <w:color w:val="000000"/>
                <w:sz w:val="20"/>
                <w:szCs w:val="20"/>
                <w:lang w:eastAsia="ru-RU"/>
              </w:rPr>
            </w:pPr>
          </w:p>
        </w:tc>
        <w:tc>
          <w:tcPr>
            <w:tcW w:w="960" w:type="dxa"/>
            <w:vMerge/>
            <w:vAlign w:val="center"/>
          </w:tcPr>
          <w:p w:rsidR="00D602D4" w:rsidRDefault="00D602D4">
            <w:pPr>
              <w:rPr>
                <w:rFonts w:ascii="Times New Roman" w:eastAsia="Times New Roman" w:hAnsi="Times New Roman" w:cs="Times New Roman"/>
                <w:bCs/>
                <w:color w:val="000000"/>
                <w:sz w:val="20"/>
                <w:szCs w:val="20"/>
                <w:lang w:eastAsia="ru-RU"/>
              </w:rPr>
            </w:pPr>
          </w:p>
        </w:tc>
        <w:tc>
          <w:tcPr>
            <w:tcW w:w="1274" w:type="dxa"/>
            <w:shd w:val="clear" w:color="FFFFFF" w:fill="FFFFFF"/>
            <w:vAlign w:val="center"/>
          </w:tcPr>
          <w:p w:rsidR="00D602D4" w:rsidRDefault="000B4C86">
            <w:pPr>
              <w:spacing w:after="0" w:line="240" w:lineRule="auto"/>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факт</w:t>
            </w:r>
          </w:p>
        </w:tc>
        <w:tc>
          <w:tcPr>
            <w:tcW w:w="1276" w:type="dxa"/>
            <w:shd w:val="clear" w:color="FFFFFF" w:fill="FFFFFF"/>
            <w:vAlign w:val="center"/>
          </w:tcPr>
          <w:p w:rsidR="00D602D4" w:rsidRDefault="000B4C86">
            <w:pPr>
              <w:spacing w:after="0" w:line="240" w:lineRule="auto"/>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факт</w:t>
            </w:r>
          </w:p>
        </w:tc>
        <w:tc>
          <w:tcPr>
            <w:tcW w:w="1276" w:type="dxa"/>
            <w:shd w:val="clear" w:color="FFFFFF" w:fill="FFFFFF"/>
            <w:vAlign w:val="center"/>
          </w:tcPr>
          <w:p w:rsidR="00D602D4" w:rsidRDefault="000B4C86">
            <w:pPr>
              <w:spacing w:after="0" w:line="240" w:lineRule="auto"/>
              <w:jc w:val="center"/>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факт</w:t>
            </w:r>
          </w:p>
        </w:tc>
        <w:tc>
          <w:tcPr>
            <w:tcW w:w="1525" w:type="dxa"/>
            <w:vMerge/>
            <w:vAlign w:val="center"/>
          </w:tcPr>
          <w:p w:rsidR="00D602D4" w:rsidRDefault="00D602D4">
            <w:pPr>
              <w:rPr>
                <w:rFonts w:ascii="Times New Roman" w:eastAsia="Times New Roman" w:hAnsi="Times New Roman" w:cs="Times New Roman"/>
                <w:color w:val="000000"/>
                <w:sz w:val="20"/>
                <w:szCs w:val="20"/>
                <w:lang w:eastAsia="ru-RU"/>
              </w:rPr>
            </w:pPr>
          </w:p>
        </w:tc>
      </w:tr>
      <w:tr w:rsidR="00D602D4">
        <w:trPr>
          <w:trHeight w:val="172"/>
        </w:trPr>
        <w:tc>
          <w:tcPr>
            <w:tcW w:w="3567" w:type="dxa"/>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w:t>
            </w:r>
          </w:p>
        </w:tc>
        <w:tc>
          <w:tcPr>
            <w:tcW w:w="960" w:type="dxa"/>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2</w:t>
            </w:r>
          </w:p>
        </w:tc>
        <w:tc>
          <w:tcPr>
            <w:tcW w:w="1274" w:type="dxa"/>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3</w:t>
            </w:r>
          </w:p>
        </w:tc>
        <w:tc>
          <w:tcPr>
            <w:tcW w:w="1276" w:type="dxa"/>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4</w:t>
            </w:r>
          </w:p>
        </w:tc>
        <w:tc>
          <w:tcPr>
            <w:tcW w:w="1276" w:type="dxa"/>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w:t>
            </w:r>
          </w:p>
        </w:tc>
        <w:tc>
          <w:tcPr>
            <w:tcW w:w="1525" w:type="dxa"/>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6</w:t>
            </w:r>
          </w:p>
        </w:tc>
      </w:tr>
      <w:tr w:rsidR="00D602D4">
        <w:trPr>
          <w:trHeight w:val="172"/>
        </w:trPr>
        <w:tc>
          <w:tcPr>
            <w:tcW w:w="3567" w:type="dxa"/>
            <w:shd w:val="clear" w:color="FFFFFF" w:fill="FFFFFF"/>
            <w:vAlign w:val="center"/>
          </w:tcPr>
          <w:p w:rsidR="00D602D4" w:rsidRDefault="000B4C86">
            <w:pPr>
              <w:spacing w:after="0" w:line="240" w:lineRule="auto"/>
              <w:jc w:val="both"/>
              <w:rPr>
                <w:rFonts w:ascii="Times New Roman" w:hAnsi="Times New Roman" w:cstheme="minorHAnsi"/>
                <w:color w:val="000000"/>
                <w:sz w:val="20"/>
                <w:szCs w:val="20"/>
              </w:rPr>
            </w:pPr>
            <w:r>
              <w:rPr>
                <w:rFonts w:ascii="Times New Roman" w:eastAsia="Times New Roman" w:hAnsi="Times New Roman" w:cs="Times New Roman"/>
                <w:color w:val="000000"/>
                <w:sz w:val="20"/>
                <w:szCs w:val="20"/>
                <w:lang w:eastAsia="ru-RU"/>
              </w:rPr>
              <w:t>Число работников, удостоенных государственных наград</w:t>
            </w:r>
          </w:p>
        </w:tc>
        <w:tc>
          <w:tcPr>
            <w:tcW w:w="960" w:type="dxa"/>
            <w:shd w:val="clear" w:color="FFFFFF" w:fill="FFFFFF"/>
            <w:vAlign w:val="center"/>
          </w:tcPr>
          <w:p w:rsidR="00D602D4" w:rsidRDefault="000B4C86">
            <w:pPr>
              <w:spacing w:after="0" w:line="240" w:lineRule="auto"/>
              <w:rPr>
                <w:rFonts w:ascii="Times New Roman" w:hAnsi="Times New Roman" w:cstheme="minorHAnsi"/>
                <w:color w:val="000000"/>
                <w:sz w:val="20"/>
                <w:szCs w:val="20"/>
              </w:rPr>
            </w:pPr>
            <w:r>
              <w:rPr>
                <w:rFonts w:ascii="Times New Roman" w:eastAsia="Times New Roman" w:hAnsi="Times New Roman" w:cs="Times New Roman"/>
                <w:color w:val="000000"/>
                <w:sz w:val="20"/>
                <w:szCs w:val="20"/>
                <w:lang w:eastAsia="ru-RU"/>
              </w:rPr>
              <w:t>чел.</w:t>
            </w:r>
          </w:p>
        </w:tc>
        <w:tc>
          <w:tcPr>
            <w:tcW w:w="127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w:t>
            </w:r>
          </w:p>
        </w:tc>
        <w:tc>
          <w:tcPr>
            <w:tcW w:w="127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3</w:t>
            </w:r>
          </w:p>
        </w:tc>
        <w:tc>
          <w:tcPr>
            <w:tcW w:w="127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0</w:t>
            </w:r>
          </w:p>
        </w:tc>
        <w:tc>
          <w:tcPr>
            <w:tcW w:w="1525"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-100,0 %</w:t>
            </w:r>
          </w:p>
        </w:tc>
      </w:tr>
      <w:tr w:rsidR="00D602D4">
        <w:trPr>
          <w:trHeight w:val="697"/>
        </w:trPr>
        <w:tc>
          <w:tcPr>
            <w:tcW w:w="3567" w:type="dxa"/>
            <w:shd w:val="clear" w:color="FFFFFF" w:fill="FFFFFF"/>
            <w:vAlign w:val="center"/>
          </w:tcPr>
          <w:p w:rsidR="00D602D4" w:rsidRDefault="000B4C86">
            <w:pPr>
              <w:spacing w:after="0" w:line="240" w:lineRule="auto"/>
              <w:jc w:val="both"/>
              <w:rPr>
                <w:rFonts w:ascii="Times New Roman" w:hAnsi="Times New Roman" w:cstheme="minorHAnsi"/>
                <w:color w:val="000000"/>
                <w:sz w:val="20"/>
                <w:szCs w:val="20"/>
              </w:rPr>
            </w:pPr>
            <w:r>
              <w:rPr>
                <w:rFonts w:ascii="Times New Roman" w:eastAsia="Times New Roman" w:hAnsi="Times New Roman" w:cs="Times New Roman"/>
                <w:color w:val="000000"/>
                <w:sz w:val="20"/>
                <w:szCs w:val="20"/>
                <w:lang w:eastAsia="ru-RU"/>
              </w:rPr>
              <w:t>Число работников, удостоенных поощрений Президента Российской Федерации и поощрений Правительства Российской Федерации</w:t>
            </w:r>
          </w:p>
        </w:tc>
        <w:tc>
          <w:tcPr>
            <w:tcW w:w="960" w:type="dxa"/>
            <w:shd w:val="clear" w:color="FFFFFF" w:fill="FFFFFF"/>
            <w:vAlign w:val="center"/>
          </w:tcPr>
          <w:p w:rsidR="00D602D4" w:rsidRDefault="000B4C86">
            <w:pPr>
              <w:spacing w:after="0" w:line="240" w:lineRule="auto"/>
              <w:rPr>
                <w:rFonts w:ascii="Times New Roman" w:hAnsi="Times New Roman" w:cstheme="minorHAnsi"/>
                <w:color w:val="000000"/>
                <w:sz w:val="20"/>
                <w:szCs w:val="20"/>
              </w:rPr>
            </w:pPr>
            <w:r>
              <w:rPr>
                <w:rFonts w:ascii="Times New Roman" w:eastAsia="Times New Roman" w:hAnsi="Times New Roman" w:cs="Times New Roman"/>
                <w:color w:val="000000"/>
                <w:sz w:val="20"/>
                <w:szCs w:val="20"/>
                <w:lang w:eastAsia="ru-RU"/>
              </w:rPr>
              <w:t>чел.</w:t>
            </w:r>
          </w:p>
        </w:tc>
        <w:tc>
          <w:tcPr>
            <w:tcW w:w="127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0</w:t>
            </w:r>
          </w:p>
        </w:tc>
        <w:tc>
          <w:tcPr>
            <w:tcW w:w="127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0</w:t>
            </w:r>
          </w:p>
        </w:tc>
        <w:tc>
          <w:tcPr>
            <w:tcW w:w="127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0</w:t>
            </w:r>
          </w:p>
        </w:tc>
        <w:tc>
          <w:tcPr>
            <w:tcW w:w="1525"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0 %</w:t>
            </w:r>
          </w:p>
        </w:tc>
      </w:tr>
      <w:tr w:rsidR="00D602D4">
        <w:trPr>
          <w:trHeight w:val="172"/>
        </w:trPr>
        <w:tc>
          <w:tcPr>
            <w:tcW w:w="3567" w:type="dxa"/>
            <w:shd w:val="clear" w:color="FFFFFF" w:fill="FFFFFF"/>
            <w:vAlign w:val="center"/>
          </w:tcPr>
          <w:p w:rsidR="00D602D4" w:rsidRDefault="000B4C86">
            <w:pPr>
              <w:spacing w:after="0" w:line="240" w:lineRule="auto"/>
              <w:jc w:val="both"/>
              <w:rPr>
                <w:rFonts w:ascii="Times New Roman" w:hAnsi="Times New Roman" w:cstheme="minorHAnsi"/>
                <w:color w:val="000000"/>
                <w:sz w:val="20"/>
                <w:szCs w:val="20"/>
              </w:rPr>
            </w:pPr>
            <w:r>
              <w:rPr>
                <w:rFonts w:ascii="Times New Roman" w:eastAsia="Times New Roman" w:hAnsi="Times New Roman" w:cs="Times New Roman"/>
                <w:color w:val="000000"/>
                <w:sz w:val="20"/>
                <w:szCs w:val="20"/>
                <w:lang w:eastAsia="ru-RU"/>
              </w:rPr>
              <w:t xml:space="preserve">Число работников, удостоенных ведомственных наград Минэнерго России  </w:t>
            </w:r>
          </w:p>
        </w:tc>
        <w:tc>
          <w:tcPr>
            <w:tcW w:w="960" w:type="dxa"/>
            <w:shd w:val="clear" w:color="FFFFFF" w:fill="FFFFFF"/>
            <w:vAlign w:val="center"/>
          </w:tcPr>
          <w:p w:rsidR="00D602D4" w:rsidRDefault="000B4C86">
            <w:pPr>
              <w:spacing w:after="0" w:line="240" w:lineRule="auto"/>
              <w:rPr>
                <w:rFonts w:ascii="Times New Roman" w:hAnsi="Times New Roman" w:cstheme="minorHAnsi"/>
                <w:color w:val="000000"/>
                <w:sz w:val="20"/>
                <w:szCs w:val="20"/>
              </w:rPr>
            </w:pPr>
            <w:r>
              <w:rPr>
                <w:rFonts w:ascii="Times New Roman" w:eastAsia="Times New Roman" w:hAnsi="Times New Roman" w:cs="Times New Roman"/>
                <w:color w:val="000000"/>
                <w:sz w:val="20"/>
                <w:szCs w:val="20"/>
                <w:lang w:eastAsia="ru-RU"/>
              </w:rPr>
              <w:t>чел.</w:t>
            </w:r>
          </w:p>
        </w:tc>
        <w:tc>
          <w:tcPr>
            <w:tcW w:w="127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54</w:t>
            </w:r>
          </w:p>
        </w:tc>
        <w:tc>
          <w:tcPr>
            <w:tcW w:w="127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60</w:t>
            </w:r>
          </w:p>
        </w:tc>
        <w:tc>
          <w:tcPr>
            <w:tcW w:w="127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64</w:t>
            </w:r>
          </w:p>
        </w:tc>
        <w:tc>
          <w:tcPr>
            <w:tcW w:w="1525"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6,3 %</w:t>
            </w:r>
          </w:p>
        </w:tc>
      </w:tr>
      <w:tr w:rsidR="00D602D4">
        <w:trPr>
          <w:trHeight w:val="172"/>
        </w:trPr>
        <w:tc>
          <w:tcPr>
            <w:tcW w:w="3567" w:type="dxa"/>
            <w:shd w:val="clear" w:color="FFFFFF" w:fill="FFFFFF"/>
            <w:vAlign w:val="center"/>
          </w:tcPr>
          <w:p w:rsidR="00D602D4" w:rsidRDefault="000B4C86">
            <w:pPr>
              <w:spacing w:after="0" w:line="240" w:lineRule="auto"/>
              <w:jc w:val="both"/>
              <w:rPr>
                <w:rFonts w:ascii="Times New Roman" w:hAnsi="Times New Roman" w:cstheme="minorHAnsi"/>
                <w:color w:val="000000"/>
                <w:sz w:val="20"/>
                <w:szCs w:val="20"/>
              </w:rPr>
            </w:pPr>
            <w:r>
              <w:rPr>
                <w:rFonts w:ascii="Times New Roman" w:eastAsia="Times New Roman" w:hAnsi="Times New Roman" w:cs="Times New Roman"/>
                <w:color w:val="000000"/>
                <w:sz w:val="20"/>
                <w:szCs w:val="20"/>
                <w:lang w:eastAsia="ru-RU"/>
              </w:rPr>
              <w:t xml:space="preserve">Число работников, удостоенных отраслевых наград </w:t>
            </w:r>
          </w:p>
        </w:tc>
        <w:tc>
          <w:tcPr>
            <w:tcW w:w="960" w:type="dxa"/>
            <w:shd w:val="clear" w:color="FFFFFF" w:fill="FFFFFF"/>
            <w:vAlign w:val="center"/>
          </w:tcPr>
          <w:p w:rsidR="00D602D4" w:rsidRDefault="000B4C86">
            <w:pPr>
              <w:spacing w:after="0" w:line="240" w:lineRule="auto"/>
              <w:rPr>
                <w:rFonts w:ascii="Times New Roman" w:hAnsi="Times New Roman" w:cstheme="minorHAnsi"/>
                <w:color w:val="000000"/>
                <w:sz w:val="20"/>
                <w:szCs w:val="20"/>
              </w:rPr>
            </w:pPr>
            <w:r>
              <w:rPr>
                <w:rFonts w:ascii="Times New Roman" w:eastAsia="Times New Roman" w:hAnsi="Times New Roman" w:cs="Times New Roman"/>
                <w:color w:val="000000"/>
                <w:sz w:val="20"/>
                <w:szCs w:val="20"/>
                <w:lang w:eastAsia="ru-RU"/>
              </w:rPr>
              <w:t>чел.</w:t>
            </w:r>
          </w:p>
        </w:tc>
        <w:tc>
          <w:tcPr>
            <w:tcW w:w="127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58</w:t>
            </w:r>
          </w:p>
        </w:tc>
        <w:tc>
          <w:tcPr>
            <w:tcW w:w="127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36</w:t>
            </w:r>
          </w:p>
        </w:tc>
        <w:tc>
          <w:tcPr>
            <w:tcW w:w="127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28</w:t>
            </w:r>
          </w:p>
        </w:tc>
        <w:tc>
          <w:tcPr>
            <w:tcW w:w="1525"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-28,6 %</w:t>
            </w:r>
          </w:p>
        </w:tc>
      </w:tr>
      <w:tr w:rsidR="00D602D4">
        <w:trPr>
          <w:trHeight w:val="172"/>
        </w:trPr>
        <w:tc>
          <w:tcPr>
            <w:tcW w:w="3567" w:type="dxa"/>
            <w:shd w:val="clear" w:color="FFFFFF" w:fill="FFFFFF"/>
            <w:vAlign w:val="center"/>
          </w:tcPr>
          <w:p w:rsidR="00D602D4" w:rsidRDefault="000B4C86">
            <w:pPr>
              <w:spacing w:after="0" w:line="240" w:lineRule="auto"/>
              <w:jc w:val="both"/>
              <w:rPr>
                <w:rFonts w:ascii="Times New Roman" w:hAnsi="Times New Roman" w:cstheme="minorHAnsi"/>
                <w:color w:val="000000"/>
                <w:sz w:val="20"/>
                <w:szCs w:val="20"/>
              </w:rPr>
            </w:pPr>
            <w:r>
              <w:rPr>
                <w:rFonts w:ascii="Times New Roman" w:eastAsia="Times New Roman" w:hAnsi="Times New Roman" w:cs="Times New Roman"/>
                <w:color w:val="000000"/>
                <w:sz w:val="20"/>
                <w:szCs w:val="20"/>
                <w:lang w:eastAsia="ru-RU"/>
              </w:rPr>
              <w:t>Число работников, удостоенных корпоративных наград</w:t>
            </w:r>
          </w:p>
        </w:tc>
        <w:tc>
          <w:tcPr>
            <w:tcW w:w="960" w:type="dxa"/>
            <w:shd w:val="clear" w:color="FFFFFF" w:fill="FFFFFF"/>
            <w:vAlign w:val="center"/>
          </w:tcPr>
          <w:p w:rsidR="00D602D4" w:rsidRDefault="000B4C86">
            <w:pPr>
              <w:spacing w:after="0" w:line="240" w:lineRule="auto"/>
              <w:rPr>
                <w:rFonts w:ascii="Times New Roman" w:hAnsi="Times New Roman" w:cstheme="minorHAnsi"/>
                <w:color w:val="000000"/>
                <w:sz w:val="20"/>
                <w:szCs w:val="20"/>
              </w:rPr>
            </w:pPr>
            <w:r>
              <w:rPr>
                <w:rFonts w:ascii="Times New Roman" w:eastAsia="Times New Roman" w:hAnsi="Times New Roman" w:cs="Times New Roman"/>
                <w:color w:val="000000"/>
                <w:sz w:val="20"/>
                <w:szCs w:val="20"/>
                <w:lang w:eastAsia="ru-RU"/>
              </w:rPr>
              <w:t>чел.</w:t>
            </w:r>
          </w:p>
        </w:tc>
        <w:tc>
          <w:tcPr>
            <w:tcW w:w="1274"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110</w:t>
            </w:r>
          </w:p>
        </w:tc>
        <w:tc>
          <w:tcPr>
            <w:tcW w:w="127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119</w:t>
            </w:r>
          </w:p>
        </w:tc>
        <w:tc>
          <w:tcPr>
            <w:tcW w:w="1276"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112</w:t>
            </w:r>
          </w:p>
        </w:tc>
        <w:tc>
          <w:tcPr>
            <w:tcW w:w="1525" w:type="dxa"/>
            <w:shd w:val="clear" w:color="FFFFFF" w:fill="FFFFFF"/>
            <w:vAlign w:val="center"/>
          </w:tcPr>
          <w:p w:rsidR="00D602D4" w:rsidRDefault="000B4C86">
            <w:pPr>
              <w:spacing w:after="0" w:line="240" w:lineRule="auto"/>
              <w:jc w:val="center"/>
              <w:rPr>
                <w:rFonts w:ascii="Times New Roman" w:hAnsi="Times New Roman" w:cstheme="minorHAnsi"/>
                <w:sz w:val="20"/>
                <w:szCs w:val="20"/>
              </w:rPr>
            </w:pPr>
            <w:r>
              <w:rPr>
                <w:rFonts w:ascii="Times New Roman" w:eastAsia="Times New Roman" w:hAnsi="Times New Roman" w:cs="Times New Roman"/>
                <w:color w:val="000000"/>
                <w:sz w:val="20"/>
                <w:szCs w:val="20"/>
              </w:rPr>
              <w:t>-6,3 %</w:t>
            </w:r>
          </w:p>
        </w:tc>
      </w:tr>
    </w:tbl>
    <w:p w:rsidR="00D602D4" w:rsidRDefault="00D602D4">
      <w:pPr>
        <w:pStyle w:val="220"/>
        <w:spacing w:after="0"/>
        <w:ind w:left="0" w:firstLine="709"/>
        <w:rPr>
          <w:sz w:val="24"/>
          <w:szCs w:val="24"/>
          <w:highlight w:val="cyan"/>
        </w:rPr>
      </w:pPr>
    </w:p>
    <w:p w:rsidR="00D602D4" w:rsidRDefault="00D602D4">
      <w:pPr>
        <w:spacing w:after="0" w:line="240" w:lineRule="auto"/>
        <w:ind w:firstLine="709"/>
        <w:jc w:val="both"/>
        <w:rPr>
          <w:rFonts w:ascii="Times New Roman" w:eastAsia="Calibri" w:hAnsi="Times New Roman" w:cs="Times New Roman"/>
          <w:b/>
          <w:bCs/>
          <w:color w:val="000000" w:themeColor="text1"/>
          <w:sz w:val="24"/>
          <w:szCs w:val="24"/>
        </w:rPr>
      </w:pPr>
    </w:p>
    <w:p w:rsidR="00D602D4" w:rsidRDefault="000B4C86">
      <w:pPr>
        <w:spacing w:after="0" w:line="240" w:lineRule="auto"/>
        <w:ind w:firstLine="709"/>
        <w:jc w:val="both"/>
        <w:rPr>
          <w:rFonts w:ascii="Times New Roman" w:eastAsia="Calibri" w:hAnsi="Times New Roman" w:cs="Times New Roman"/>
          <w:b/>
          <w:bCs/>
          <w:color w:val="000000" w:themeColor="text1"/>
          <w:sz w:val="24"/>
          <w:szCs w:val="24"/>
        </w:rPr>
      </w:pPr>
      <w:r>
        <w:rPr>
          <w:rFonts w:ascii="Times New Roman" w:eastAsia="Calibri" w:hAnsi="Times New Roman" w:cs="Times New Roman"/>
          <w:b/>
          <w:color w:val="000000" w:themeColor="text1"/>
          <w:sz w:val="24"/>
          <w:szCs w:val="24"/>
        </w:rPr>
        <w:t>4.3.5 Перспективное кадровое обеспечение и молодежная политика</w:t>
      </w:r>
    </w:p>
    <w:p w:rsidR="00D602D4" w:rsidRDefault="000B4C86">
      <w:pPr>
        <w:keepNext/>
        <w:spacing w:after="0" w:line="240" w:lineRule="auto"/>
        <w:ind w:left="567" w:hanging="567"/>
        <w:outlineLvl w:val="1"/>
        <w:rPr>
          <w:rFonts w:ascii="Times New Roman" w:eastAsia="Times New Roman" w:hAnsi="Times New Roman" w:cs="Times New Roman"/>
          <w:b/>
          <w:sz w:val="24"/>
          <w:szCs w:val="24"/>
          <w:lang w:eastAsia="ru-RU"/>
        </w:rPr>
      </w:pPr>
      <w:bookmarkStart w:id="65" w:name="_Toc98"/>
      <w:r>
        <w:rPr>
          <w:rFonts w:ascii="Times New Roman" w:eastAsia="Times New Roman" w:hAnsi="Times New Roman" w:cs="Times New Roman"/>
          <w:b/>
          <w:sz w:val="24"/>
          <w:szCs w:val="24"/>
          <w:lang w:eastAsia="ru-RU"/>
        </w:rPr>
        <w:t>Обучение и развитие персонала</w:t>
      </w:r>
      <w:bookmarkEnd w:id="65"/>
    </w:p>
    <w:p w:rsidR="00D602D4" w:rsidRDefault="000B4C86">
      <w:pPr>
        <w:tabs>
          <w:tab w:val="left" w:pos="0"/>
        </w:tabs>
        <w:spacing w:after="0" w:line="240" w:lineRule="auto"/>
        <w:ind w:firstLine="709"/>
        <w:jc w:val="both"/>
        <w:rPr>
          <w:rFonts w:ascii="Times New Roman" w:hAnsi="Times New Roman" w:cs="Times New Roman"/>
          <w:sz w:val="24"/>
        </w:rPr>
      </w:pPr>
      <w:r>
        <w:rPr>
          <w:rFonts w:ascii="Times New Roman" w:hAnsi="Times New Roman" w:cs="Times New Roman"/>
          <w:sz w:val="24"/>
        </w:rPr>
        <w:t>Обучение персонала относится к числу приоритетных направлений кадровой Обучение персонала относится к числу приоритетных направлений кадровой политики Общества и регламентируется положениями Кадровой и социальной политики ПАО «Россети Сибирь», требованиями Правил работы с персоналом в организациях электроэнергетики Российской Федерации и Стандартом ПАО «Россети Сибирь» СО 5.053 «Подготовка, переподготовка и повышение квалификации персонала», являющимися основными нормативными документами в данном направлении.</w:t>
      </w:r>
    </w:p>
    <w:p w:rsidR="00D602D4" w:rsidRDefault="000B4C86">
      <w:pPr>
        <w:tabs>
          <w:tab w:val="left" w:pos="0"/>
        </w:tabs>
        <w:spacing w:after="0" w:line="240" w:lineRule="auto"/>
        <w:ind w:firstLine="709"/>
        <w:jc w:val="both"/>
        <w:rPr>
          <w:rFonts w:ascii="Times New Roman" w:hAnsi="Times New Roman" w:cs="Times New Roman"/>
          <w:sz w:val="24"/>
          <w:highlight w:val="white"/>
        </w:rPr>
      </w:pPr>
      <w:r>
        <w:rPr>
          <w:rFonts w:ascii="Times New Roman" w:hAnsi="Times New Roman" w:cs="Times New Roman"/>
          <w:sz w:val="24"/>
          <w:highlight w:val="white"/>
        </w:rPr>
        <w:t>В 2024 году в организовано 39 508 человеко-курсов, что составляет 218 % к среднесписочной численности персонала, и что на 2% ниже, чем в 2023 году (41 150 человеко-курсов). Данные значения соответствуют ключевому показателю Кадровой и социальной политики ПАО «Россети Сибирь» (30% ежегодно). Наибольшую долю среди обученных с отрывом от работы занимает производственный персонал – 85,3% (33 708 человеко-курсов, в том числе вспомогательный персонал – 46 человеко-курсов).</w:t>
      </w:r>
      <w:r>
        <w:rPr>
          <w:highlight w:val="white"/>
        </w:rPr>
        <w:t xml:space="preserve"> </w:t>
      </w:r>
      <w:r>
        <w:rPr>
          <w:rFonts w:ascii="Times New Roman" w:hAnsi="Times New Roman" w:cs="Times New Roman"/>
          <w:sz w:val="24"/>
          <w:highlight w:val="white"/>
        </w:rPr>
        <w:t>Структура персонала, прошедшего обучение, в разрезе категорий: административно – управленческий (АУП), производственный (ПП) и вспомогательный персонал (ВП), представлена ниже.</w:t>
      </w:r>
    </w:p>
    <w:p w:rsidR="00D602D4" w:rsidRDefault="00D602D4">
      <w:pPr>
        <w:tabs>
          <w:tab w:val="left" w:pos="0"/>
        </w:tabs>
        <w:spacing w:after="0" w:line="240" w:lineRule="auto"/>
        <w:jc w:val="both"/>
        <w:rPr>
          <w:b/>
          <w:i/>
          <w:color w:val="000000"/>
          <w:sz w:val="24"/>
          <w:szCs w:val="20"/>
          <w:highlight w:val="white"/>
        </w:rPr>
      </w:pPr>
    </w:p>
    <w:p w:rsidR="00D602D4" w:rsidRDefault="000B4C86">
      <w:pPr>
        <w:tabs>
          <w:tab w:val="left" w:pos="1080"/>
          <w:tab w:val="left" w:pos="1320"/>
        </w:tabs>
        <w:spacing w:after="0" w:line="240" w:lineRule="auto"/>
        <w:jc w:val="center"/>
        <w:rPr>
          <w:sz w:val="24"/>
          <w:highlight w:val="yellow"/>
        </w:rPr>
      </w:pPr>
      <w:r>
        <w:rPr>
          <w:noProof/>
          <w:highlight w:val="white"/>
          <w:lang w:eastAsia="ru-RU"/>
        </w:rPr>
        <w:drawing>
          <wp:inline distT="0" distB="0" distL="0" distR="0">
            <wp:extent cx="4870745" cy="2032000"/>
            <wp:effectExtent l="3175" t="3175" r="3175" b="3175"/>
            <wp:docPr id="47"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D602D4" w:rsidRDefault="000B4C86">
      <w:pPr>
        <w:tabs>
          <w:tab w:val="left" w:pos="0"/>
        </w:tabs>
        <w:spacing w:after="0" w:line="240" w:lineRule="auto"/>
        <w:ind w:firstLine="709"/>
        <w:jc w:val="both"/>
        <w:rPr>
          <w:rFonts w:ascii="Times New Roman" w:hAnsi="Times New Roman" w:cs="Times New Roman"/>
          <w:sz w:val="24"/>
          <w:highlight w:val="white"/>
        </w:rPr>
      </w:pPr>
      <w:r>
        <w:rPr>
          <w:rFonts w:ascii="Times New Roman" w:eastAsia="Times New Roman" w:hAnsi="Times New Roman" w:cs="Times New Roman"/>
          <w:color w:val="000000"/>
          <w:sz w:val="24"/>
          <w:szCs w:val="20"/>
          <w:highlight w:val="white"/>
        </w:rPr>
        <w:t>Рис. 28. Структура персонала, принявшего участие в обучающих мероприятиях с отрывом от работы по категориям, %.</w:t>
      </w:r>
    </w:p>
    <w:p w:rsidR="00D602D4" w:rsidRDefault="000B4C86">
      <w:pPr>
        <w:tabs>
          <w:tab w:val="left" w:pos="0"/>
        </w:tabs>
        <w:spacing w:after="0" w:line="240" w:lineRule="auto"/>
        <w:ind w:firstLine="709"/>
        <w:jc w:val="both"/>
        <w:rPr>
          <w:rFonts w:ascii="Times New Roman" w:hAnsi="Times New Roman" w:cs="Times New Roman"/>
          <w:sz w:val="24"/>
          <w:highlight w:val="white"/>
        </w:rPr>
      </w:pPr>
      <w:r>
        <w:rPr>
          <w:rFonts w:ascii="Times New Roman" w:hAnsi="Times New Roman" w:cs="Times New Roman"/>
          <w:sz w:val="24"/>
          <w:highlight w:val="white"/>
        </w:rPr>
        <w:lastRenderedPageBreak/>
        <w:t xml:space="preserve">Сибирский корпоративный энергетический учебный центр - частное учреждение дополнительного профессионального образования (далее - СибКЭУЦ (ЧУ ДПО), имеющее подразделения в городах Барнаул, Красноярск, Кемерово, Омск, Саяногорск, Улан-Удэ, Чита, Томск, Новосибирск и являющееся ключевым поставщиком образовательных услуг Обществу. </w:t>
      </w:r>
    </w:p>
    <w:p w:rsidR="00D602D4" w:rsidRDefault="000B4C86">
      <w:pPr>
        <w:widowControl w:val="0"/>
        <w:spacing w:after="0" w:line="240" w:lineRule="auto"/>
        <w:ind w:firstLine="709"/>
        <w:jc w:val="both"/>
        <w:rPr>
          <w:rFonts w:ascii="Times New Roman" w:eastAsia="Calibri" w:hAnsi="Times New Roman" w:cs="Times New Roman"/>
          <w:sz w:val="24"/>
          <w:highlight w:val="white"/>
        </w:rPr>
      </w:pPr>
      <w:r>
        <w:rPr>
          <w:rFonts w:ascii="Times New Roman" w:eastAsia="Calibri" w:hAnsi="Times New Roman" w:cs="Times New Roman"/>
          <w:sz w:val="24"/>
          <w:highlight w:val="white"/>
        </w:rPr>
        <w:t>Подготовку персонала в корпоративном учебном центре отличает ряд преимуществ:</w:t>
      </w:r>
    </w:p>
    <w:p w:rsidR="00D602D4" w:rsidRDefault="000B4C86">
      <w:pPr>
        <w:widowControl w:val="0"/>
        <w:numPr>
          <w:ilvl w:val="0"/>
          <w:numId w:val="73"/>
        </w:numPr>
        <w:tabs>
          <w:tab w:val="left" w:pos="993"/>
        </w:tabs>
        <w:spacing w:after="0" w:line="240" w:lineRule="auto"/>
        <w:ind w:left="0" w:firstLine="709"/>
        <w:jc w:val="both"/>
        <w:rPr>
          <w:rFonts w:ascii="Times New Roman" w:eastAsia="Calibri" w:hAnsi="Times New Roman" w:cs="Times New Roman"/>
          <w:sz w:val="24"/>
          <w:highlight w:val="white"/>
        </w:rPr>
      </w:pPr>
      <w:r>
        <w:rPr>
          <w:rFonts w:ascii="Times New Roman" w:eastAsia="Calibri" w:hAnsi="Times New Roman" w:cs="Times New Roman"/>
          <w:sz w:val="24"/>
          <w:highlight w:val="white"/>
        </w:rPr>
        <w:t>организация единых стандартов и форм обучения;</w:t>
      </w:r>
    </w:p>
    <w:p w:rsidR="00D602D4" w:rsidRDefault="000B4C86">
      <w:pPr>
        <w:widowControl w:val="0"/>
        <w:numPr>
          <w:ilvl w:val="0"/>
          <w:numId w:val="73"/>
        </w:numPr>
        <w:tabs>
          <w:tab w:val="left" w:pos="993"/>
        </w:tabs>
        <w:spacing w:after="0" w:line="240" w:lineRule="auto"/>
        <w:ind w:left="0" w:firstLine="709"/>
        <w:jc w:val="both"/>
        <w:rPr>
          <w:rFonts w:ascii="Times New Roman" w:eastAsia="Calibri" w:hAnsi="Times New Roman" w:cs="Times New Roman"/>
          <w:sz w:val="24"/>
          <w:highlight w:val="white"/>
        </w:rPr>
      </w:pPr>
      <w:r>
        <w:rPr>
          <w:rFonts w:ascii="Times New Roman" w:eastAsia="Calibri" w:hAnsi="Times New Roman" w:cs="Times New Roman"/>
          <w:sz w:val="24"/>
          <w:highlight w:val="white"/>
        </w:rPr>
        <w:t>формирование принципов обучения, связанных со стратегическими планами Общества;</w:t>
      </w:r>
    </w:p>
    <w:p w:rsidR="00D602D4" w:rsidRDefault="000B4C86">
      <w:pPr>
        <w:widowControl w:val="0"/>
        <w:numPr>
          <w:ilvl w:val="0"/>
          <w:numId w:val="73"/>
        </w:numPr>
        <w:tabs>
          <w:tab w:val="left" w:pos="993"/>
        </w:tabs>
        <w:spacing w:after="0" w:line="240" w:lineRule="auto"/>
        <w:ind w:left="0" w:firstLine="709"/>
        <w:jc w:val="both"/>
        <w:rPr>
          <w:rFonts w:ascii="Times New Roman" w:eastAsia="Calibri" w:hAnsi="Times New Roman" w:cs="Times New Roman"/>
          <w:sz w:val="24"/>
          <w:highlight w:val="white"/>
        </w:rPr>
      </w:pPr>
      <w:r>
        <w:rPr>
          <w:rFonts w:ascii="Times New Roman" w:eastAsia="Calibri" w:hAnsi="Times New Roman" w:cs="Times New Roman"/>
          <w:sz w:val="24"/>
          <w:highlight w:val="white"/>
        </w:rPr>
        <w:t>квалификация персонала, прошедшего обучение максимально приближена к потребностям компании;</w:t>
      </w:r>
    </w:p>
    <w:p w:rsidR="00D602D4" w:rsidRDefault="000B4C86">
      <w:pPr>
        <w:widowControl w:val="0"/>
        <w:numPr>
          <w:ilvl w:val="0"/>
          <w:numId w:val="73"/>
        </w:numPr>
        <w:tabs>
          <w:tab w:val="left" w:pos="993"/>
        </w:tabs>
        <w:spacing w:after="0" w:line="240" w:lineRule="auto"/>
        <w:ind w:left="0" w:firstLine="709"/>
        <w:jc w:val="both"/>
        <w:rPr>
          <w:rFonts w:ascii="Times New Roman" w:eastAsia="Calibri" w:hAnsi="Times New Roman" w:cs="Times New Roman"/>
          <w:sz w:val="24"/>
          <w:highlight w:val="white"/>
        </w:rPr>
      </w:pPr>
      <w:r>
        <w:rPr>
          <w:rFonts w:ascii="Times New Roman" w:eastAsia="Calibri" w:hAnsi="Times New Roman" w:cs="Times New Roman"/>
          <w:sz w:val="24"/>
          <w:highlight w:val="white"/>
        </w:rPr>
        <w:t>оперативное реагирование и перестройка учебного процесса;</w:t>
      </w:r>
    </w:p>
    <w:p w:rsidR="00D602D4" w:rsidRDefault="000B4C86">
      <w:pPr>
        <w:widowControl w:val="0"/>
        <w:numPr>
          <w:ilvl w:val="0"/>
          <w:numId w:val="73"/>
        </w:numPr>
        <w:tabs>
          <w:tab w:val="left" w:pos="993"/>
        </w:tabs>
        <w:spacing w:after="0" w:line="240" w:lineRule="auto"/>
        <w:ind w:left="0" w:firstLine="709"/>
        <w:jc w:val="both"/>
        <w:rPr>
          <w:rFonts w:ascii="Times New Roman" w:eastAsia="Calibri" w:hAnsi="Times New Roman" w:cs="Times New Roman"/>
          <w:sz w:val="24"/>
          <w:highlight w:val="white"/>
        </w:rPr>
      </w:pPr>
      <w:r>
        <w:rPr>
          <w:rFonts w:ascii="Times New Roman" w:eastAsia="Calibri" w:hAnsi="Times New Roman" w:cs="Times New Roman"/>
          <w:sz w:val="24"/>
          <w:highlight w:val="white"/>
        </w:rPr>
        <w:t>использование учебно-тренировочных полигонов компании;</w:t>
      </w:r>
    </w:p>
    <w:p w:rsidR="00D602D4" w:rsidRDefault="000B4C86">
      <w:pPr>
        <w:widowControl w:val="0"/>
        <w:numPr>
          <w:ilvl w:val="0"/>
          <w:numId w:val="73"/>
        </w:numPr>
        <w:tabs>
          <w:tab w:val="left" w:pos="993"/>
        </w:tabs>
        <w:spacing w:after="0" w:line="240" w:lineRule="auto"/>
        <w:ind w:left="0" w:firstLine="709"/>
        <w:jc w:val="both"/>
        <w:rPr>
          <w:rFonts w:ascii="Times New Roman" w:hAnsi="Times New Roman" w:cs="Times New Roman"/>
          <w:bCs/>
          <w:sz w:val="24"/>
          <w:highlight w:val="white"/>
        </w:rPr>
      </w:pPr>
      <w:r>
        <w:rPr>
          <w:rFonts w:ascii="Times New Roman" w:eastAsia="Calibri" w:hAnsi="Times New Roman" w:cs="Times New Roman"/>
          <w:sz w:val="24"/>
          <w:highlight w:val="white"/>
        </w:rPr>
        <w:t>снижение затрат.</w:t>
      </w:r>
    </w:p>
    <w:p w:rsidR="00D602D4" w:rsidRDefault="000B4C86">
      <w:pPr>
        <w:widowControl w:val="0"/>
        <w:spacing w:after="0" w:line="240" w:lineRule="auto"/>
        <w:ind w:firstLine="709"/>
        <w:jc w:val="both"/>
        <w:rPr>
          <w:rFonts w:ascii="Times New Roman" w:hAnsi="Times New Roman" w:cs="Times New Roman"/>
          <w:bCs/>
          <w:sz w:val="24"/>
          <w:highlight w:val="white"/>
        </w:rPr>
      </w:pPr>
      <w:r>
        <w:rPr>
          <w:rFonts w:ascii="Times New Roman" w:hAnsi="Times New Roman" w:cs="Times New Roman"/>
          <w:bCs/>
          <w:sz w:val="24"/>
          <w:highlight w:val="white"/>
        </w:rPr>
        <w:t>На базе СибКЭУЦ (ЧУ ДПО) в 2024 году прошли профессиональную подготовку, переподготовку и повышение квалификации 36 554 человеко-курсов. или 92,5% от общего числа обученных. Из них основную долю обученных составляет производственный персонал – 31 014 человеко-курсов (78%), что на 15% ниже показателя 2023 года (36 774 человеко-курсов).</w:t>
      </w:r>
    </w:p>
    <w:p w:rsidR="00D602D4" w:rsidRDefault="000B4C86">
      <w:pPr>
        <w:widowControl w:val="0"/>
        <w:spacing w:after="0" w:line="240" w:lineRule="auto"/>
        <w:ind w:firstLine="709"/>
        <w:jc w:val="both"/>
        <w:rPr>
          <w:rFonts w:ascii="Times New Roman" w:eastAsia="Times New Roman" w:hAnsi="Times New Roman" w:cs="Times New Roman"/>
          <w:sz w:val="24"/>
        </w:rPr>
      </w:pPr>
      <w:r>
        <w:rPr>
          <w:rFonts w:ascii="Times New Roman" w:eastAsia="Times New Roman" w:hAnsi="Times New Roman" w:cs="Times New Roman"/>
          <w:sz w:val="24"/>
          <w:highlight w:val="white"/>
        </w:rPr>
        <w:t>В целях своевременного обеспечения потребностей Общества к</w:t>
      </w:r>
      <w:r>
        <w:rPr>
          <w:rFonts w:ascii="Times New Roman" w:eastAsia="Times New Roman" w:hAnsi="Times New Roman" w:cs="Times New Roman"/>
          <w:sz w:val="24"/>
        </w:rPr>
        <w:t>валифицированными и результативными руководителями, создания условий для наиболее полного раскрытия трудового потенциала в исполнительном аппарате и филиалах ПАО «Россети Сибирь» на постоянной основе ведется работа по формированию и развитию кадровых резервов: управленческого кадрового резерва и кадрового резерва молодых специалистов.</w:t>
      </w:r>
    </w:p>
    <w:p w:rsidR="00D602D4" w:rsidRDefault="000B4C86">
      <w:pPr>
        <w:widowControl w:val="0"/>
        <w:spacing w:after="0" w:line="240" w:lineRule="auto"/>
        <w:ind w:firstLine="709"/>
        <w:jc w:val="both"/>
        <w:rPr>
          <w:rFonts w:ascii="Times New Roman" w:eastAsia="Times New Roman" w:hAnsi="Times New Roman" w:cs="Times New Roman"/>
          <w:sz w:val="24"/>
        </w:rPr>
      </w:pPr>
      <w:r>
        <w:rPr>
          <w:rFonts w:ascii="Times New Roman" w:eastAsia="Times New Roman" w:hAnsi="Times New Roman" w:cs="Times New Roman"/>
          <w:sz w:val="24"/>
        </w:rPr>
        <w:t>По состоянию на 31.12.2023 в управленческих кадровых резервах Общества состоят 1250 перспективных сотрудников исполнительного аппарата и филиалов. Численность кадровых резервов молодых специалистов в Обществе составляет 118 человек.</w:t>
      </w:r>
    </w:p>
    <w:p w:rsidR="00D602D4" w:rsidRDefault="000B4C86">
      <w:pPr>
        <w:widowControl w:val="0"/>
        <w:spacing w:after="0" w:line="240" w:lineRule="auto"/>
        <w:ind w:firstLine="709"/>
        <w:jc w:val="both"/>
        <w:rPr>
          <w:rFonts w:ascii="Times New Roman" w:eastAsia="Times New Roman" w:hAnsi="Times New Roman" w:cs="Times New Roman"/>
          <w:sz w:val="24"/>
        </w:rPr>
      </w:pPr>
      <w:r>
        <w:rPr>
          <w:rFonts w:ascii="Times New Roman" w:eastAsia="Times New Roman" w:hAnsi="Times New Roman" w:cs="Times New Roman"/>
          <w:sz w:val="24"/>
        </w:rPr>
        <w:t xml:space="preserve">Коэффициент обеспеченности управленческим кадровым резервом всех штатных должностей руководителей составил 88,7%, всего в отчетном периоде внутренними кандидатами укомплектовано 80,5% вакантных руководящих должностей, в том числе резервистами 29,9%. </w:t>
      </w:r>
    </w:p>
    <w:p w:rsidR="00D602D4" w:rsidRDefault="000B4C86">
      <w:pPr>
        <w:widowControl w:val="0"/>
        <w:spacing w:after="0" w:line="240" w:lineRule="auto"/>
        <w:ind w:firstLine="709"/>
        <w:jc w:val="both"/>
        <w:rPr>
          <w:rFonts w:ascii="Times New Roman" w:eastAsia="Times New Roman" w:hAnsi="Times New Roman" w:cs="Times New Roman"/>
          <w:sz w:val="24"/>
        </w:rPr>
      </w:pPr>
      <w:r>
        <w:rPr>
          <w:rFonts w:ascii="Times New Roman" w:eastAsia="Times New Roman" w:hAnsi="Times New Roman" w:cs="Times New Roman"/>
          <w:sz w:val="24"/>
        </w:rPr>
        <w:t xml:space="preserve">Подготовка кадрового резерва включает в себя обучение, развитие профессиональных и управленческих навыков, а также мотивацию резервистов в целях удержания их в организации. За членами кадровых резервов Общества закрепляются наставники из числа наиболее опытных и авторитетных работников, в обязанности которых входит оказание помощи резервистам в подготовке к целевой должности. </w:t>
      </w:r>
    </w:p>
    <w:p w:rsidR="00D602D4" w:rsidRDefault="000B4C86">
      <w:pPr>
        <w:widowControl w:val="0"/>
        <w:spacing w:after="0" w:line="240" w:lineRule="auto"/>
        <w:ind w:firstLine="709"/>
        <w:jc w:val="both"/>
        <w:rPr>
          <w:rFonts w:ascii="Times New Roman" w:eastAsiaTheme="minorEastAsia" w:hAnsi="Times New Roman" w:cs="Times New Roman"/>
          <w:sz w:val="24"/>
          <w:szCs w:val="24"/>
          <w:lang w:eastAsia="ru-RU"/>
        </w:rPr>
      </w:pPr>
      <w:r>
        <w:rPr>
          <w:rFonts w:ascii="Times New Roman" w:eastAsia="Times New Roman" w:hAnsi="Times New Roman" w:cs="Times New Roman"/>
          <w:sz w:val="24"/>
        </w:rPr>
        <w:t xml:space="preserve">В </w:t>
      </w:r>
      <w:r>
        <w:rPr>
          <w:rFonts w:ascii="Times New Roman" w:eastAsiaTheme="minorEastAsia" w:hAnsi="Times New Roman" w:cs="Times New Roman"/>
          <w:sz w:val="24"/>
          <w:szCs w:val="24"/>
          <w:lang w:eastAsia="ru-RU"/>
        </w:rPr>
        <w:t>ПАО «Россети Сибирь» реализуются программы развития кадрового резерва:</w:t>
      </w:r>
    </w:p>
    <w:p w:rsidR="00D602D4" w:rsidRDefault="000B4C86">
      <w:pPr>
        <w:numPr>
          <w:ilvl w:val="0"/>
          <w:numId w:val="74"/>
        </w:numPr>
        <w:tabs>
          <w:tab w:val="left" w:pos="567"/>
        </w:tabs>
        <w:spacing w:after="0" w:line="240" w:lineRule="auto"/>
        <w:ind w:left="0" w:firstLine="709"/>
        <w:contextualSpacing/>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«Кадровый резерв Мастерская лидерства», сквозной резерв высокопотенциальных руководителей функциональных направлений.</w:t>
      </w:r>
    </w:p>
    <w:p w:rsidR="00D602D4" w:rsidRDefault="000B4C86">
      <w:pPr>
        <w:numPr>
          <w:ilvl w:val="0"/>
          <w:numId w:val="74"/>
        </w:numPr>
        <w:tabs>
          <w:tab w:val="left" w:pos="567"/>
        </w:tabs>
        <w:spacing w:after="0" w:line="240" w:lineRule="auto"/>
        <w:ind w:left="0" w:firstLine="709"/>
        <w:contextualSpacing/>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«Школа технического руководителя 2.0», ориентированная</w:t>
      </w:r>
      <w:r>
        <w:rPr>
          <w:rFonts w:ascii="Times New Roman" w:eastAsiaTheme="minorEastAsia" w:hAnsi="Times New Roman" w:cs="Times New Roman"/>
          <w:bCs/>
          <w:sz w:val="24"/>
          <w:szCs w:val="24"/>
          <w:lang w:eastAsia="ru-RU"/>
        </w:rPr>
        <w:t xml:space="preserve"> на повышение эффективности текущего уровня управленческого мастерства начальников РЭС</w:t>
      </w:r>
    </w:p>
    <w:p w:rsidR="00D602D4" w:rsidRDefault="000B4C86">
      <w:pPr>
        <w:tabs>
          <w:tab w:val="left" w:pos="567"/>
        </w:tabs>
        <w:spacing w:after="0" w:line="240" w:lineRule="auto"/>
        <w:ind w:firstLine="709"/>
        <w:contextualSpacing/>
        <w:jc w:val="both"/>
        <w:rPr>
          <w:rFonts w:ascii="Times New Roman" w:eastAsia="Times New Roman" w:hAnsi="Times New Roman" w:cs="Times New Roman"/>
          <w:sz w:val="24"/>
        </w:rPr>
      </w:pPr>
      <w:r>
        <w:rPr>
          <w:rFonts w:ascii="Times New Roman" w:eastAsia="Times New Roman" w:hAnsi="Times New Roman" w:cs="Times New Roman"/>
          <w:sz w:val="24"/>
        </w:rPr>
        <w:t>Программы развития кадрового резерва ПАО «Россети Сибирь» направлены на формирование эффективной системы подготовки кадрового резерва, обладающего необходимыми компетенциями для достижения стратегии компании.</w:t>
      </w:r>
    </w:p>
    <w:p w:rsidR="00D602D4" w:rsidRDefault="000B4C86">
      <w:pPr>
        <w:spacing w:after="0" w:line="240" w:lineRule="auto"/>
        <w:ind w:firstLine="709"/>
        <w:jc w:val="both"/>
        <w:rPr>
          <w:rFonts w:ascii="Times New Roman" w:eastAsia="Times New Roman" w:hAnsi="Times New Roman" w:cs="Times New Roman"/>
          <w:sz w:val="24"/>
        </w:rPr>
      </w:pPr>
      <w:r>
        <w:rPr>
          <w:rFonts w:ascii="Times New Roman" w:eastAsia="Times New Roman" w:hAnsi="Times New Roman" w:cs="Times New Roman"/>
          <w:sz w:val="24"/>
        </w:rPr>
        <w:t>Подход к разработке концепции развития кадрового резерва учитывал ряд принципов:</w:t>
      </w:r>
    </w:p>
    <w:p w:rsidR="00D602D4" w:rsidRDefault="000B4C86">
      <w:pPr>
        <w:numPr>
          <w:ilvl w:val="0"/>
          <w:numId w:val="75"/>
        </w:numPr>
        <w:tabs>
          <w:tab w:val="left" w:pos="360"/>
          <w:tab w:val="left" w:pos="993"/>
        </w:tabs>
        <w:spacing w:after="0" w:line="240" w:lineRule="auto"/>
        <w:ind w:left="0" w:firstLine="709"/>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Индивидуальный подход: обучение резервистов реализуется на основе индивидуальных планов развития и модульного построения программы подготовки;</w:t>
      </w:r>
    </w:p>
    <w:p w:rsidR="00D602D4" w:rsidRDefault="000B4C86">
      <w:pPr>
        <w:numPr>
          <w:ilvl w:val="0"/>
          <w:numId w:val="75"/>
        </w:numPr>
        <w:tabs>
          <w:tab w:val="left" w:pos="360"/>
          <w:tab w:val="left" w:pos="993"/>
        </w:tabs>
        <w:spacing w:after="0" w:line="240" w:lineRule="auto"/>
        <w:ind w:left="0" w:firstLine="709"/>
        <w:jc w:val="both"/>
        <w:rPr>
          <w:rFonts w:ascii="Times New Roman" w:eastAsia="Times New Roman" w:hAnsi="Times New Roman" w:cs="Times New Roman"/>
          <w:sz w:val="24"/>
        </w:rPr>
      </w:pPr>
      <w:r>
        <w:rPr>
          <w:rFonts w:ascii="Times New Roman" w:eastAsia="Times New Roman" w:hAnsi="Times New Roman" w:cs="Times New Roman"/>
          <w:sz w:val="24"/>
        </w:rPr>
        <w:t>Ориентация на практическую деятельность: в программу развития включена работа над реальным проектом, а также временное исполнение обязанностей по вышестоящей должности и стажировки.</w:t>
      </w:r>
    </w:p>
    <w:p w:rsidR="00D602D4" w:rsidRDefault="000B4C86">
      <w:pPr>
        <w:numPr>
          <w:ilvl w:val="0"/>
          <w:numId w:val="75"/>
        </w:numPr>
        <w:tabs>
          <w:tab w:val="left" w:pos="360"/>
          <w:tab w:val="left" w:pos="993"/>
        </w:tabs>
        <w:spacing w:after="0" w:line="240" w:lineRule="auto"/>
        <w:ind w:left="0" w:firstLine="709"/>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Ответственность сотрудника, включенного в резерв за результат подготовки: обучение, реализуется как в очном формате, так и в форме самоподготовки, что требует от участников дисциплинированности, нацеленности на результат и заинтересованности в карьерном росте.</w:t>
      </w:r>
    </w:p>
    <w:p w:rsidR="00D602D4" w:rsidRDefault="000B4C86">
      <w:pPr>
        <w:numPr>
          <w:ilvl w:val="0"/>
          <w:numId w:val="75"/>
        </w:numPr>
        <w:tabs>
          <w:tab w:val="left" w:pos="360"/>
          <w:tab w:val="left" w:pos="993"/>
        </w:tabs>
        <w:spacing w:after="0" w:line="240" w:lineRule="auto"/>
        <w:ind w:left="0" w:firstLine="709"/>
        <w:jc w:val="both"/>
        <w:rPr>
          <w:rFonts w:ascii="Times New Roman" w:eastAsia="Times New Roman" w:hAnsi="Times New Roman" w:cs="Times New Roman"/>
          <w:sz w:val="24"/>
        </w:rPr>
      </w:pPr>
      <w:r>
        <w:rPr>
          <w:rFonts w:ascii="Times New Roman" w:eastAsia="Times New Roman" w:hAnsi="Times New Roman" w:cs="Times New Roman"/>
          <w:sz w:val="24"/>
        </w:rPr>
        <w:t>Формирование резерва на основе комплексной оценки и личного желания кандидата.</w:t>
      </w:r>
    </w:p>
    <w:p w:rsidR="00D602D4" w:rsidRDefault="000B4C86">
      <w:pPr>
        <w:spacing w:after="0" w:line="240" w:lineRule="auto"/>
        <w:ind w:firstLine="709"/>
        <w:jc w:val="both"/>
        <w:rPr>
          <w:rFonts w:ascii="Times New Roman" w:eastAsia="Times New Roman" w:hAnsi="Times New Roman" w:cs="Times New Roman"/>
          <w:sz w:val="24"/>
        </w:rPr>
      </w:pPr>
      <w:r>
        <w:rPr>
          <w:rFonts w:ascii="Times New Roman" w:eastAsia="Times New Roman" w:hAnsi="Times New Roman" w:cs="Times New Roman"/>
          <w:sz w:val="24"/>
        </w:rPr>
        <w:t xml:space="preserve">Программа «Кадровый резерв Мастерская лидерства» включает в себя 7 модулей и направлена на развитие управленческих (перспективное мышление, лидерство, готовность к изменениям) и сквозных компетенций (финансовая грамотность и финансово-экономическая аналитика). Данная программа предусматривает возможности для развития высокопотенциальных сотрудников, которые формируются в пул по итогам оценки компетенций и потенциала. </w:t>
      </w:r>
    </w:p>
    <w:p w:rsidR="00D602D4" w:rsidRDefault="000B4C86">
      <w:pPr>
        <w:tabs>
          <w:tab w:val="left" w:pos="567"/>
        </w:tabs>
        <w:spacing w:after="0" w:line="240" w:lineRule="auto"/>
        <w:ind w:firstLine="709"/>
        <w:contextualSpacing/>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В 2024 году прошли 4 модуля данной программы, по которой обучилось 40 резервистов.</w:t>
      </w:r>
    </w:p>
    <w:p w:rsidR="00D602D4" w:rsidRDefault="000B4C86">
      <w:pPr>
        <w:tabs>
          <w:tab w:val="left" w:pos="567"/>
        </w:tabs>
        <w:spacing w:after="0" w:line="240" w:lineRule="auto"/>
        <w:ind w:firstLine="709"/>
        <w:contextualSpacing/>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Программа «Школа технического руководителя 2.0» включает в себя 4 модуля и направлена на развитие управленческих, цифровых, профессиональных и сквозных компетенций. Кроме того, в рамках данной программы разработан специальный курс для наставников, который включает темы: особенности обучения взрослых, мотивация сотрудников, развивающая обратная связь, инструменты коучинга в наставничестве (в объеме 24 часов).</w:t>
      </w:r>
    </w:p>
    <w:p w:rsidR="00D602D4" w:rsidRDefault="000B4C86">
      <w:pPr>
        <w:tabs>
          <w:tab w:val="left" w:pos="567"/>
        </w:tabs>
        <w:spacing w:after="0" w:line="240" w:lineRule="auto"/>
        <w:ind w:firstLine="709"/>
        <w:contextualSpacing/>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В 2024 году обучение по программе «Школа технического руководителя 2.0» прошли 36 начальников РЭС.</w:t>
      </w:r>
    </w:p>
    <w:p w:rsidR="00D602D4" w:rsidRDefault="000B4C86">
      <w:pPr>
        <w:tabs>
          <w:tab w:val="left" w:pos="567"/>
        </w:tabs>
        <w:spacing w:after="0" w:line="240" w:lineRule="auto"/>
        <w:ind w:firstLine="709"/>
        <w:contextualSpacing/>
        <w:jc w:val="right"/>
        <w:rPr>
          <w:rFonts w:ascii="Times New Roman" w:eastAsiaTheme="minorEastAsia" w:hAnsi="Times New Roman" w:cs="Times New Roman"/>
          <w:sz w:val="24"/>
          <w:szCs w:val="24"/>
          <w:highlight w:val="white"/>
        </w:rPr>
      </w:pPr>
      <w:r>
        <w:rPr>
          <w:rFonts w:ascii="Times New Roman" w:eastAsiaTheme="minorEastAsia" w:hAnsi="Times New Roman" w:cs="Times New Roman"/>
          <w:sz w:val="24"/>
          <w:szCs w:val="24"/>
          <w:highlight w:val="white"/>
          <w:lang w:eastAsia="ru-RU"/>
        </w:rPr>
        <w:t>Таблица 47</w:t>
      </w:r>
    </w:p>
    <w:tbl>
      <w:tblPr>
        <w:tblW w:w="96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62"/>
        <w:gridCol w:w="1473"/>
        <w:gridCol w:w="1184"/>
        <w:gridCol w:w="1316"/>
        <w:gridCol w:w="1316"/>
        <w:gridCol w:w="1345"/>
      </w:tblGrid>
      <w:tr w:rsidR="00D602D4">
        <w:trPr>
          <w:trHeight w:val="170"/>
        </w:trPr>
        <w:tc>
          <w:tcPr>
            <w:tcW w:w="3062" w:type="dxa"/>
            <w:vMerge w:val="restart"/>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Показатели</w:t>
            </w:r>
          </w:p>
        </w:tc>
        <w:tc>
          <w:tcPr>
            <w:tcW w:w="1473" w:type="dxa"/>
            <w:vMerge w:val="restart"/>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Ед.изм.</w:t>
            </w:r>
          </w:p>
        </w:tc>
        <w:tc>
          <w:tcPr>
            <w:tcW w:w="5161" w:type="dxa"/>
            <w:gridSpan w:val="4"/>
            <w:shd w:val="clear" w:color="FFFFFF" w:fill="FFFFFF"/>
            <w:noWrap/>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Период</w:t>
            </w:r>
          </w:p>
        </w:tc>
      </w:tr>
      <w:tr w:rsidR="00D602D4">
        <w:trPr>
          <w:trHeight w:val="230"/>
        </w:trPr>
        <w:tc>
          <w:tcPr>
            <w:tcW w:w="3062" w:type="dxa"/>
            <w:vMerge/>
            <w:vAlign w:val="center"/>
          </w:tcPr>
          <w:p w:rsidR="00D602D4" w:rsidRDefault="00D602D4">
            <w:pPr>
              <w:spacing w:after="0" w:line="240" w:lineRule="auto"/>
              <w:rPr>
                <w:rFonts w:ascii="Times New Roman" w:eastAsia="Times New Roman" w:hAnsi="Times New Roman" w:cs="Times New Roman"/>
                <w:bCs/>
                <w:color w:val="000000"/>
                <w:sz w:val="20"/>
                <w:szCs w:val="20"/>
                <w:highlight w:val="yellow"/>
                <w:lang w:eastAsia="ru-RU"/>
              </w:rPr>
            </w:pPr>
          </w:p>
        </w:tc>
        <w:tc>
          <w:tcPr>
            <w:tcW w:w="1473" w:type="dxa"/>
            <w:vMerge/>
            <w:vAlign w:val="center"/>
          </w:tcPr>
          <w:p w:rsidR="00D602D4" w:rsidRDefault="00D602D4">
            <w:pPr>
              <w:spacing w:after="0" w:line="240" w:lineRule="auto"/>
              <w:rPr>
                <w:rFonts w:ascii="Times New Roman" w:eastAsia="Times New Roman" w:hAnsi="Times New Roman" w:cs="Times New Roman"/>
                <w:bCs/>
                <w:color w:val="000000"/>
                <w:sz w:val="20"/>
                <w:szCs w:val="20"/>
                <w:highlight w:val="yellow"/>
                <w:lang w:eastAsia="ru-RU"/>
              </w:rPr>
            </w:pP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2022 год</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2023 год</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2024 год</w:t>
            </w:r>
          </w:p>
        </w:tc>
        <w:tc>
          <w:tcPr>
            <w:tcW w:w="1345" w:type="dxa"/>
            <w:vMerge w:val="restart"/>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изменение 2024/2023, %</w:t>
            </w:r>
          </w:p>
        </w:tc>
      </w:tr>
      <w:tr w:rsidR="00D602D4">
        <w:trPr>
          <w:trHeight w:val="170"/>
        </w:trPr>
        <w:tc>
          <w:tcPr>
            <w:tcW w:w="3062" w:type="dxa"/>
            <w:vMerge/>
            <w:vAlign w:val="center"/>
          </w:tcPr>
          <w:p w:rsidR="00D602D4" w:rsidRDefault="00D602D4">
            <w:pPr>
              <w:spacing w:after="0" w:line="240" w:lineRule="auto"/>
              <w:rPr>
                <w:rFonts w:ascii="Times New Roman" w:eastAsia="Times New Roman" w:hAnsi="Times New Roman" w:cs="Times New Roman"/>
                <w:bCs/>
                <w:color w:val="000000"/>
                <w:sz w:val="20"/>
                <w:szCs w:val="20"/>
                <w:highlight w:val="yellow"/>
                <w:lang w:eastAsia="ru-RU"/>
              </w:rPr>
            </w:pPr>
          </w:p>
        </w:tc>
        <w:tc>
          <w:tcPr>
            <w:tcW w:w="1473" w:type="dxa"/>
            <w:vMerge/>
            <w:vAlign w:val="center"/>
          </w:tcPr>
          <w:p w:rsidR="00D602D4" w:rsidRDefault="00D602D4">
            <w:pPr>
              <w:spacing w:after="0" w:line="240" w:lineRule="auto"/>
              <w:rPr>
                <w:rFonts w:ascii="Times New Roman" w:eastAsia="Times New Roman" w:hAnsi="Times New Roman" w:cs="Times New Roman"/>
                <w:bCs/>
                <w:color w:val="000000"/>
                <w:sz w:val="20"/>
                <w:szCs w:val="20"/>
                <w:highlight w:val="yellow"/>
                <w:lang w:eastAsia="ru-RU"/>
              </w:rPr>
            </w:pP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факт</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факт</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факт</w:t>
            </w:r>
          </w:p>
        </w:tc>
        <w:tc>
          <w:tcPr>
            <w:tcW w:w="1345" w:type="dxa"/>
            <w:vMerge/>
            <w:vAlign w:val="center"/>
          </w:tcPr>
          <w:p w:rsidR="00D602D4" w:rsidRDefault="00D602D4">
            <w:pPr>
              <w:spacing w:after="0" w:line="240" w:lineRule="auto"/>
              <w:rPr>
                <w:rFonts w:ascii="Times New Roman" w:eastAsia="Times New Roman" w:hAnsi="Times New Roman" w:cs="Times New Roman"/>
                <w:color w:val="000000"/>
                <w:sz w:val="20"/>
                <w:szCs w:val="20"/>
                <w:highlight w:val="yellow"/>
                <w:lang w:eastAsia="ru-RU"/>
              </w:rPr>
            </w:pPr>
          </w:p>
        </w:tc>
      </w:tr>
      <w:tr w:rsidR="00D602D4">
        <w:trPr>
          <w:trHeight w:val="170"/>
        </w:trPr>
        <w:tc>
          <w:tcPr>
            <w:tcW w:w="3062"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w:t>
            </w: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4</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5</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6</w:t>
            </w:r>
          </w:p>
        </w:tc>
      </w:tr>
      <w:tr w:rsidR="00D602D4">
        <w:trPr>
          <w:trHeight w:val="170"/>
        </w:trPr>
        <w:tc>
          <w:tcPr>
            <w:tcW w:w="3062" w:type="dxa"/>
            <w:vMerge w:val="restart"/>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Численность работников, принявших участие в образовательных программах с отрывом от работы / соотношение к ССЧ</w:t>
            </w: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чел.курсы</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35 680</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41 150</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39 508</w:t>
            </w:r>
          </w:p>
        </w:tc>
        <w:tc>
          <w:tcPr>
            <w:tcW w:w="1345" w:type="dxa"/>
            <w:vMerge w:val="restart"/>
            <w:shd w:val="clear" w:color="FFFFFF" w:fill="FFFFFF"/>
            <w:vAlign w:val="center"/>
          </w:tcPr>
          <w:p w:rsidR="00D602D4" w:rsidRDefault="000B4C86">
            <w:pPr>
              <w:spacing w:after="0" w:line="240" w:lineRule="auto"/>
              <w:jc w:val="center"/>
              <w:rPr>
                <w:rFonts w:ascii="Times New Roman" w:eastAsia="Times New Roman" w:hAnsi="Times New Roman" w:cs="Times New Roman"/>
                <w:i/>
                <w:iCs/>
                <w:sz w:val="20"/>
                <w:szCs w:val="20"/>
                <w:highlight w:val="white"/>
              </w:rPr>
            </w:pPr>
            <w:r>
              <w:rPr>
                <w:rFonts w:ascii="Times New Roman" w:eastAsia="Times New Roman" w:hAnsi="Times New Roman" w:cs="Times New Roman"/>
                <w:i/>
                <w:iCs/>
                <w:sz w:val="20"/>
                <w:szCs w:val="20"/>
                <w:highlight w:val="white"/>
                <w:lang w:eastAsia="ru-RU"/>
              </w:rPr>
              <w:t>-4%,</w:t>
            </w:r>
          </w:p>
          <w:p w:rsidR="00D602D4" w:rsidRDefault="000B4C86">
            <w:pPr>
              <w:spacing w:after="0" w:line="240" w:lineRule="auto"/>
              <w:jc w:val="center"/>
              <w:rPr>
                <w:rFonts w:ascii="Times New Roman" w:eastAsia="Times New Roman" w:hAnsi="Times New Roman" w:cs="Times New Roman"/>
                <w:bCs/>
                <w:i/>
                <w:sz w:val="20"/>
                <w:szCs w:val="20"/>
                <w:highlight w:val="white"/>
              </w:rPr>
            </w:pPr>
            <w:r>
              <w:rPr>
                <w:rFonts w:ascii="Times New Roman" w:eastAsia="Times New Roman" w:hAnsi="Times New Roman" w:cs="Times New Roman"/>
                <w:i/>
                <w:iCs/>
                <w:sz w:val="20"/>
                <w:szCs w:val="20"/>
                <w:highlight w:val="white"/>
                <w:lang w:eastAsia="ru-RU"/>
              </w:rPr>
              <w:t>-2 п.п.</w:t>
            </w:r>
          </w:p>
        </w:tc>
      </w:tr>
      <w:tr w:rsidR="00D602D4">
        <w:trPr>
          <w:trHeight w:val="170"/>
        </w:trPr>
        <w:tc>
          <w:tcPr>
            <w:tcW w:w="3062" w:type="dxa"/>
            <w:vMerge/>
            <w:vAlign w:val="center"/>
          </w:tcPr>
          <w:p w:rsidR="00D602D4" w:rsidRDefault="00D602D4">
            <w:pPr>
              <w:spacing w:after="0" w:line="240" w:lineRule="auto"/>
              <w:rPr>
                <w:rFonts w:ascii="Times New Roman" w:eastAsia="Times New Roman" w:hAnsi="Times New Roman" w:cs="Times New Roman"/>
                <w:color w:val="000000"/>
                <w:sz w:val="20"/>
                <w:szCs w:val="20"/>
                <w:highlight w:val="yellow"/>
                <w:lang w:eastAsia="ru-RU"/>
              </w:rPr>
            </w:pP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п.п.</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188%</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220%</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218%</w:t>
            </w:r>
          </w:p>
        </w:tc>
        <w:tc>
          <w:tcPr>
            <w:tcW w:w="1345" w:type="dxa"/>
            <w:vMerge/>
            <w:vAlign w:val="center"/>
          </w:tcPr>
          <w:p w:rsidR="00D602D4" w:rsidRDefault="00D602D4">
            <w:pPr>
              <w:spacing w:after="0" w:line="240" w:lineRule="auto"/>
              <w:rPr>
                <w:rFonts w:ascii="Times New Roman" w:eastAsia="Times New Roman" w:hAnsi="Times New Roman" w:cs="Times New Roman"/>
                <w:i/>
                <w:iCs/>
                <w:sz w:val="20"/>
                <w:szCs w:val="20"/>
                <w:highlight w:val="yellow"/>
                <w:lang w:eastAsia="ru-RU"/>
              </w:rPr>
            </w:pPr>
          </w:p>
        </w:tc>
      </w:tr>
      <w:tr w:rsidR="00D602D4">
        <w:trPr>
          <w:trHeight w:val="170"/>
        </w:trPr>
        <w:tc>
          <w:tcPr>
            <w:tcW w:w="3062" w:type="dxa"/>
            <w:vMerge w:val="restart"/>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в том числе по направлениям охраны труда и промышленной безопасности / соотношение к ССЧ</w:t>
            </w:r>
          </w:p>
        </w:tc>
        <w:tc>
          <w:tcPr>
            <w:tcW w:w="1473" w:type="dxa"/>
            <w:vMerge w:val="restart"/>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чел.курсы, %,</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2 322</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2 097</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3 505</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i/>
                <w:iCs/>
                <w:sz w:val="20"/>
                <w:szCs w:val="20"/>
                <w:highlight w:val="white"/>
              </w:rPr>
            </w:pPr>
            <w:r>
              <w:rPr>
                <w:rFonts w:ascii="Times New Roman" w:eastAsia="Times New Roman" w:hAnsi="Times New Roman" w:cs="Times New Roman"/>
                <w:i/>
                <w:iCs/>
                <w:sz w:val="20"/>
                <w:szCs w:val="20"/>
                <w:highlight w:val="white"/>
                <w:lang w:eastAsia="ru-RU"/>
              </w:rPr>
              <w:t>67,1%</w:t>
            </w:r>
          </w:p>
        </w:tc>
      </w:tr>
      <w:tr w:rsidR="00D602D4">
        <w:trPr>
          <w:trHeight w:val="170"/>
        </w:trPr>
        <w:tc>
          <w:tcPr>
            <w:tcW w:w="3062" w:type="dxa"/>
            <w:vMerge/>
            <w:vAlign w:val="center"/>
          </w:tcPr>
          <w:p w:rsidR="00D602D4" w:rsidRDefault="00D602D4">
            <w:pPr>
              <w:spacing w:after="0" w:line="240" w:lineRule="auto"/>
              <w:rPr>
                <w:rFonts w:ascii="Times New Roman" w:eastAsia="Times New Roman" w:hAnsi="Times New Roman" w:cs="Times New Roman"/>
                <w:color w:val="000000"/>
                <w:sz w:val="20"/>
                <w:szCs w:val="20"/>
                <w:highlight w:val="yellow"/>
                <w:lang w:eastAsia="ru-RU"/>
              </w:rPr>
            </w:pPr>
          </w:p>
        </w:tc>
        <w:tc>
          <w:tcPr>
            <w:tcW w:w="1473" w:type="dxa"/>
            <w:vMerge/>
            <w:vAlign w:val="center"/>
          </w:tcPr>
          <w:p w:rsidR="00D602D4" w:rsidRDefault="00D602D4">
            <w:pPr>
              <w:spacing w:after="0" w:line="240" w:lineRule="auto"/>
              <w:jc w:val="center"/>
              <w:rPr>
                <w:rFonts w:ascii="Times New Roman" w:eastAsia="Times New Roman" w:hAnsi="Times New Roman" w:cs="Times New Roman"/>
                <w:color w:val="000000"/>
                <w:sz w:val="20"/>
                <w:szCs w:val="20"/>
                <w:highlight w:val="yellow"/>
                <w:lang w:eastAsia="ru-RU"/>
              </w:rPr>
            </w:pP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6,50%</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5,10%</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8,9%</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i/>
                <w:iCs/>
                <w:sz w:val="20"/>
                <w:szCs w:val="20"/>
                <w:highlight w:val="white"/>
              </w:rPr>
            </w:pPr>
            <w:r>
              <w:rPr>
                <w:rFonts w:ascii="Times New Roman" w:eastAsia="Times New Roman" w:hAnsi="Times New Roman" w:cs="Times New Roman"/>
                <w:i/>
                <w:iCs/>
                <w:sz w:val="20"/>
                <w:szCs w:val="20"/>
                <w:highlight w:val="white"/>
                <w:lang w:eastAsia="ru-RU"/>
              </w:rPr>
              <w:t>3,8 п.п.</w:t>
            </w:r>
          </w:p>
        </w:tc>
      </w:tr>
      <w:tr w:rsidR="00D602D4">
        <w:trPr>
          <w:trHeight w:val="439"/>
        </w:trPr>
        <w:tc>
          <w:tcPr>
            <w:tcW w:w="3062" w:type="dxa"/>
            <w:vMerge w:val="restart"/>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В том числе доля работников, обученных на базе собственных учебных центров, из них. производственный персонал </w:t>
            </w: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чел.курсы, %</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34 035</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40 481</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36 554</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i/>
                <w:iCs/>
                <w:sz w:val="20"/>
                <w:szCs w:val="20"/>
                <w:highlight w:val="white"/>
              </w:rPr>
            </w:pPr>
            <w:r>
              <w:rPr>
                <w:rFonts w:ascii="Times New Roman" w:eastAsia="Times New Roman" w:hAnsi="Times New Roman" w:cs="Times New Roman"/>
                <w:i/>
                <w:iCs/>
                <w:sz w:val="20"/>
                <w:szCs w:val="20"/>
                <w:highlight w:val="white"/>
                <w:lang w:eastAsia="ru-RU"/>
              </w:rPr>
              <w:t xml:space="preserve">-9,8%, </w:t>
            </w:r>
          </w:p>
        </w:tc>
      </w:tr>
      <w:tr w:rsidR="00D602D4">
        <w:trPr>
          <w:trHeight w:val="170"/>
        </w:trPr>
        <w:tc>
          <w:tcPr>
            <w:tcW w:w="3062" w:type="dxa"/>
            <w:vMerge/>
            <w:vAlign w:val="center"/>
          </w:tcPr>
          <w:p w:rsidR="00D602D4" w:rsidRDefault="00D602D4">
            <w:pPr>
              <w:spacing w:after="0" w:line="240" w:lineRule="auto"/>
              <w:rPr>
                <w:rFonts w:ascii="Times New Roman" w:eastAsia="Times New Roman" w:hAnsi="Times New Roman" w:cs="Times New Roman"/>
                <w:color w:val="000000"/>
                <w:sz w:val="20"/>
                <w:szCs w:val="20"/>
                <w:highlight w:val="yellow"/>
                <w:lang w:eastAsia="ru-RU"/>
              </w:rPr>
            </w:pP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п.п.</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95%</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98%</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92,5%  </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i/>
                <w:iCs/>
                <w:sz w:val="20"/>
                <w:szCs w:val="20"/>
                <w:highlight w:val="white"/>
              </w:rPr>
            </w:pPr>
            <w:r>
              <w:rPr>
                <w:rFonts w:ascii="Times New Roman" w:eastAsia="Times New Roman" w:hAnsi="Times New Roman" w:cs="Times New Roman"/>
                <w:i/>
                <w:iCs/>
                <w:sz w:val="20"/>
                <w:szCs w:val="20"/>
                <w:highlight w:val="white"/>
                <w:lang w:eastAsia="ru-RU"/>
              </w:rPr>
              <w:t>-5.5 п.п.</w:t>
            </w:r>
          </w:p>
        </w:tc>
      </w:tr>
      <w:tr w:rsidR="00D602D4">
        <w:trPr>
          <w:trHeight w:val="170"/>
        </w:trPr>
        <w:tc>
          <w:tcPr>
            <w:tcW w:w="3062" w:type="dxa"/>
            <w:vMerge w:val="restart"/>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Распределение численности работников, принявших участие в образовательных программах с отрывом от работы по категориям (руководители, специалисты и прочие служащие, рабочие)</w:t>
            </w: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w:t>
            </w:r>
          </w:p>
        </w:tc>
        <w:tc>
          <w:tcPr>
            <w:tcW w:w="1184"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w:t>
            </w:r>
          </w:p>
        </w:tc>
        <w:tc>
          <w:tcPr>
            <w:tcW w:w="1316"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w:t>
            </w:r>
          </w:p>
        </w:tc>
        <w:tc>
          <w:tcPr>
            <w:tcW w:w="1316" w:type="dxa"/>
            <w:shd w:val="clear" w:color="FFFFFF" w:fill="FFFFFF"/>
            <w:vAlign w:val="center"/>
          </w:tcPr>
          <w:p w:rsidR="00D602D4" w:rsidRDefault="00D602D4">
            <w:pPr>
              <w:spacing w:after="0" w:line="240" w:lineRule="auto"/>
              <w:rPr>
                <w:rFonts w:ascii="Times New Roman" w:eastAsia="Times New Roman" w:hAnsi="Times New Roman" w:cs="Times New Roman"/>
                <w:color w:val="000000"/>
                <w:sz w:val="20"/>
                <w:szCs w:val="20"/>
                <w:highlight w:val="white"/>
              </w:rPr>
            </w:pP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lang w:eastAsia="ru-RU"/>
              </w:rPr>
              <w:t> </w:t>
            </w:r>
          </w:p>
        </w:tc>
      </w:tr>
      <w:tr w:rsidR="00D602D4">
        <w:trPr>
          <w:trHeight w:val="170"/>
        </w:trPr>
        <w:tc>
          <w:tcPr>
            <w:tcW w:w="3062" w:type="dxa"/>
            <w:vMerge/>
            <w:vAlign w:val="center"/>
          </w:tcPr>
          <w:p w:rsidR="00D602D4" w:rsidRDefault="00D602D4">
            <w:pPr>
              <w:spacing w:after="0" w:line="240" w:lineRule="auto"/>
              <w:rPr>
                <w:rFonts w:ascii="Times New Roman" w:eastAsia="Times New Roman" w:hAnsi="Times New Roman" w:cs="Times New Roman"/>
                <w:color w:val="000000"/>
                <w:sz w:val="20"/>
                <w:szCs w:val="20"/>
                <w:highlight w:val="yellow"/>
                <w:lang w:eastAsia="ru-RU"/>
              </w:rPr>
            </w:pP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Рук</w:t>
            </w:r>
          </w:p>
        </w:tc>
        <w:tc>
          <w:tcPr>
            <w:tcW w:w="1184"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Рук – 21,7</w:t>
            </w:r>
          </w:p>
        </w:tc>
        <w:tc>
          <w:tcPr>
            <w:tcW w:w="1316"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Рук – 19,3</w:t>
            </w:r>
          </w:p>
        </w:tc>
        <w:tc>
          <w:tcPr>
            <w:tcW w:w="1316"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Рук – 28,7</w:t>
            </w:r>
          </w:p>
        </w:tc>
        <w:tc>
          <w:tcPr>
            <w:tcW w:w="1345" w:type="dxa"/>
            <w:shd w:val="clear" w:color="FFFFFF" w:fill="FFFFFF"/>
            <w:vAlign w:val="center"/>
          </w:tcPr>
          <w:p w:rsidR="00D602D4" w:rsidRDefault="000B4C86">
            <w:pPr>
              <w:spacing w:after="0" w:line="240" w:lineRule="auto"/>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lang w:eastAsia="ru-RU"/>
              </w:rPr>
              <w:t>Рук 48,7%</w:t>
            </w:r>
          </w:p>
        </w:tc>
      </w:tr>
      <w:tr w:rsidR="00D602D4">
        <w:trPr>
          <w:trHeight w:val="170"/>
        </w:trPr>
        <w:tc>
          <w:tcPr>
            <w:tcW w:w="3062" w:type="dxa"/>
            <w:vMerge/>
            <w:vAlign w:val="center"/>
          </w:tcPr>
          <w:p w:rsidR="00D602D4" w:rsidRDefault="00D602D4">
            <w:pPr>
              <w:spacing w:after="0" w:line="240" w:lineRule="auto"/>
              <w:rPr>
                <w:rFonts w:ascii="Times New Roman" w:eastAsia="Times New Roman" w:hAnsi="Times New Roman" w:cs="Times New Roman"/>
                <w:color w:val="000000"/>
                <w:sz w:val="20"/>
                <w:szCs w:val="20"/>
                <w:highlight w:val="yellow"/>
                <w:lang w:eastAsia="ru-RU"/>
              </w:rPr>
            </w:pP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Спец</w:t>
            </w:r>
          </w:p>
        </w:tc>
        <w:tc>
          <w:tcPr>
            <w:tcW w:w="1184"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Спец – 11,5</w:t>
            </w:r>
          </w:p>
        </w:tc>
        <w:tc>
          <w:tcPr>
            <w:tcW w:w="1316"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Спец – 25</w:t>
            </w:r>
          </w:p>
        </w:tc>
        <w:tc>
          <w:tcPr>
            <w:tcW w:w="1316"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Спец – 41,1</w:t>
            </w:r>
          </w:p>
        </w:tc>
        <w:tc>
          <w:tcPr>
            <w:tcW w:w="1345" w:type="dxa"/>
            <w:shd w:val="clear" w:color="FFFFFF" w:fill="FFFFFF"/>
            <w:vAlign w:val="center"/>
          </w:tcPr>
          <w:p w:rsidR="00D602D4" w:rsidRDefault="000B4C86">
            <w:pPr>
              <w:spacing w:after="0" w:line="240" w:lineRule="auto"/>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lang w:eastAsia="ru-RU"/>
              </w:rPr>
              <w:t>Спец 64,4%</w:t>
            </w:r>
          </w:p>
        </w:tc>
      </w:tr>
      <w:tr w:rsidR="00D602D4">
        <w:trPr>
          <w:trHeight w:val="170"/>
        </w:trPr>
        <w:tc>
          <w:tcPr>
            <w:tcW w:w="3062" w:type="dxa"/>
            <w:vMerge/>
            <w:vAlign w:val="center"/>
          </w:tcPr>
          <w:p w:rsidR="00D602D4" w:rsidRDefault="00D602D4">
            <w:pPr>
              <w:spacing w:after="0" w:line="240" w:lineRule="auto"/>
              <w:rPr>
                <w:rFonts w:ascii="Times New Roman" w:eastAsia="Times New Roman" w:hAnsi="Times New Roman" w:cs="Times New Roman"/>
                <w:color w:val="000000"/>
                <w:sz w:val="20"/>
                <w:szCs w:val="20"/>
                <w:highlight w:val="yellow"/>
                <w:lang w:eastAsia="ru-RU"/>
              </w:rPr>
            </w:pP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Раб</w:t>
            </w:r>
          </w:p>
        </w:tc>
        <w:tc>
          <w:tcPr>
            <w:tcW w:w="1184"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Раб – 66,6</w:t>
            </w:r>
          </w:p>
        </w:tc>
        <w:tc>
          <w:tcPr>
            <w:tcW w:w="1316"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Раб – 55,7</w:t>
            </w:r>
          </w:p>
        </w:tc>
        <w:tc>
          <w:tcPr>
            <w:tcW w:w="1316"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Раб – 30,2</w:t>
            </w:r>
          </w:p>
        </w:tc>
        <w:tc>
          <w:tcPr>
            <w:tcW w:w="1345" w:type="dxa"/>
            <w:shd w:val="clear" w:color="FFFFFF" w:fill="FFFFFF"/>
            <w:vAlign w:val="center"/>
          </w:tcPr>
          <w:p w:rsidR="00D602D4" w:rsidRDefault="000B4C86">
            <w:pPr>
              <w:spacing w:after="0" w:line="240" w:lineRule="auto"/>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lang w:eastAsia="ru-RU"/>
              </w:rPr>
              <w:t>Раб -45,8%</w:t>
            </w:r>
          </w:p>
        </w:tc>
      </w:tr>
      <w:tr w:rsidR="00D602D4">
        <w:trPr>
          <w:trHeight w:val="170"/>
        </w:trPr>
        <w:tc>
          <w:tcPr>
            <w:tcW w:w="3062"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Число корпоративных программ обучения, реализованных в дистанционном формате</w:t>
            </w: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ед</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29 240,0</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35 097</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34 018</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lang w:eastAsia="ru-RU"/>
              </w:rPr>
              <w:t>-3,1%</w:t>
            </w:r>
          </w:p>
        </w:tc>
      </w:tr>
      <w:tr w:rsidR="00D602D4">
        <w:trPr>
          <w:trHeight w:val="170"/>
        </w:trPr>
        <w:tc>
          <w:tcPr>
            <w:tcW w:w="3062"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Среднее количество часов обучения на одного работника </w:t>
            </w: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чел./час</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46,1</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64,9</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72,5</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lang w:eastAsia="ru-RU"/>
              </w:rPr>
              <w:t>11,7%</w:t>
            </w:r>
          </w:p>
        </w:tc>
      </w:tr>
      <w:tr w:rsidR="00D602D4">
        <w:trPr>
          <w:trHeight w:val="170"/>
        </w:trPr>
        <w:tc>
          <w:tcPr>
            <w:tcW w:w="3062" w:type="dxa"/>
            <w:vMerge w:val="restart"/>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Численность производственного персонала, прошедшего обучение с отрывом от работы, в том числе на базе собственных </w:t>
            </w:r>
            <w:r>
              <w:rPr>
                <w:rFonts w:ascii="Times New Roman" w:eastAsia="Times New Roman" w:hAnsi="Times New Roman" w:cs="Times New Roman"/>
                <w:color w:val="000000"/>
                <w:sz w:val="20"/>
                <w:szCs w:val="20"/>
                <w:highlight w:val="white"/>
                <w:lang w:eastAsia="ru-RU"/>
              </w:rPr>
              <w:lastRenderedPageBreak/>
              <w:t>учебных центров</w:t>
            </w:r>
          </w:p>
        </w:tc>
        <w:tc>
          <w:tcPr>
            <w:tcW w:w="1473" w:type="dxa"/>
            <w:vMerge w:val="restart"/>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lastRenderedPageBreak/>
              <w:t>чел.курсы/ чел. курсы</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33 722</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37 129</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33 708</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i/>
                <w:iCs/>
                <w:sz w:val="20"/>
                <w:szCs w:val="20"/>
                <w:highlight w:val="white"/>
              </w:rPr>
            </w:pPr>
            <w:r>
              <w:rPr>
                <w:rFonts w:ascii="Times New Roman" w:eastAsia="Times New Roman" w:hAnsi="Times New Roman" w:cs="Times New Roman"/>
                <w:i/>
                <w:iCs/>
                <w:sz w:val="20"/>
                <w:szCs w:val="20"/>
                <w:highlight w:val="white"/>
                <w:lang w:eastAsia="ru-RU"/>
              </w:rPr>
              <w:t>-9,2%</w:t>
            </w:r>
          </w:p>
        </w:tc>
      </w:tr>
      <w:tr w:rsidR="00D602D4">
        <w:trPr>
          <w:trHeight w:val="170"/>
        </w:trPr>
        <w:tc>
          <w:tcPr>
            <w:tcW w:w="3062" w:type="dxa"/>
            <w:vMerge/>
            <w:vAlign w:val="center"/>
          </w:tcPr>
          <w:p w:rsidR="00D602D4" w:rsidRDefault="00D602D4">
            <w:pPr>
              <w:spacing w:after="0" w:line="240" w:lineRule="auto"/>
              <w:rPr>
                <w:rFonts w:ascii="Times New Roman" w:eastAsia="Times New Roman" w:hAnsi="Times New Roman" w:cs="Times New Roman"/>
                <w:color w:val="000000"/>
                <w:sz w:val="20"/>
                <w:szCs w:val="20"/>
                <w:highlight w:val="yellow"/>
                <w:lang w:eastAsia="ru-RU"/>
              </w:rPr>
            </w:pPr>
          </w:p>
        </w:tc>
        <w:tc>
          <w:tcPr>
            <w:tcW w:w="1473" w:type="dxa"/>
            <w:vMerge/>
            <w:vAlign w:val="center"/>
          </w:tcPr>
          <w:p w:rsidR="00D602D4" w:rsidRDefault="00D602D4">
            <w:pPr>
              <w:spacing w:after="0" w:line="240" w:lineRule="auto"/>
              <w:jc w:val="center"/>
              <w:rPr>
                <w:rFonts w:ascii="Times New Roman" w:eastAsia="Times New Roman" w:hAnsi="Times New Roman" w:cs="Times New Roman"/>
                <w:color w:val="000000"/>
                <w:sz w:val="20"/>
                <w:szCs w:val="20"/>
                <w:highlight w:val="yellow"/>
                <w:lang w:eastAsia="ru-RU"/>
              </w:rPr>
            </w:pP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32 422</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36 774</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31 014</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i/>
                <w:iCs/>
                <w:sz w:val="20"/>
                <w:szCs w:val="20"/>
                <w:highlight w:val="white"/>
              </w:rPr>
            </w:pPr>
            <w:r>
              <w:rPr>
                <w:rFonts w:ascii="Times New Roman" w:eastAsia="Times New Roman" w:hAnsi="Times New Roman" w:cs="Times New Roman"/>
                <w:i/>
                <w:iCs/>
                <w:sz w:val="20"/>
                <w:szCs w:val="20"/>
                <w:highlight w:val="white"/>
                <w:lang w:eastAsia="ru-RU"/>
              </w:rPr>
              <w:t>-15,7%</w:t>
            </w:r>
          </w:p>
        </w:tc>
      </w:tr>
      <w:tr w:rsidR="00D602D4">
        <w:trPr>
          <w:trHeight w:val="170"/>
        </w:trPr>
        <w:tc>
          <w:tcPr>
            <w:tcW w:w="3062" w:type="dxa"/>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Численность персонала, прошедшего оценочные процедуры/ соотношение к ССЧ, в том числе в рамках</w:t>
            </w:r>
          </w:p>
        </w:tc>
        <w:tc>
          <w:tcPr>
            <w:tcW w:w="1473" w:type="dxa"/>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чел., </w:t>
            </w:r>
          </w:p>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947</w:t>
            </w:r>
          </w:p>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5%</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1347</w:t>
            </w:r>
          </w:p>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7,2%</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2136</w:t>
            </w:r>
          </w:p>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11,9%</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i/>
                <w:iCs/>
                <w:sz w:val="20"/>
                <w:szCs w:val="20"/>
                <w:highlight w:val="white"/>
              </w:rPr>
            </w:pPr>
            <w:r>
              <w:rPr>
                <w:rFonts w:ascii="Times New Roman" w:eastAsia="Times New Roman" w:hAnsi="Times New Roman" w:cs="Times New Roman"/>
                <w:i/>
                <w:iCs/>
                <w:sz w:val="20"/>
                <w:szCs w:val="20"/>
                <w:highlight w:val="white"/>
                <w:lang w:eastAsia="ru-RU"/>
              </w:rPr>
              <w:t>+ 58,5%</w:t>
            </w:r>
          </w:p>
          <w:p w:rsidR="00D602D4" w:rsidRDefault="000B4C86">
            <w:pPr>
              <w:spacing w:after="0" w:line="240" w:lineRule="auto"/>
              <w:jc w:val="center"/>
              <w:rPr>
                <w:rFonts w:ascii="Times New Roman" w:eastAsia="Times New Roman" w:hAnsi="Times New Roman" w:cs="Times New Roman"/>
                <w:i/>
                <w:iCs/>
                <w:sz w:val="20"/>
                <w:szCs w:val="20"/>
                <w:highlight w:val="white"/>
              </w:rPr>
            </w:pPr>
            <w:r>
              <w:rPr>
                <w:rFonts w:ascii="Times New Roman" w:eastAsia="Times New Roman" w:hAnsi="Times New Roman" w:cs="Times New Roman"/>
                <w:i/>
                <w:iCs/>
                <w:sz w:val="20"/>
                <w:szCs w:val="20"/>
                <w:highlight w:val="white"/>
                <w:lang w:eastAsia="ru-RU"/>
              </w:rPr>
              <w:t>+ 4,7п.п.</w:t>
            </w:r>
          </w:p>
        </w:tc>
      </w:tr>
      <w:tr w:rsidR="00D602D4">
        <w:trPr>
          <w:trHeight w:val="170"/>
        </w:trPr>
        <w:tc>
          <w:tcPr>
            <w:tcW w:w="3062" w:type="dxa"/>
            <w:vMerge w:val="restart"/>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оценки компетенций (корпоративных и управленческих) при переводе на новую должность, при отборе в кадровый резерв;</w:t>
            </w: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чел.</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947,0</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1 347,0</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2121</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FF0000"/>
                <w:sz w:val="20"/>
                <w:szCs w:val="20"/>
                <w:highlight w:val="white"/>
              </w:rPr>
            </w:pPr>
            <w:r>
              <w:rPr>
                <w:rFonts w:ascii="Times New Roman" w:eastAsia="Times New Roman" w:hAnsi="Times New Roman" w:cs="Times New Roman"/>
                <w:sz w:val="20"/>
                <w:szCs w:val="20"/>
                <w:highlight w:val="white"/>
                <w:lang w:eastAsia="ru-RU"/>
              </w:rPr>
              <w:t>+ 57,4%</w:t>
            </w:r>
          </w:p>
        </w:tc>
      </w:tr>
      <w:tr w:rsidR="00D602D4">
        <w:trPr>
          <w:trHeight w:val="170"/>
        </w:trPr>
        <w:tc>
          <w:tcPr>
            <w:tcW w:w="3062" w:type="dxa"/>
            <w:vMerge/>
            <w:vAlign w:val="center"/>
          </w:tcPr>
          <w:p w:rsidR="00D602D4" w:rsidRDefault="00D602D4">
            <w:pPr>
              <w:spacing w:after="0" w:line="240" w:lineRule="auto"/>
              <w:rPr>
                <w:rFonts w:ascii="Times New Roman" w:eastAsia="Times New Roman" w:hAnsi="Times New Roman" w:cs="Times New Roman"/>
                <w:color w:val="000000"/>
                <w:sz w:val="20"/>
                <w:szCs w:val="20"/>
                <w:highlight w:val="yellow"/>
                <w:lang w:eastAsia="ru-RU"/>
              </w:rPr>
            </w:pPr>
          </w:p>
        </w:tc>
        <w:tc>
          <w:tcPr>
            <w:tcW w:w="147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5,0%</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7,2%</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11,8%</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FF0000"/>
                <w:sz w:val="20"/>
                <w:szCs w:val="20"/>
                <w:highlight w:val="white"/>
              </w:rPr>
            </w:pPr>
            <w:r>
              <w:rPr>
                <w:rFonts w:ascii="Times New Roman" w:eastAsia="Times New Roman" w:hAnsi="Times New Roman" w:cs="Times New Roman"/>
                <w:sz w:val="20"/>
                <w:szCs w:val="20"/>
                <w:highlight w:val="white"/>
                <w:lang w:eastAsia="ru-RU"/>
              </w:rPr>
              <w:t>+ 4,6 п.п.</w:t>
            </w:r>
          </w:p>
        </w:tc>
      </w:tr>
      <w:tr w:rsidR="00D602D4">
        <w:trPr>
          <w:trHeight w:val="170"/>
        </w:trPr>
        <w:tc>
          <w:tcPr>
            <w:tcW w:w="3062"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независимой оценки квалификаций (на базе ЦОКов)</w:t>
            </w:r>
          </w:p>
        </w:tc>
        <w:tc>
          <w:tcPr>
            <w:tcW w:w="1473"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w:t>
            </w:r>
          </w:p>
        </w:tc>
        <w:tc>
          <w:tcPr>
            <w:tcW w:w="118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0</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0</w:t>
            </w:r>
          </w:p>
        </w:tc>
        <w:tc>
          <w:tcPr>
            <w:tcW w:w="131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15</w:t>
            </w:r>
          </w:p>
        </w:tc>
        <w:tc>
          <w:tcPr>
            <w:tcW w:w="134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100%</w:t>
            </w:r>
          </w:p>
        </w:tc>
      </w:tr>
      <w:tr w:rsidR="00D602D4">
        <w:trPr>
          <w:trHeight w:val="170"/>
        </w:trPr>
        <w:tc>
          <w:tcPr>
            <w:tcW w:w="306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Численность кадровых резервов</w:t>
            </w:r>
          </w:p>
        </w:tc>
        <w:tc>
          <w:tcPr>
            <w:tcW w:w="147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чел.</w:t>
            </w:r>
          </w:p>
        </w:tc>
        <w:tc>
          <w:tcPr>
            <w:tcW w:w="118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1419</w:t>
            </w:r>
          </w:p>
        </w:tc>
        <w:tc>
          <w:tcPr>
            <w:tcW w:w="131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1368</w:t>
            </w:r>
          </w:p>
        </w:tc>
        <w:tc>
          <w:tcPr>
            <w:tcW w:w="131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929</w:t>
            </w:r>
          </w:p>
        </w:tc>
        <w:tc>
          <w:tcPr>
            <w:tcW w:w="134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-32%</w:t>
            </w:r>
          </w:p>
        </w:tc>
      </w:tr>
      <w:tr w:rsidR="00D602D4">
        <w:trPr>
          <w:trHeight w:val="170"/>
        </w:trPr>
        <w:tc>
          <w:tcPr>
            <w:tcW w:w="306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Доля руководящих должностей, обеспеченных кадровым резервом</w:t>
            </w:r>
          </w:p>
        </w:tc>
        <w:tc>
          <w:tcPr>
            <w:tcW w:w="147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w:t>
            </w:r>
          </w:p>
        </w:tc>
        <w:tc>
          <w:tcPr>
            <w:tcW w:w="118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80,7</w:t>
            </w:r>
          </w:p>
        </w:tc>
        <w:tc>
          <w:tcPr>
            <w:tcW w:w="131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80,5</w:t>
            </w:r>
          </w:p>
        </w:tc>
        <w:tc>
          <w:tcPr>
            <w:tcW w:w="131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83,2</w:t>
            </w:r>
          </w:p>
        </w:tc>
        <w:tc>
          <w:tcPr>
            <w:tcW w:w="134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+ 2,7 </w:t>
            </w:r>
          </w:p>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 п.п.</w:t>
            </w:r>
          </w:p>
        </w:tc>
      </w:tr>
      <w:tr w:rsidR="00D602D4">
        <w:trPr>
          <w:trHeight w:val="170"/>
        </w:trPr>
        <w:tc>
          <w:tcPr>
            <w:tcW w:w="306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Доля руководящих должностей, укомплектованных внутренними кандидатами, в том числе из числа членов кадровых резервов</w:t>
            </w:r>
          </w:p>
        </w:tc>
        <w:tc>
          <w:tcPr>
            <w:tcW w:w="147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w:t>
            </w:r>
          </w:p>
        </w:tc>
        <w:tc>
          <w:tcPr>
            <w:tcW w:w="118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29,6</w:t>
            </w:r>
          </w:p>
        </w:tc>
        <w:tc>
          <w:tcPr>
            <w:tcW w:w="131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29,9</w:t>
            </w:r>
          </w:p>
        </w:tc>
        <w:tc>
          <w:tcPr>
            <w:tcW w:w="131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29,1</w:t>
            </w:r>
          </w:p>
        </w:tc>
        <w:tc>
          <w:tcPr>
            <w:tcW w:w="134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-0,8 п.п.</w:t>
            </w:r>
          </w:p>
        </w:tc>
      </w:tr>
    </w:tbl>
    <w:p w:rsidR="00D602D4" w:rsidRDefault="00D602D4">
      <w:pPr>
        <w:spacing w:after="0" w:line="240" w:lineRule="auto"/>
        <w:ind w:firstLine="709"/>
        <w:jc w:val="both"/>
        <w:rPr>
          <w:rFonts w:ascii="Times New Roman" w:hAnsi="Times New Roman" w:cs="Times New Roman"/>
          <w:b/>
          <w:bCs/>
          <w:sz w:val="24"/>
          <w:szCs w:val="24"/>
        </w:rPr>
      </w:pPr>
    </w:p>
    <w:p w:rsidR="00D602D4" w:rsidRDefault="000B4C86">
      <w:pPr>
        <w:spacing w:after="0" w:line="240" w:lineRule="auto"/>
        <w:ind w:firstLine="709"/>
        <w:jc w:val="both"/>
        <w:rPr>
          <w:rFonts w:ascii="Times New Roman" w:hAnsi="Times New Roman" w:cs="Times New Roman"/>
          <w:b/>
          <w:bCs/>
          <w:sz w:val="24"/>
          <w:szCs w:val="24"/>
        </w:rPr>
      </w:pPr>
      <w:r>
        <w:rPr>
          <w:rFonts w:ascii="Times New Roman" w:hAnsi="Times New Roman" w:cs="Times New Roman"/>
          <w:b/>
          <w:sz w:val="24"/>
          <w:szCs w:val="28"/>
        </w:rPr>
        <w:t xml:space="preserve">Молодежная политика </w:t>
      </w:r>
    </w:p>
    <w:p w:rsidR="00D602D4" w:rsidRDefault="000B4C86">
      <w:pPr>
        <w:widowControl w:val="0"/>
        <w:spacing w:after="0" w:line="240" w:lineRule="auto"/>
        <w:ind w:firstLine="709"/>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Молодежная политика Компании охватывает три целевые группы – школьники, студенты, молодые специалисты.</w:t>
      </w:r>
    </w:p>
    <w:p w:rsidR="00D602D4" w:rsidRDefault="000B4C86">
      <w:pPr>
        <w:widowControl w:val="0"/>
        <w:spacing w:after="0" w:line="240" w:lineRule="auto"/>
        <w:ind w:firstLine="709"/>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 xml:space="preserve">В отношении школьников – это блок мероприятий, направленных на раннюю профессиональную ориентацию – экскурсии на объекты компании, уроки по электробезопасности, предметные и тематические олимпиады и конкурсы, энергокружки и энергоклассы. </w:t>
      </w:r>
    </w:p>
    <w:p w:rsidR="00D602D4" w:rsidRDefault="000B4C86">
      <w:pPr>
        <w:spacing w:after="0" w:line="240" w:lineRule="auto"/>
        <w:ind w:firstLine="709"/>
        <w:jc w:val="both"/>
        <w:rPr>
          <w:rFonts w:ascii="Times New Roman" w:hAnsi="Times New Roman" w:cs="Times New Roman"/>
          <w:color w:val="000000" w:themeColor="text1"/>
          <w:sz w:val="24"/>
          <w:szCs w:val="24"/>
        </w:rPr>
      </w:pPr>
      <w:r>
        <w:rPr>
          <w:rFonts w:ascii="Times New Roman" w:eastAsia="Calibri" w:hAnsi="Times New Roman" w:cs="Times New Roman"/>
          <w:color w:val="000000" w:themeColor="text1"/>
          <w:sz w:val="24"/>
          <w:szCs w:val="24"/>
        </w:rPr>
        <w:t xml:space="preserve">В 2024 году состоялась шестая Всероссийская олимпиада школьников ПАО «Россети». 744 учащихся 9-11 классов территорий присутствия ПАО «Россети Сибирь» приняли участие в интеллектуальных состязаниях, выполняя на отборочном этапе задания по математике, физике и информатике. Победители отборочного этапа состязались в решении комплексного задания – кейса, направленного на проверку творческих способностей и умения применять имеющиеся знания в ходе решения прикладных задач в области электроэнергетики. Лучшие решения кейса были представлены на очной оценочной конференции, которая прошла на базе исполнительного аппарата ПАО «Россети Сибирь» в г. Красноярске. В итоге 11 школьников Сибири вошли в число победителей и призеров Олимпиады. Несколько лучших участников Олимпиады </w:t>
      </w:r>
      <w:r>
        <w:rPr>
          <w:rFonts w:ascii="Times New Roman" w:hAnsi="Times New Roman" w:cs="Times New Roman"/>
          <w:color w:val="000000" w:themeColor="text1"/>
          <w:sz w:val="24"/>
          <w:szCs w:val="24"/>
        </w:rPr>
        <w:t>приняли участие в Энергетической проектной смене в ВДЦ «Орлёнок», а также в Летней школе</w:t>
      </w:r>
      <w:r>
        <w:rPr>
          <w:rFonts w:ascii="Times New Roman" w:hAnsi="Times New Roman" w:cs="Times New Roman"/>
          <w:b/>
          <w:color w:val="000000" w:themeColor="text1"/>
          <w:sz w:val="24"/>
          <w:szCs w:val="24"/>
        </w:rPr>
        <w:t xml:space="preserve"> </w:t>
      </w:r>
      <w:r>
        <w:rPr>
          <w:rFonts w:ascii="Times New Roman" w:hAnsi="Times New Roman" w:cs="Times New Roman"/>
          <w:color w:val="000000" w:themeColor="text1"/>
          <w:sz w:val="24"/>
          <w:szCs w:val="24"/>
        </w:rPr>
        <w:t>Университетской гимназии МГУ на базе гимназии в г. Москве.</w:t>
      </w:r>
    </w:p>
    <w:p w:rsidR="00D602D4" w:rsidRDefault="000B4C86">
      <w:pPr>
        <w:widowControl w:val="0"/>
        <w:spacing w:after="0" w:line="240" w:lineRule="auto"/>
        <w:ind w:firstLine="709"/>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 xml:space="preserve">В целях увеличения числа выпускников школ, готовых продолжить обучение по профильным специальностям, профессиональной ориентации учащихся учебных заведений среднего, среднего профессионального и высшего профессионального образования ежегодно в Обществе проводится «Неделя ПАО «Россети Сибирь» – в 2024 году в мероприятии приняли участие 10 801 школьников и студентов. </w:t>
      </w:r>
    </w:p>
    <w:p w:rsidR="00D602D4" w:rsidRDefault="000B4C86">
      <w:pPr>
        <w:widowControl w:val="0"/>
        <w:spacing w:after="0" w:line="240" w:lineRule="auto"/>
        <w:ind w:firstLine="709"/>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 xml:space="preserve">Для студентов реализуется практикоориентированная подготовка в рамках Программы взаимодействия с учебными заведениями. ПАО «Россети Сибирь» заключены соглашения с 25 учебными заведениями высшего профессионального образования, а также с 29 учебными заведениями среднего профессионального образования. </w:t>
      </w:r>
    </w:p>
    <w:p w:rsidR="00D602D4" w:rsidRDefault="000B4C86">
      <w:pPr>
        <w:widowControl w:val="0"/>
        <w:spacing w:after="0" w:line="240" w:lineRule="auto"/>
        <w:ind w:firstLine="709"/>
        <w:jc w:val="both"/>
        <w:rPr>
          <w:rFonts w:ascii="Times New Roman" w:eastAsia="Calibri"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Число студентов, проходящих подготовку по договорам целевого обучения с компанией</w:t>
      </w:r>
      <w:r>
        <w:rPr>
          <w:rFonts w:ascii="Times New Roman" w:eastAsia="Calibri" w:hAnsi="Times New Roman" w:cs="Times New Roman"/>
          <w:color w:val="000000" w:themeColor="text1"/>
          <w:sz w:val="24"/>
          <w:szCs w:val="24"/>
        </w:rPr>
        <w:t xml:space="preserve"> в 2024 году составило 442 человека. Основными направлениями подготовки инженерных кадров, востребованными в Обществе, являются Электроэнергетика и электротехника» по профилям «Энергетика» и «Электроснабжение», программы подготовки рабочих – «Электромонтёр по ремонту и обслуживанию электрооборудования», </w:t>
      </w:r>
      <w:r>
        <w:rPr>
          <w:rFonts w:ascii="Times New Roman" w:eastAsia="Calibri" w:hAnsi="Times New Roman" w:cs="Times New Roman"/>
          <w:color w:val="000000" w:themeColor="text1"/>
          <w:sz w:val="24"/>
          <w:szCs w:val="24"/>
        </w:rPr>
        <w:lastRenderedPageBreak/>
        <w:t>«Электрические станции, сети и системы», «Техническая эксплуатация и обслуживание электрического и электромеханического оборудования».</w:t>
      </w:r>
    </w:p>
    <w:p w:rsidR="00D602D4" w:rsidRDefault="000B4C86">
      <w:pPr>
        <w:spacing w:after="0" w:line="240" w:lineRule="auto"/>
        <w:ind w:firstLine="709"/>
        <w:jc w:val="both"/>
        <w:rPr>
          <w:rFonts w:ascii="Times New Roman" w:hAnsi="Times New Roman" w:cs="Times New Roman"/>
          <w:color w:val="000000" w:themeColor="text1"/>
          <w:sz w:val="24"/>
          <w:szCs w:val="24"/>
        </w:rPr>
      </w:pPr>
      <w:r>
        <w:rPr>
          <w:rFonts w:ascii="Times New Roman" w:eastAsia="Calibri" w:hAnsi="Times New Roman" w:cs="Times New Roman"/>
          <w:color w:val="000000" w:themeColor="text1"/>
          <w:sz w:val="24"/>
          <w:szCs w:val="24"/>
        </w:rPr>
        <w:t xml:space="preserve">Ежегодно в Обществе реализуется проект «Энергоотряды» в рамках организации </w:t>
      </w:r>
      <w:r>
        <w:rPr>
          <w:rFonts w:ascii="Times New Roman" w:eastAsia="Calibri" w:hAnsi="Times New Roman" w:cs="Times New Roman"/>
          <w:sz w:val="24"/>
          <w:szCs w:val="24"/>
        </w:rPr>
        <w:t xml:space="preserve">работы студенческих отрядов группы компаний «Россети». В 2024 году </w:t>
      </w:r>
      <w:r>
        <w:rPr>
          <w:rFonts w:ascii="Times New Roman" w:hAnsi="Times New Roman" w:cs="Times New Roman"/>
          <w:sz w:val="24"/>
          <w:szCs w:val="24"/>
        </w:rPr>
        <w:t xml:space="preserve">в летнем трудовом сезоне трудилось 349 студентов из 43 вузов и ссузов, </w:t>
      </w:r>
      <w:r>
        <w:rPr>
          <w:rFonts w:ascii="Times New Roman" w:hAnsi="Times New Roman" w:cs="Times New Roman"/>
          <w:color w:val="000000" w:themeColor="text1"/>
          <w:sz w:val="24"/>
          <w:szCs w:val="24"/>
        </w:rPr>
        <w:t>чтобы получить производственный опыт на объектах филиалов ПАО «Россети Сибирь».</w:t>
      </w:r>
      <w:r>
        <w:rPr>
          <w:rFonts w:ascii="Times New Roman" w:eastAsia="Calibri"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Учащиеся познакомились с перспективными технологическими решениями, которые активно внедряются в энергетике, получили опыт работы на строящихся и реконструируемых энергообъектах. Также студенты приняли активное участие в общественных, спортивных, культурных мероприятиях. По итогам трудового сезона студенческий энергоотряд «МегаВольт» филиала ПАО «Россети Сибирь» – «Хакасэнерго» представлял Общество на Всероссийском закрытии трудового сезона группы компаний «Россети» в г. Москве. </w:t>
      </w:r>
    </w:p>
    <w:p w:rsidR="00D602D4" w:rsidRDefault="000B4C86">
      <w:pPr>
        <w:widowControl w:val="0"/>
        <w:spacing w:after="0" w:line="240" w:lineRule="auto"/>
        <w:ind w:firstLine="709"/>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В целях обеспечения практической направленности подготовки студентов и их профессиональной ориентации на работу в Обществе в 2024 году в структурных подразделениях ПАО «Россети Сибирь» прошли учебную, производственную, преддипломную практики 1431 студента вузов, ссузов на основании заключенных договоров/соглашений о сотрудничестве.</w:t>
      </w:r>
    </w:p>
    <w:p w:rsidR="00D602D4" w:rsidRDefault="000B4C86">
      <w:pPr>
        <w:widowControl w:val="0"/>
        <w:tabs>
          <w:tab w:val="left" w:pos="0"/>
          <w:tab w:val="left" w:pos="1080"/>
          <w:tab w:val="left" w:pos="1418"/>
        </w:tabs>
        <w:spacing w:after="0" w:line="240" w:lineRule="auto"/>
        <w:ind w:firstLine="709"/>
        <w:jc w:val="both"/>
        <w:rPr>
          <w:rFonts w:ascii="Times New Roman" w:eastAsia="Calibri" w:hAnsi="Times New Roman" w:cs="Times New Roman"/>
          <w:color w:val="000000" w:themeColor="text1"/>
          <w:sz w:val="24"/>
          <w:szCs w:val="24"/>
          <w:lang w:eastAsia="ru-RU"/>
        </w:rPr>
      </w:pPr>
      <w:r>
        <w:rPr>
          <w:rFonts w:ascii="Times New Roman" w:eastAsia="Calibri" w:hAnsi="Times New Roman" w:cs="Times New Roman"/>
          <w:color w:val="000000" w:themeColor="text1"/>
          <w:sz w:val="24"/>
          <w:szCs w:val="24"/>
          <w:lang w:eastAsia="ru-RU"/>
        </w:rPr>
        <w:t xml:space="preserve">В отношении молодых специалистов – вчерашних выпускников, реализуются программы профессиональной адаптации и развития. Высокопотенциальные молодые сотрудники, в том числе члены молодёжного кадрового резерва и совета молодых специалистов ежегодно представляют Общество на мероприятиях, имеющих важное отраслевое значение: Молодёжный день Международного форума по энергоэффективности и развитию энергетики «Российская энергетическая неделя», </w:t>
      </w:r>
      <w:r>
        <w:rPr>
          <w:rFonts w:ascii="Times New Roman" w:eastAsia="Calibri" w:hAnsi="Times New Roman" w:cs="Times New Roman"/>
          <w:bCs/>
          <w:color w:val="000000" w:themeColor="text1"/>
          <w:sz w:val="24"/>
          <w:szCs w:val="24"/>
          <w:lang w:eastAsia="ru-RU"/>
        </w:rPr>
        <w:t>Молодежный глобальный прогноз развития энергетик</w:t>
      </w:r>
      <w:r>
        <w:rPr>
          <w:rFonts w:ascii="Times New Roman" w:eastAsia="Calibri" w:hAnsi="Times New Roman" w:cs="Times New Roman"/>
          <w:color w:val="000000" w:themeColor="text1"/>
          <w:sz w:val="24"/>
          <w:szCs w:val="24"/>
          <w:lang w:eastAsia="ru-RU"/>
        </w:rPr>
        <w:t xml:space="preserve">и, Международный форум молодых энергетиков и промышленников «Форсаж», «Международный молодежный форум «Территория инициативной молодежи «Бирюса», </w:t>
      </w:r>
      <w:r>
        <w:rPr>
          <w:rFonts w:ascii="Times New Roman" w:hAnsi="Times New Roman" w:cs="Times New Roman"/>
          <w:color w:val="000000" w:themeColor="text1"/>
          <w:sz w:val="24"/>
          <w:szCs w:val="24"/>
        </w:rPr>
        <w:t>Лига молодых специалистов в рамках Международного инженерного Чемпионата «C</w:t>
      </w:r>
      <w:r>
        <w:rPr>
          <w:rFonts w:ascii="Times New Roman" w:hAnsi="Times New Roman" w:cs="Times New Roman"/>
          <w:color w:val="000000" w:themeColor="text1"/>
          <w:sz w:val="24"/>
          <w:szCs w:val="24"/>
          <w:lang w:val="en-US"/>
        </w:rPr>
        <w:t>ASE</w:t>
      </w:r>
      <w:r>
        <w:rPr>
          <w:rFonts w:ascii="Times New Roman" w:hAnsi="Times New Roman" w:cs="Times New Roman"/>
          <w:color w:val="000000" w:themeColor="text1"/>
          <w:sz w:val="24"/>
          <w:szCs w:val="24"/>
        </w:rPr>
        <w:t>-IN».</w:t>
      </w:r>
      <w:r>
        <w:rPr>
          <w:rFonts w:ascii="Times New Roman" w:eastAsia="Calibri" w:hAnsi="Times New Roman" w:cs="Times New Roman"/>
          <w:color w:val="000000" w:themeColor="text1"/>
          <w:sz w:val="24"/>
          <w:szCs w:val="24"/>
          <w:lang w:eastAsia="ru-RU"/>
        </w:rPr>
        <w:t xml:space="preserve"> </w:t>
      </w:r>
      <w:r>
        <w:rPr>
          <w:rFonts w:ascii="Times New Roman" w:eastAsia="Times New Roman" w:hAnsi="Times New Roman" w:cs="Times New Roman"/>
          <w:color w:val="000000" w:themeColor="text1"/>
          <w:sz w:val="24"/>
          <w:szCs w:val="24"/>
          <w:lang w:eastAsia="ru-RU"/>
        </w:rPr>
        <w:t>Всего в 2024 году приняли участие в конкурсах, форумах, конференциях корпоративного, регионального/федерального уровня 97 молодых специалистов.</w:t>
      </w:r>
    </w:p>
    <w:p w:rsidR="00D602D4" w:rsidRDefault="000B4C86">
      <w:pPr>
        <w:widowControl w:val="0"/>
        <w:spacing w:after="0" w:line="240" w:lineRule="auto"/>
        <w:ind w:firstLine="709"/>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Участие в таких мероприятиях позволяет молодым специалистам получить уникальный опыт общения с ведущими отраслевыми экспертами, услышать выступления первых лиц российских и зарубежных энергетических компаний, профильного министерства, обменяться опытом с коллегами, работающими в других компаниях.</w:t>
      </w:r>
    </w:p>
    <w:p w:rsidR="00D602D4" w:rsidRDefault="000B4C86">
      <w:pPr>
        <w:widowControl w:val="0"/>
        <w:spacing w:after="0" w:line="240" w:lineRule="auto"/>
        <w:ind w:firstLine="709"/>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В целях эффективного построения взаимодействия с молодыми специалистами в каждом филиале действует Совет по работе с молодежью. Основными задачами Совета являются:</w:t>
      </w:r>
    </w:p>
    <w:p w:rsidR="00D602D4" w:rsidRDefault="000B4C86">
      <w:pPr>
        <w:widowControl w:val="0"/>
        <w:numPr>
          <w:ilvl w:val="0"/>
          <w:numId w:val="76"/>
        </w:numPr>
        <w:tabs>
          <w:tab w:val="left" w:pos="851"/>
        </w:tabs>
        <w:spacing w:after="0" w:line="240" w:lineRule="auto"/>
        <w:ind w:left="0" w:firstLine="709"/>
        <w:contextualSpacing/>
        <w:jc w:val="both"/>
        <w:rPr>
          <w:rFonts w:ascii="Times New Roman" w:eastAsia="Calibri" w:hAnsi="Times New Roman" w:cs="Times New Roman"/>
          <w:color w:val="000000" w:themeColor="text1"/>
          <w:sz w:val="24"/>
          <w:szCs w:val="24"/>
          <w:lang w:eastAsia="ru-RU"/>
        </w:rPr>
      </w:pPr>
      <w:r>
        <w:rPr>
          <w:rFonts w:ascii="Times New Roman" w:eastAsia="Calibri" w:hAnsi="Times New Roman" w:cs="Times New Roman"/>
          <w:color w:val="000000" w:themeColor="text1"/>
          <w:sz w:val="24"/>
          <w:szCs w:val="24"/>
          <w:lang w:eastAsia="ru-RU"/>
        </w:rPr>
        <w:t>помощь молодым сотрудникам в адаптации к условиям и требованиям, предъявляемым к работникам Общества;</w:t>
      </w:r>
    </w:p>
    <w:p w:rsidR="00D602D4" w:rsidRDefault="000B4C86">
      <w:pPr>
        <w:widowControl w:val="0"/>
        <w:numPr>
          <w:ilvl w:val="0"/>
          <w:numId w:val="76"/>
        </w:numPr>
        <w:tabs>
          <w:tab w:val="left" w:pos="851"/>
        </w:tabs>
        <w:spacing w:after="0" w:line="240" w:lineRule="auto"/>
        <w:ind w:left="0" w:firstLine="709"/>
        <w:contextualSpacing/>
        <w:jc w:val="both"/>
        <w:rPr>
          <w:rFonts w:ascii="Times New Roman" w:eastAsia="Calibri" w:hAnsi="Times New Roman" w:cs="Times New Roman"/>
          <w:color w:val="000000" w:themeColor="text1"/>
          <w:sz w:val="24"/>
          <w:szCs w:val="24"/>
          <w:lang w:eastAsia="ru-RU"/>
        </w:rPr>
      </w:pPr>
      <w:r>
        <w:rPr>
          <w:rFonts w:ascii="Times New Roman" w:eastAsia="Calibri" w:hAnsi="Times New Roman" w:cs="Times New Roman"/>
          <w:color w:val="000000" w:themeColor="text1"/>
          <w:sz w:val="24"/>
          <w:szCs w:val="24"/>
          <w:lang w:eastAsia="ru-RU"/>
        </w:rPr>
        <w:t>содействие в формировании команды профессионалов на принципах единой корпоративной культуры Общества, формирования приверженности молодежи, повышения качества персонала, повышения эффективности работы с кадровым резервом, индивидуального подхода к работе с молодежью.</w:t>
      </w:r>
    </w:p>
    <w:p w:rsidR="00D602D4" w:rsidRDefault="000B4C86">
      <w:pPr>
        <w:widowControl w:val="0"/>
        <w:tabs>
          <w:tab w:val="left" w:pos="851"/>
        </w:tabs>
        <w:spacing w:after="0" w:line="240" w:lineRule="auto"/>
        <w:ind w:firstLine="709"/>
        <w:contextualSpacing/>
        <w:jc w:val="both"/>
        <w:rPr>
          <w:rFonts w:ascii="Times New Roman" w:eastAsia="Calibri" w:hAnsi="Times New Roman" w:cs="Times New Roman"/>
          <w:color w:val="000000" w:themeColor="text1"/>
          <w:sz w:val="24"/>
          <w:szCs w:val="24"/>
          <w:lang w:eastAsia="ru-RU"/>
        </w:rPr>
      </w:pPr>
      <w:r>
        <w:rPr>
          <w:rFonts w:ascii="Times New Roman" w:eastAsia="Calibri" w:hAnsi="Times New Roman" w:cs="Times New Roman"/>
          <w:color w:val="000000" w:themeColor="text1"/>
          <w:sz w:val="24"/>
          <w:szCs w:val="24"/>
        </w:rPr>
        <w:t>При участии Советов молодежи в Обществе регулярно проводятся различные мероприятия социальной направленности – празднование Дня Великой Победы, мероприятия, направленные на поддержку здорового образа жизни, мероприятия для детей работников и другие.</w:t>
      </w:r>
    </w:p>
    <w:p w:rsidR="00D602D4" w:rsidRDefault="000B4C86">
      <w:pPr>
        <w:widowControl w:val="0"/>
        <w:tabs>
          <w:tab w:val="left" w:pos="851"/>
        </w:tabs>
        <w:spacing w:after="0" w:line="240" w:lineRule="auto"/>
        <w:ind w:firstLine="709"/>
        <w:contextualSpacing/>
        <w:jc w:val="both"/>
        <w:rPr>
          <w:rFonts w:ascii="Times New Roman" w:eastAsia="Calibri" w:hAnsi="Times New Roman" w:cs="Times New Roman"/>
          <w:color w:val="000000" w:themeColor="text1"/>
          <w:sz w:val="24"/>
          <w:szCs w:val="24"/>
          <w:lang w:eastAsia="ru-RU"/>
        </w:rPr>
      </w:pPr>
      <w:r>
        <w:rPr>
          <w:rFonts w:ascii="Times New Roman" w:hAnsi="Times New Roman" w:cs="Times New Roman"/>
          <w:color w:val="000000" w:themeColor="text1"/>
          <w:sz w:val="24"/>
          <w:szCs w:val="24"/>
        </w:rPr>
        <w:t xml:space="preserve">Также </w:t>
      </w:r>
      <w:r>
        <w:rPr>
          <w:rFonts w:ascii="Times New Roman" w:eastAsia="Calibri" w:hAnsi="Times New Roman" w:cs="Times New Roman"/>
          <w:color w:val="000000" w:themeColor="text1"/>
          <w:sz w:val="24"/>
          <w:szCs w:val="24"/>
        </w:rPr>
        <w:t xml:space="preserve">Совет молодежи </w:t>
      </w:r>
      <w:r>
        <w:rPr>
          <w:rFonts w:ascii="Times New Roman" w:hAnsi="Times New Roman" w:cs="Times New Roman"/>
          <w:color w:val="000000" w:themeColor="text1"/>
          <w:sz w:val="24"/>
          <w:szCs w:val="24"/>
        </w:rPr>
        <w:t>активно принимает участие в региональных спортивных, благотворительных, экологических программах и волонтерских акциях, таких как: День донора, Собери ребенка в школу (Помоги пойти учиться) и другие. Проводит профориентационные мероприятия для учащихся учебных заведений, занятия по электробезопасности в формате интерактивных игр.</w:t>
      </w:r>
    </w:p>
    <w:p w:rsidR="00D602D4" w:rsidRDefault="000B4C86">
      <w:pPr>
        <w:pStyle w:val="220"/>
        <w:spacing w:after="0"/>
        <w:ind w:left="0" w:firstLine="709"/>
        <w:jc w:val="right"/>
        <w:rPr>
          <w:b w:val="0"/>
          <w:sz w:val="24"/>
          <w:szCs w:val="24"/>
        </w:rPr>
      </w:pPr>
      <w:bookmarkStart w:id="66" w:name="_Toc99"/>
      <w:r>
        <w:rPr>
          <w:b w:val="0"/>
          <w:sz w:val="24"/>
          <w:szCs w:val="24"/>
        </w:rPr>
        <w:lastRenderedPageBreak/>
        <w:t>Таблица 48</w:t>
      </w:r>
      <w:bookmarkEnd w:id="66"/>
    </w:p>
    <w:p w:rsidR="00D602D4" w:rsidRDefault="000B4C86">
      <w:pPr>
        <w:pStyle w:val="a1"/>
        <w:numPr>
          <w:ilvl w:val="0"/>
          <w:numId w:val="0"/>
        </w:numPr>
        <w:spacing w:after="0"/>
        <w:ind w:firstLine="709"/>
        <w:rPr>
          <w:b w:val="0"/>
          <w:sz w:val="24"/>
          <w:szCs w:val="24"/>
        </w:rPr>
      </w:pPr>
      <w:bookmarkStart w:id="67" w:name="_Toc100"/>
      <w:r>
        <w:rPr>
          <w:b w:val="0"/>
          <w:sz w:val="24"/>
          <w:szCs w:val="24"/>
        </w:rPr>
        <w:t>Показатели в части молодежной политики</w:t>
      </w:r>
      <w:bookmarkEnd w:id="67"/>
    </w:p>
    <w:tbl>
      <w:tblPr>
        <w:tblW w:w="9888" w:type="dxa"/>
        <w:tblInd w:w="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3"/>
        <w:gridCol w:w="567"/>
        <w:gridCol w:w="1134"/>
        <w:gridCol w:w="993"/>
        <w:gridCol w:w="1275"/>
        <w:gridCol w:w="1276"/>
      </w:tblGrid>
      <w:tr w:rsidR="00D602D4">
        <w:trPr>
          <w:trHeight w:val="170"/>
        </w:trPr>
        <w:tc>
          <w:tcPr>
            <w:tcW w:w="4643" w:type="dxa"/>
            <w:vMerge w:val="restart"/>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Показатели</w:t>
            </w:r>
          </w:p>
        </w:tc>
        <w:tc>
          <w:tcPr>
            <w:tcW w:w="567" w:type="dxa"/>
            <w:vMerge w:val="restart"/>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Ед.изм</w:t>
            </w:r>
          </w:p>
        </w:tc>
        <w:tc>
          <w:tcPr>
            <w:tcW w:w="4678" w:type="dxa"/>
            <w:gridSpan w:val="4"/>
            <w:shd w:val="clear" w:color="FFFFFF" w:fill="FFFFFF"/>
            <w:noWrap/>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Период</w:t>
            </w:r>
          </w:p>
        </w:tc>
      </w:tr>
      <w:tr w:rsidR="00D602D4">
        <w:trPr>
          <w:trHeight w:val="230"/>
        </w:trPr>
        <w:tc>
          <w:tcPr>
            <w:tcW w:w="4643" w:type="dxa"/>
            <w:vMerge/>
            <w:vAlign w:val="center"/>
          </w:tcPr>
          <w:p w:rsidR="00D602D4" w:rsidRDefault="00D602D4">
            <w:pPr>
              <w:rPr>
                <w:rFonts w:ascii="Times New Roman" w:eastAsia="Times New Roman" w:hAnsi="Times New Roman" w:cs="Times New Roman"/>
                <w:bCs/>
                <w:color w:val="000000"/>
                <w:sz w:val="20"/>
                <w:szCs w:val="20"/>
                <w:lang w:eastAsia="ru-RU"/>
              </w:rPr>
            </w:pPr>
          </w:p>
        </w:tc>
        <w:tc>
          <w:tcPr>
            <w:tcW w:w="567" w:type="dxa"/>
            <w:vMerge/>
            <w:vAlign w:val="center"/>
          </w:tcPr>
          <w:p w:rsidR="00D602D4" w:rsidRDefault="00D602D4">
            <w:pPr>
              <w:rPr>
                <w:rFonts w:ascii="Times New Roman" w:eastAsia="Times New Roman" w:hAnsi="Times New Roman" w:cs="Times New Roman"/>
                <w:bCs/>
                <w:color w:val="000000"/>
                <w:sz w:val="20"/>
                <w:szCs w:val="20"/>
                <w:lang w:eastAsia="ru-RU"/>
              </w:rPr>
            </w:pPr>
          </w:p>
        </w:tc>
        <w:tc>
          <w:tcPr>
            <w:tcW w:w="1134"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2022 год</w:t>
            </w:r>
          </w:p>
        </w:tc>
        <w:tc>
          <w:tcPr>
            <w:tcW w:w="993"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2023 год</w:t>
            </w:r>
          </w:p>
        </w:tc>
        <w:tc>
          <w:tcPr>
            <w:tcW w:w="1275"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2024 год</w:t>
            </w:r>
          </w:p>
        </w:tc>
        <w:tc>
          <w:tcPr>
            <w:tcW w:w="1276" w:type="dxa"/>
            <w:vMerge w:val="restart"/>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изменение 2024/2023, %</w:t>
            </w:r>
          </w:p>
        </w:tc>
      </w:tr>
      <w:tr w:rsidR="00D602D4">
        <w:trPr>
          <w:trHeight w:val="170"/>
        </w:trPr>
        <w:tc>
          <w:tcPr>
            <w:tcW w:w="4643" w:type="dxa"/>
            <w:vMerge/>
            <w:vAlign w:val="center"/>
          </w:tcPr>
          <w:p w:rsidR="00D602D4" w:rsidRDefault="00D602D4">
            <w:pPr>
              <w:rPr>
                <w:rFonts w:ascii="Times New Roman" w:eastAsia="Times New Roman" w:hAnsi="Times New Roman" w:cs="Times New Roman"/>
                <w:bCs/>
                <w:color w:val="000000"/>
                <w:sz w:val="20"/>
                <w:szCs w:val="20"/>
                <w:lang w:eastAsia="ru-RU"/>
              </w:rPr>
            </w:pPr>
          </w:p>
        </w:tc>
        <w:tc>
          <w:tcPr>
            <w:tcW w:w="567" w:type="dxa"/>
            <w:vMerge/>
            <w:vAlign w:val="center"/>
          </w:tcPr>
          <w:p w:rsidR="00D602D4" w:rsidRDefault="00D602D4">
            <w:pPr>
              <w:rPr>
                <w:rFonts w:ascii="Times New Roman" w:eastAsia="Times New Roman" w:hAnsi="Times New Roman" w:cs="Times New Roman"/>
                <w:bCs/>
                <w:color w:val="000000"/>
                <w:sz w:val="20"/>
                <w:szCs w:val="20"/>
                <w:lang w:eastAsia="ru-RU"/>
              </w:rPr>
            </w:pPr>
          </w:p>
        </w:tc>
        <w:tc>
          <w:tcPr>
            <w:tcW w:w="1134"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факт</w:t>
            </w:r>
          </w:p>
        </w:tc>
        <w:tc>
          <w:tcPr>
            <w:tcW w:w="993"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факт</w:t>
            </w:r>
          </w:p>
        </w:tc>
        <w:tc>
          <w:tcPr>
            <w:tcW w:w="1275" w:type="dxa"/>
            <w:shd w:val="clear" w:color="FFFFFF" w:fill="FFFFFF"/>
            <w:vAlign w:val="center"/>
          </w:tcPr>
          <w:p w:rsidR="00D602D4" w:rsidRDefault="000B4C86">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факт</w:t>
            </w:r>
          </w:p>
        </w:tc>
        <w:tc>
          <w:tcPr>
            <w:tcW w:w="1276" w:type="dxa"/>
            <w:vMerge/>
            <w:vAlign w:val="center"/>
          </w:tcPr>
          <w:p w:rsidR="00D602D4" w:rsidRDefault="00D602D4">
            <w:pPr>
              <w:rPr>
                <w:rFonts w:ascii="Times New Roman" w:eastAsia="Times New Roman" w:hAnsi="Times New Roman" w:cs="Times New Roman"/>
                <w:color w:val="000000"/>
                <w:sz w:val="20"/>
                <w:szCs w:val="20"/>
                <w:lang w:eastAsia="ru-RU"/>
              </w:rPr>
            </w:pPr>
          </w:p>
        </w:tc>
      </w:tr>
      <w:tr w:rsidR="00D602D4">
        <w:trPr>
          <w:trHeight w:val="170"/>
        </w:trPr>
        <w:tc>
          <w:tcPr>
            <w:tcW w:w="464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567"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13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c>
          <w:tcPr>
            <w:tcW w:w="99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w:t>
            </w:r>
          </w:p>
        </w:tc>
        <w:tc>
          <w:tcPr>
            <w:tcW w:w="127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276"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r>
      <w:tr w:rsidR="00D602D4">
        <w:trPr>
          <w:trHeight w:val="170"/>
        </w:trPr>
        <w:tc>
          <w:tcPr>
            <w:tcW w:w="4643" w:type="dxa"/>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Число школьников, участвующих в профориентационных проектах группы компаний «Россети»</w:t>
            </w:r>
          </w:p>
        </w:tc>
        <w:tc>
          <w:tcPr>
            <w:tcW w:w="567"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чел</w:t>
            </w:r>
          </w:p>
        </w:tc>
        <w:tc>
          <w:tcPr>
            <w:tcW w:w="113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441</w:t>
            </w:r>
          </w:p>
        </w:tc>
        <w:tc>
          <w:tcPr>
            <w:tcW w:w="99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744</w:t>
            </w:r>
          </w:p>
        </w:tc>
        <w:tc>
          <w:tcPr>
            <w:tcW w:w="127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2285</w:t>
            </w:r>
          </w:p>
        </w:tc>
        <w:tc>
          <w:tcPr>
            <w:tcW w:w="1276" w:type="dxa"/>
            <w:shd w:val="clear" w:color="FFFFFF" w:fill="FFFFFF"/>
            <w:vAlign w:val="center"/>
          </w:tcPr>
          <w:p w:rsidR="00D602D4" w:rsidRDefault="000B4C86">
            <w:pPr>
              <w:spacing w:after="0" w:line="240" w:lineRule="auto"/>
              <w:jc w:val="center"/>
              <w:rPr>
                <w:rFonts w:ascii="Times New Roman" w:eastAsia="Times New Roman" w:hAnsi="Times New Roman" w:cs="Times New Roman"/>
                <w:iCs/>
                <w:color w:val="000000" w:themeColor="text1"/>
                <w:sz w:val="20"/>
                <w:szCs w:val="20"/>
                <w:lang w:eastAsia="ru-RU"/>
              </w:rPr>
            </w:pPr>
            <w:r>
              <w:rPr>
                <w:rFonts w:ascii="Times New Roman" w:eastAsia="Times New Roman" w:hAnsi="Times New Roman" w:cs="Times New Roman"/>
                <w:iCs/>
                <w:color w:val="000000" w:themeColor="text1"/>
                <w:sz w:val="20"/>
                <w:szCs w:val="20"/>
                <w:lang w:eastAsia="ru-RU"/>
              </w:rPr>
              <w:t>+ 207%</w:t>
            </w:r>
          </w:p>
        </w:tc>
      </w:tr>
      <w:tr w:rsidR="00D602D4">
        <w:trPr>
          <w:trHeight w:val="170"/>
        </w:trPr>
        <w:tc>
          <w:tcPr>
            <w:tcW w:w="4643" w:type="dxa"/>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Число вузов/ ссузов партнеров в регионах присутствия компании</w:t>
            </w:r>
          </w:p>
        </w:tc>
        <w:tc>
          <w:tcPr>
            <w:tcW w:w="567"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ед</w:t>
            </w:r>
          </w:p>
        </w:tc>
        <w:tc>
          <w:tcPr>
            <w:tcW w:w="113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53</w:t>
            </w:r>
          </w:p>
        </w:tc>
        <w:tc>
          <w:tcPr>
            <w:tcW w:w="99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54</w:t>
            </w:r>
          </w:p>
        </w:tc>
        <w:tc>
          <w:tcPr>
            <w:tcW w:w="127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98</w:t>
            </w:r>
          </w:p>
        </w:tc>
        <w:tc>
          <w:tcPr>
            <w:tcW w:w="1276" w:type="dxa"/>
            <w:shd w:val="clear" w:color="FFFFFF" w:fill="FFFFFF"/>
            <w:vAlign w:val="center"/>
          </w:tcPr>
          <w:p w:rsidR="00D602D4" w:rsidRDefault="000B4C86">
            <w:pPr>
              <w:spacing w:after="0" w:line="240" w:lineRule="auto"/>
              <w:jc w:val="center"/>
              <w:rPr>
                <w:rFonts w:ascii="Times New Roman" w:eastAsia="Times New Roman" w:hAnsi="Times New Roman" w:cs="Times New Roman"/>
                <w:iCs/>
                <w:color w:val="000000" w:themeColor="text1"/>
                <w:sz w:val="20"/>
                <w:szCs w:val="20"/>
                <w:lang w:eastAsia="ru-RU"/>
              </w:rPr>
            </w:pPr>
            <w:r>
              <w:rPr>
                <w:rFonts w:ascii="Times New Roman" w:eastAsia="Times New Roman" w:hAnsi="Times New Roman" w:cs="Times New Roman"/>
                <w:iCs/>
                <w:color w:val="000000" w:themeColor="text1"/>
                <w:sz w:val="20"/>
                <w:szCs w:val="20"/>
                <w:lang w:eastAsia="ru-RU"/>
              </w:rPr>
              <w:t>+ 81,5%</w:t>
            </w:r>
          </w:p>
        </w:tc>
      </w:tr>
      <w:tr w:rsidR="00D602D4">
        <w:trPr>
          <w:trHeight w:val="170"/>
        </w:trPr>
        <w:tc>
          <w:tcPr>
            <w:tcW w:w="4643" w:type="dxa"/>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Число студентов вузов/ ссузов, проходящих подготовку по договорам целевого обучения с компанией</w:t>
            </w:r>
          </w:p>
        </w:tc>
        <w:tc>
          <w:tcPr>
            <w:tcW w:w="567"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чел</w:t>
            </w:r>
          </w:p>
        </w:tc>
        <w:tc>
          <w:tcPr>
            <w:tcW w:w="113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186</w:t>
            </w:r>
          </w:p>
        </w:tc>
        <w:tc>
          <w:tcPr>
            <w:tcW w:w="99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513</w:t>
            </w:r>
          </w:p>
        </w:tc>
        <w:tc>
          <w:tcPr>
            <w:tcW w:w="127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442</w:t>
            </w:r>
          </w:p>
        </w:tc>
        <w:tc>
          <w:tcPr>
            <w:tcW w:w="1276" w:type="dxa"/>
            <w:shd w:val="clear" w:color="FFFFFF" w:fill="FFFFFF"/>
            <w:vAlign w:val="center"/>
          </w:tcPr>
          <w:p w:rsidR="00D602D4" w:rsidRDefault="000B4C86">
            <w:pPr>
              <w:spacing w:after="0" w:line="240" w:lineRule="auto"/>
              <w:jc w:val="center"/>
              <w:rPr>
                <w:rFonts w:ascii="Times New Roman" w:eastAsia="Times New Roman" w:hAnsi="Times New Roman" w:cs="Times New Roman"/>
                <w:iCs/>
                <w:color w:val="000000" w:themeColor="text1"/>
                <w:sz w:val="20"/>
                <w:szCs w:val="20"/>
                <w:lang w:eastAsia="ru-RU"/>
              </w:rPr>
            </w:pPr>
            <w:r>
              <w:rPr>
                <w:rFonts w:ascii="Times New Roman" w:eastAsia="Times New Roman" w:hAnsi="Times New Roman" w:cs="Times New Roman"/>
                <w:iCs/>
                <w:color w:val="000000" w:themeColor="text1"/>
                <w:sz w:val="20"/>
                <w:szCs w:val="20"/>
                <w:lang w:eastAsia="ru-RU"/>
              </w:rPr>
              <w:t>-13,8%</w:t>
            </w:r>
          </w:p>
        </w:tc>
      </w:tr>
      <w:tr w:rsidR="00D602D4">
        <w:trPr>
          <w:trHeight w:val="170"/>
        </w:trPr>
        <w:tc>
          <w:tcPr>
            <w:tcW w:w="4643" w:type="dxa"/>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Число студентов вузов/ ссузов, прошедших практику в компании</w:t>
            </w:r>
          </w:p>
        </w:tc>
        <w:tc>
          <w:tcPr>
            <w:tcW w:w="567"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чел</w:t>
            </w:r>
          </w:p>
        </w:tc>
        <w:tc>
          <w:tcPr>
            <w:tcW w:w="113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916</w:t>
            </w:r>
          </w:p>
        </w:tc>
        <w:tc>
          <w:tcPr>
            <w:tcW w:w="99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1425</w:t>
            </w:r>
          </w:p>
        </w:tc>
        <w:tc>
          <w:tcPr>
            <w:tcW w:w="127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1289</w:t>
            </w:r>
          </w:p>
        </w:tc>
        <w:tc>
          <w:tcPr>
            <w:tcW w:w="1276" w:type="dxa"/>
            <w:shd w:val="clear" w:color="FFFFFF" w:fill="FFFFFF"/>
            <w:vAlign w:val="center"/>
          </w:tcPr>
          <w:p w:rsidR="00D602D4" w:rsidRDefault="000B4C86">
            <w:pPr>
              <w:spacing w:after="0" w:line="240" w:lineRule="auto"/>
              <w:jc w:val="center"/>
              <w:rPr>
                <w:rFonts w:ascii="Times New Roman" w:eastAsia="Times New Roman" w:hAnsi="Times New Roman" w:cs="Times New Roman"/>
                <w:iCs/>
                <w:color w:val="000000" w:themeColor="text1"/>
                <w:sz w:val="20"/>
                <w:szCs w:val="20"/>
                <w:lang w:eastAsia="ru-RU"/>
              </w:rPr>
            </w:pPr>
            <w:r>
              <w:rPr>
                <w:rFonts w:ascii="Times New Roman" w:eastAsia="Times New Roman" w:hAnsi="Times New Roman" w:cs="Times New Roman"/>
                <w:iCs/>
                <w:color w:val="000000" w:themeColor="text1"/>
                <w:sz w:val="20"/>
                <w:szCs w:val="20"/>
                <w:lang w:eastAsia="ru-RU"/>
              </w:rPr>
              <w:t>-9,9%</w:t>
            </w:r>
          </w:p>
        </w:tc>
      </w:tr>
      <w:tr w:rsidR="00D602D4">
        <w:trPr>
          <w:trHeight w:val="170"/>
        </w:trPr>
        <w:tc>
          <w:tcPr>
            <w:tcW w:w="4643" w:type="dxa"/>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Число выпускников вузов/ ссузов, трудоустроенных в компанию в отчетном году</w:t>
            </w:r>
          </w:p>
        </w:tc>
        <w:tc>
          <w:tcPr>
            <w:tcW w:w="567"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чел.</w:t>
            </w:r>
          </w:p>
        </w:tc>
        <w:tc>
          <w:tcPr>
            <w:tcW w:w="113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116</w:t>
            </w:r>
          </w:p>
        </w:tc>
        <w:tc>
          <w:tcPr>
            <w:tcW w:w="99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122</w:t>
            </w:r>
          </w:p>
        </w:tc>
        <w:tc>
          <w:tcPr>
            <w:tcW w:w="127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151</w:t>
            </w:r>
          </w:p>
        </w:tc>
        <w:tc>
          <w:tcPr>
            <w:tcW w:w="1276" w:type="dxa"/>
            <w:shd w:val="clear" w:color="FFFFFF" w:fill="FFFFFF"/>
            <w:vAlign w:val="center"/>
          </w:tcPr>
          <w:p w:rsidR="00D602D4" w:rsidRDefault="000B4C86">
            <w:pPr>
              <w:spacing w:after="0" w:line="240" w:lineRule="auto"/>
              <w:jc w:val="center"/>
              <w:rPr>
                <w:rFonts w:ascii="Times New Roman" w:eastAsia="Times New Roman" w:hAnsi="Times New Roman" w:cs="Times New Roman"/>
                <w:iCs/>
                <w:color w:val="000000" w:themeColor="text1"/>
                <w:sz w:val="20"/>
                <w:szCs w:val="20"/>
                <w:lang w:eastAsia="ru-RU"/>
              </w:rPr>
            </w:pPr>
            <w:r>
              <w:rPr>
                <w:rFonts w:ascii="Times New Roman" w:eastAsia="Times New Roman" w:hAnsi="Times New Roman" w:cs="Times New Roman"/>
                <w:iCs/>
                <w:color w:val="000000" w:themeColor="text1"/>
                <w:sz w:val="20"/>
                <w:szCs w:val="20"/>
                <w:lang w:eastAsia="ru-RU"/>
              </w:rPr>
              <w:t>+23,7%</w:t>
            </w:r>
          </w:p>
        </w:tc>
      </w:tr>
      <w:tr w:rsidR="00D602D4">
        <w:trPr>
          <w:trHeight w:val="170"/>
        </w:trPr>
        <w:tc>
          <w:tcPr>
            <w:tcW w:w="4643" w:type="dxa"/>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Число молодых специалистов, принявших участие в конкурсах, форумах, конференциях корпоративного, регионального или федерального уровня</w:t>
            </w:r>
          </w:p>
        </w:tc>
        <w:tc>
          <w:tcPr>
            <w:tcW w:w="567" w:type="dxa"/>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чел.</w:t>
            </w:r>
          </w:p>
        </w:tc>
        <w:tc>
          <w:tcPr>
            <w:tcW w:w="1134"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w:t>
            </w:r>
          </w:p>
        </w:tc>
        <w:tc>
          <w:tcPr>
            <w:tcW w:w="99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45</w:t>
            </w:r>
          </w:p>
        </w:tc>
        <w:tc>
          <w:tcPr>
            <w:tcW w:w="1275"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97</w:t>
            </w:r>
          </w:p>
        </w:tc>
        <w:tc>
          <w:tcPr>
            <w:tcW w:w="1276" w:type="dxa"/>
            <w:shd w:val="clear" w:color="FFFFFF" w:fill="FFFFFF"/>
            <w:vAlign w:val="center"/>
          </w:tcPr>
          <w:p w:rsidR="00D602D4" w:rsidRDefault="000B4C86">
            <w:pPr>
              <w:spacing w:after="0" w:line="240" w:lineRule="auto"/>
              <w:jc w:val="center"/>
              <w:rPr>
                <w:rFonts w:ascii="Times New Roman" w:eastAsia="Times New Roman" w:hAnsi="Times New Roman" w:cs="Times New Roman"/>
                <w:iCs/>
                <w:color w:val="000000" w:themeColor="text1"/>
                <w:sz w:val="20"/>
                <w:szCs w:val="20"/>
                <w:lang w:eastAsia="ru-RU"/>
              </w:rPr>
            </w:pPr>
            <w:r>
              <w:rPr>
                <w:rFonts w:ascii="Times New Roman" w:eastAsia="Times New Roman" w:hAnsi="Times New Roman" w:cs="Times New Roman"/>
                <w:iCs/>
                <w:color w:val="000000" w:themeColor="text1"/>
                <w:sz w:val="20"/>
                <w:szCs w:val="20"/>
                <w:lang w:eastAsia="ru-RU"/>
              </w:rPr>
              <w:t>+115,5 %</w:t>
            </w:r>
          </w:p>
        </w:tc>
      </w:tr>
    </w:tbl>
    <w:p w:rsidR="00D602D4" w:rsidRDefault="000B4C86">
      <w:pPr>
        <w:pStyle w:val="13"/>
        <w:spacing w:before="0" w:line="240" w:lineRule="auto"/>
        <w:rPr>
          <w:rFonts w:ascii="Times New Roman" w:hAnsi="Times New Roman" w:cs="Times New Roman"/>
          <w:b/>
          <w:bCs/>
          <w:color w:val="auto"/>
          <w:sz w:val="26"/>
          <w:szCs w:val="26"/>
        </w:rPr>
      </w:pPr>
      <w:bookmarkStart w:id="68" w:name="_Toc101"/>
      <w:r>
        <w:rPr>
          <w:rFonts w:ascii="Times New Roman" w:eastAsia="Times New Roman" w:hAnsi="Times New Roman" w:cs="Times New Roman"/>
          <w:b/>
          <w:color w:val="auto"/>
          <w:sz w:val="26"/>
          <w:szCs w:val="26"/>
        </w:rPr>
        <w:t>4.4. Охрана труда и промышленная безопасность</w:t>
      </w:r>
      <w:bookmarkEnd w:id="68"/>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В целях установления единой системы организации управления труда в Обществе и обеспечения безопасных и нормальных условий труда для работников на всех стадиях производства, контроля соблюдения требований охраны труда на всех уровнях управления в Обществе действует «Положение о системе управления охраной труда в группе компаний Россети», утвержденное приказом ПАО «Россети» от 21.09.2023 № 412.</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Все без исключения работники Общества, а также работники, не находящиеся в штате Общества, но их рабочие процессы/рабочие места находятся под контролем Компании, охвачены системой управления охраной труда на 100%.</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Основным принципом политики ПАО «Россети Сибирь» в области охраны труда является обеспечение безопасных условий труда, сохранение жизни и здоровья работников.</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Руководители всех уровней несут ответственность за охрану труда в пределах своей компетенции и должностных обязанностей. Обязанности работодателя, руководителей и работников в области охраны труда закреплены Трудовым Кодексом Российской Федерации, стандартом организации СО 5.167/0 «Распределение прав, обязанностей и ответственности в области охраны труда. Положение», положениях о структурных подразделениях, должностных и производственных инструкциях, инструкциях по охране труда.</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Вместе с тем, в Обществе внедрена и сертифицирована система менеджмента охраны труда по стандарту ГОСТ Р ИСО 45001 (ISO 45001) в рамках интегрированной системы менеджмента.</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Существенных нарушений в сфере охраны труда в 2024 году не допущено.</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В целях идентификации опасностей и оценки рисков в Обществе, согласно требованиям cтандарта организации СО 2.054/0 «Идентификация опасностей и оценка рисков профессионального здоровья и безопасности. Методика», были разработаны и реализованы мероприятия по определению (установлению), устранению (ограничению) опасностей существующих рисков. На заседаниях рабочих групп во всех подразделениях Общества рассмотрены выявленные риски повреждения здоровья, определены дополнительные меры управления по их снижению. Разработаны и утверждены перечни критических рисков, таких как:</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lastRenderedPageBreak/>
        <w:t>Поражение электрическим током;</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Падение пострадавшего с высоты, на поверхности;</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Движущиеся машины и механизмы (в том числе движение автотранспорта по территории производственных площадок);</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Падения, обрушения, обвалы предметов, материалов, земли и т.д., в том числе при работах в условиях возможных землетрясений;</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Воздействие движущихся, разлетающихся, вращающихся предметов, деталей и инструмента, в том числе при эксплуатации станочного парка;</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Высокая температура поверхности, в том числе отопительные и обогревательные стационарные источники, и огневые работы, в т.ч. электродуга;</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Воздействие среды с низкой и высокой температурой (климатические воздействия);</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Подъем, перемещение тяжестей вручную;</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Повреждения в результате контакта с растениями, животными, насекомыми и пресмыкающимися;</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Негативное воздействие на органы зрения;</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Умственное и психо - эмоциональное перенапряжение;</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Воздействие посторонних лиц при встрече с социально опасными лицами;</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Утопление в ходе выполнения мероприятий при работе в условиях паводка и в период активного снеготаяния;</w:t>
      </w:r>
    </w:p>
    <w:p w:rsidR="00D602D4" w:rsidRDefault="000B4C86">
      <w:pPr>
        <w:pStyle w:val="ac"/>
        <w:widowControl w:val="0"/>
        <w:numPr>
          <w:ilvl w:val="0"/>
          <w:numId w:val="77"/>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Дорожно-транспортные происшествия.</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Для проведения процедуры оценки опасностей и рисков привлекалась специализированная организация. Результаты идентификации опасностей и оценки рисков представляются в виде «Карты оценки производственных профессиональных рисков». Информирование работников о существующих профессиональных рисках, имеющихся на рабочем месте, осуществляется при проведении вводного инструктажа по охране труда, а также по результатам идентификации (выявлении) опасностей и оценки уровней рисков на рабочих местах.</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Расследование несчастных случаев на производстве осуществляется в соответствии с требованиями Трудового Кодекса Российской Федерации на основании Положения об особенностях расследования несчастных случаев на производстве в отдельных отраслях и организациях, форм документов, соответствующих классификаторов, необходимых для расследования несчастных случаев на производстве, утвержденного приказом министерства труда и социальной защиты Российской Федерации от 20.04.2022 № 223н.</w:t>
      </w:r>
    </w:p>
    <w:p w:rsidR="00D602D4" w:rsidRDefault="000B4C86">
      <w:pPr>
        <w:pStyle w:val="ac"/>
        <w:widowControl w:val="0"/>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Порядок фиксации и расследования микротравм в Обществе осуществляется, согласно требованиям cтандарта организации СО 5.040/0 «Учет происшествий и микроповреждений (микротравм) в ПАО «Россети Сибирь». Положение».</w:t>
      </w:r>
    </w:p>
    <w:p w:rsidR="00D602D4" w:rsidRDefault="000B4C86">
      <w:pPr>
        <w:pStyle w:val="ac"/>
        <w:widowControl w:val="0"/>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color w:val="000000" w:themeColor="text1"/>
          <w:sz w:val="24"/>
          <w:szCs w:val="24"/>
        </w:rPr>
        <w:t xml:space="preserve">В Компании функционируют структурные подразделения охраны труда (далее – СП ОТ), в которые входят подготовленные и обученные специалисты, соответствующие профессиональному стандарту «Специалист в области охраны труда», утвержденному приказом Министерства труда и социальной защиты </w:t>
      </w:r>
      <w:r>
        <w:rPr>
          <w:rFonts w:ascii="Times New Roman" w:eastAsia="Times New Roman" w:hAnsi="Times New Roman" w:cs="Times New Roman"/>
          <w:sz w:val="24"/>
          <w:szCs w:val="24"/>
        </w:rPr>
        <w:t>Российской Федерации</w:t>
      </w:r>
      <w:r>
        <w:rPr>
          <w:rFonts w:ascii="Times New Roman" w:eastAsia="Times New Roman" w:hAnsi="Times New Roman" w:cs="Times New Roman"/>
          <w:color w:val="000000" w:themeColor="text1"/>
          <w:sz w:val="24"/>
          <w:szCs w:val="24"/>
        </w:rPr>
        <w:t xml:space="preserve"> от 22.04.2021 № 274н.</w:t>
      </w:r>
    </w:p>
    <w:p w:rsidR="00D602D4" w:rsidRDefault="000B4C86">
      <w:pPr>
        <w:pStyle w:val="ac"/>
        <w:widowControl w:val="0"/>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Для обеспечения приоритета сохранения здоровья и жизни работников Общества по отношению к любым другим результатам трудовой деятельности в течение 2024 года в соответствие требований Федерального закона от 30.12.2001 №197-ФЗ «Трудовой Кодекс Российской Федерации» проведена работа по обеспечению безопасных условий труда на рабочих местах и по профилактике производственного травматизма и травматизма сторонних лиц на объектах Общества.</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Поражение электрическим током;</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Падение пострадавшего с высоты, на поверхности;</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Движущиеся машины и механизмы (в том числе движение автотранспорта по </w:t>
      </w:r>
      <w:r>
        <w:rPr>
          <w:rFonts w:ascii="Times New Roman" w:eastAsia="Times New Roman" w:hAnsi="Times New Roman" w:cs="Times New Roman"/>
          <w:sz w:val="24"/>
          <w:szCs w:val="24"/>
        </w:rPr>
        <w:lastRenderedPageBreak/>
        <w:t>территории производственных площадок);</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Падения, обрушения, обвалы предметов, материалов, земли и т.д., в том числе при работах в условиях возможных землетрясений;</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Воздействие движущихся, разлетающихся, вращающихся предметов, деталей и инструмента, в том числе при эксплуатации станочного парка;</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Высокая температура поверхности, в том числе отопительные и обогревательные стационарные источники, и огневые работы, в т.ч. электродуга;</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Воздействие среды с низкой и высокой температурой (климатические воздействия);</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Подъем, перемещение тяжестей вручную;</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Повреждения в результате контакта с растениями, животными, насекомыми и пресмыкающимися;</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Негативное воздействие на органы зрения;</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Умственное и психо - эмоциональное перенапряжение;</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Воздействие посторонних лиц при встрече с социально опасными лицами;</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Утопление в ходе выполнения мероприятий при работе в условиях паводка и в период активного снеготаяния;</w:t>
      </w:r>
    </w:p>
    <w:p w:rsidR="00D602D4" w:rsidRDefault="000B4C86">
      <w:pPr>
        <w:pStyle w:val="ac"/>
        <w:widowControl w:val="0"/>
        <w:numPr>
          <w:ilvl w:val="0"/>
          <w:numId w:val="78"/>
        </w:numPr>
        <w:tabs>
          <w:tab w:val="left" w:pos="993"/>
        </w:tabs>
        <w:spacing w:after="0" w:line="240" w:lineRule="auto"/>
        <w:ind w:left="0" w:firstLine="709"/>
        <w:jc w:val="both"/>
        <w:rPr>
          <w:rFonts w:ascii="Times New Roman" w:hAnsi="Times New Roman" w:cs="Times New Roman"/>
          <w:sz w:val="24"/>
          <w:szCs w:val="24"/>
        </w:rPr>
      </w:pPr>
      <w:r>
        <w:rPr>
          <w:rFonts w:ascii="Times New Roman" w:eastAsia="Times New Roman" w:hAnsi="Times New Roman" w:cs="Times New Roman"/>
          <w:sz w:val="24"/>
          <w:szCs w:val="24"/>
        </w:rPr>
        <w:t>Дорожно-транспортные происшествия.</w:t>
      </w:r>
    </w:p>
    <w:p w:rsidR="00D602D4" w:rsidRDefault="000B4C86">
      <w:pPr>
        <w:spacing w:after="0" w:line="240" w:lineRule="auto"/>
        <w:ind w:firstLine="720"/>
        <w:jc w:val="both"/>
        <w:rPr>
          <w:rFonts w:ascii="Times New Roman" w:hAnsi="Times New Roman" w:cs="Times New Roman"/>
          <w:sz w:val="24"/>
          <w:szCs w:val="24"/>
        </w:rPr>
      </w:pPr>
      <w:r>
        <w:rPr>
          <w:rFonts w:ascii="Times New Roman" w:eastAsia="Times New Roman" w:hAnsi="Times New Roman" w:cs="Times New Roman"/>
          <w:sz w:val="24"/>
          <w:szCs w:val="24"/>
          <w:lang w:eastAsia="ar-SA"/>
        </w:rPr>
        <w:t>Работы повышенной опасности выполняются в соответствии с утвержденным Перечнем работ повышенной опасности только при наличии оформленного бланка наряда-допуска установленной формы, с обязательным оформлением в Журнале регистрации выдачи нарядов-допусков на выполнение работ повышенной опасности и после проведения целевого инструктажа непосредственно на рабочем месте.</w:t>
      </w:r>
    </w:p>
    <w:p w:rsidR="00D602D4" w:rsidRDefault="000B4C86">
      <w:pPr>
        <w:widowControl w:val="0"/>
        <w:spacing w:after="0" w:line="240" w:lineRule="auto"/>
        <w:ind w:right="57" w:firstLine="708"/>
        <w:jc w:val="both"/>
        <w:rPr>
          <w:rFonts w:ascii="Times New Roman" w:hAnsi="Times New Roman" w:cs="Times New Roman"/>
          <w:b/>
          <w:bCs/>
          <w:sz w:val="24"/>
          <w:szCs w:val="24"/>
        </w:rPr>
      </w:pPr>
      <w:r>
        <w:rPr>
          <w:rFonts w:ascii="Times New Roman" w:eastAsia="Times New Roman" w:hAnsi="Times New Roman" w:cs="Times New Roman"/>
          <w:sz w:val="24"/>
          <w:szCs w:val="24"/>
        </w:rPr>
        <w:t>Работники, выполняющие работы повышенной опасности, в обязательном порядке проходят обучение методам безопасного выполнения работ в специализированных образовательных учреждениях.</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С целью выявления и снижения уровня воздействия на работников вредных и (или) опасных производственных факторов во всех подразделениях Общества проводится специальная оценка труда в соответствии с требованиями Федерального закона от 28.12.2013 № 426-ФЗ (ред. от 24.07.2023) «О специальной оценке условий труда», </w:t>
      </w:r>
      <w:r>
        <w:rPr>
          <w:rFonts w:ascii="Times New Roman" w:eastAsia="Times New Roman" w:hAnsi="Times New Roman" w:cs="Times New Roman"/>
          <w:sz w:val="24"/>
          <w:szCs w:val="24"/>
        </w:rPr>
        <w:br/>
        <w:t>ст. 214 Трудового Кодекса Российской Федерации.</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Работникам, выполняющим свои обязанности на рабочих местах, не соответствующих государственным нормативным требованиям охраны труда, предусмотрены гарантии и компенсации по результатам проведенной СОУТ такие как повышенный размер оплаты труда, ежегодный дополнительный оплачиваемый отпуск, равноценные продукты.</w:t>
      </w:r>
    </w:p>
    <w:p w:rsidR="00D602D4" w:rsidRDefault="000B4C86">
      <w:pPr>
        <w:pStyle w:val="a9"/>
        <w:ind w:firstLine="709"/>
        <w:jc w:val="both"/>
        <w:rPr>
          <w:rFonts w:ascii="Times New Roman" w:hAnsi="Times New Roman" w:cs="Times New Roman"/>
          <w:sz w:val="24"/>
          <w:szCs w:val="24"/>
        </w:rPr>
      </w:pPr>
      <w:r>
        <w:rPr>
          <w:rFonts w:ascii="Times New Roman" w:eastAsia="Times New Roman" w:hAnsi="Times New Roman" w:cs="Times New Roman"/>
          <w:sz w:val="24"/>
          <w:szCs w:val="24"/>
        </w:rPr>
        <w:t>По результатам проведения СОУТ разрабатывается план мероприятий по улучшению условий труда.</w:t>
      </w:r>
    </w:p>
    <w:p w:rsidR="00D602D4" w:rsidRDefault="000B4C86">
      <w:pPr>
        <w:tabs>
          <w:tab w:val="left" w:pos="993"/>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sz w:val="24"/>
          <w:szCs w:val="24"/>
        </w:rPr>
        <w:t>В целях снижения уровня воздействия (устранения воздействия) на работников вредных и (или) опасных производственных факторов, уровня загрязнения, работникам Общества выдаются в соответствии с Нормами средства индивидуальной защиты (далее – СИЗ), а также смывающие и дерматологические средства.</w:t>
      </w:r>
    </w:p>
    <w:p w:rsidR="00D602D4" w:rsidRDefault="000B4C86">
      <w:pPr>
        <w:pStyle w:val="ConsPlusNormal"/>
        <w:ind w:firstLine="709"/>
        <w:rPr>
          <w:rFonts w:ascii="Times New Roman" w:hAnsi="Times New Roman" w:cs="Times New Roman"/>
          <w:sz w:val="24"/>
          <w:szCs w:val="24"/>
        </w:rPr>
      </w:pPr>
      <w:r>
        <w:rPr>
          <w:rFonts w:ascii="Times New Roman" w:hAnsi="Times New Roman" w:cs="Times New Roman"/>
          <w:sz w:val="24"/>
          <w:szCs w:val="24"/>
        </w:rPr>
        <w:t>На работах, связанных с неустойчивыми загрязнениями, для использования в душевых или в помещениях для умывания работникам выдаются дерматологические СИЗ очищающего типа в виде средств для очищения от неустойчивых загрязнений и смывающие средства в виде твердого мыла или жидких моющих средств (жидкое туалетное мыло).</w:t>
      </w:r>
    </w:p>
    <w:p w:rsidR="00D602D4" w:rsidRDefault="000B4C86">
      <w:pPr>
        <w:widowControl w:val="0"/>
        <w:spacing w:after="0" w:line="240" w:lineRule="auto"/>
        <w:ind w:right="57"/>
        <w:rPr>
          <w:rFonts w:ascii="Times New Roman" w:eastAsia="Times New Roman" w:hAnsi="Times New Roman" w:cs="Times New Roman"/>
          <w:b/>
          <w:bCs/>
          <w:sz w:val="24"/>
          <w:szCs w:val="24"/>
        </w:rPr>
      </w:pPr>
      <w:r>
        <w:rPr>
          <w:rFonts w:ascii="Times New Roman" w:eastAsia="Times New Roman" w:hAnsi="Times New Roman" w:cs="Times New Roman"/>
          <w:noProof/>
          <w:sz w:val="24"/>
          <w:szCs w:val="24"/>
          <w:lang w:eastAsia="ru-RU"/>
        </w:rPr>
        <w:lastRenderedPageBreak/>
        <w:drawing>
          <wp:anchor distT="0" distB="0" distL="114300" distR="114300" simplePos="0" relativeHeight="251609600" behindDoc="0" locked="0" layoutInCell="1" allowOverlap="1">
            <wp:simplePos x="0" y="0"/>
            <wp:positionH relativeFrom="column">
              <wp:posOffset>-6542</wp:posOffset>
            </wp:positionH>
            <wp:positionV relativeFrom="paragraph">
              <wp:posOffset>190338</wp:posOffset>
            </wp:positionV>
            <wp:extent cx="5969634" cy="2225673"/>
            <wp:effectExtent l="3175" t="3175" r="3175" b="3175"/>
            <wp:wrapTopAndBottom/>
            <wp:docPr id="48"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14:sizeRelH relativeFrom="page">
              <wp14:pctWidth>0</wp14:pctWidth>
            </wp14:sizeRelH>
            <wp14:sizeRelV relativeFrom="page">
              <wp14:pctHeight>0</wp14:pctHeight>
            </wp14:sizeRelV>
          </wp:anchor>
        </w:drawing>
      </w:r>
    </w:p>
    <w:p w:rsidR="00D602D4" w:rsidRDefault="000B4C86">
      <w:pPr>
        <w:pStyle w:val="af9"/>
        <w:ind w:left="709" w:firstLine="0"/>
        <w:rPr>
          <w:sz w:val="24"/>
        </w:rPr>
      </w:pPr>
      <w:r>
        <w:rPr>
          <w:sz w:val="24"/>
        </w:rPr>
        <w:t>Рис. 26 - Производственный травматизм и профессиональные заболевания</w:t>
      </w:r>
    </w:p>
    <w:p w:rsidR="00D602D4" w:rsidRDefault="00D602D4">
      <w:pPr>
        <w:pStyle w:val="af9"/>
        <w:ind w:left="709" w:firstLine="0"/>
        <w:rPr>
          <w:sz w:val="24"/>
        </w:rPr>
      </w:pPr>
    </w:p>
    <w:p w:rsidR="00D602D4" w:rsidRDefault="000B4C86">
      <w:pPr>
        <w:pStyle w:val="af9"/>
        <w:numPr>
          <w:ilvl w:val="3"/>
          <w:numId w:val="79"/>
        </w:numPr>
        <w:ind w:left="993"/>
        <w:rPr>
          <w:sz w:val="24"/>
        </w:rPr>
      </w:pPr>
      <w:r>
        <w:rPr>
          <w:sz w:val="24"/>
        </w:rPr>
        <w:t>Динамика общего и смертельного травматизма за 2022-2024:</w:t>
      </w:r>
    </w:p>
    <w:p w:rsidR="00D602D4" w:rsidRDefault="000B4C86">
      <w:pPr>
        <w:pStyle w:val="af9"/>
        <w:numPr>
          <w:ilvl w:val="0"/>
          <w:numId w:val="80"/>
        </w:numPr>
        <w:rPr>
          <w:sz w:val="24"/>
        </w:rPr>
      </w:pPr>
      <w:r>
        <w:rPr>
          <w:sz w:val="24"/>
        </w:rPr>
        <w:t>в 2022 году несчастных случаев не допущено.</w:t>
      </w:r>
    </w:p>
    <w:p w:rsidR="00D602D4" w:rsidRDefault="000B4C86">
      <w:pPr>
        <w:pStyle w:val="af9"/>
        <w:numPr>
          <w:ilvl w:val="0"/>
          <w:numId w:val="80"/>
        </w:numPr>
        <w:ind w:right="-1"/>
        <w:rPr>
          <w:sz w:val="24"/>
        </w:rPr>
      </w:pPr>
      <w:r>
        <w:rPr>
          <w:sz w:val="24"/>
        </w:rPr>
        <w:t>в 2023 году: 3, из которых 1 несчастный случай согласно схеме определения степени тяжести повреждения здоровья, при несчастных случаях на производстве, относится к категории легкий, 1 несчастный случай с тяжелым исходом, 1 несчастный случай со смертельным исходом.</w:t>
      </w:r>
    </w:p>
    <w:p w:rsidR="00D602D4" w:rsidRDefault="000B4C86">
      <w:pPr>
        <w:pStyle w:val="af9"/>
        <w:numPr>
          <w:ilvl w:val="0"/>
          <w:numId w:val="80"/>
        </w:numPr>
        <w:rPr>
          <w:sz w:val="24"/>
        </w:rPr>
      </w:pPr>
      <w:r>
        <w:rPr>
          <w:sz w:val="24"/>
        </w:rPr>
        <w:t>в 2024 году: 1 несчастный случай согласно схеме определения степени тяжести повреждения здоровья, при несчастных случаях на производстве, относится к категории с легким исходом.</w:t>
      </w:r>
    </w:p>
    <w:p w:rsidR="00D602D4" w:rsidRDefault="000B4C86">
      <w:pPr>
        <w:pStyle w:val="af9"/>
        <w:numPr>
          <w:ilvl w:val="3"/>
          <w:numId w:val="79"/>
        </w:numPr>
        <w:ind w:left="993"/>
        <w:rPr>
          <w:sz w:val="24"/>
        </w:rPr>
      </w:pPr>
      <w:r>
        <w:rPr>
          <w:sz w:val="24"/>
        </w:rPr>
        <w:t>Количество пострадавших:</w:t>
      </w:r>
    </w:p>
    <w:p w:rsidR="00D602D4" w:rsidRDefault="000B4C86">
      <w:pPr>
        <w:pStyle w:val="af9"/>
        <w:numPr>
          <w:ilvl w:val="0"/>
          <w:numId w:val="80"/>
        </w:numPr>
        <w:rPr>
          <w:sz w:val="24"/>
        </w:rPr>
      </w:pPr>
      <w:r>
        <w:rPr>
          <w:sz w:val="24"/>
        </w:rPr>
        <w:t>в 2022 году: 0 пострадавших;</w:t>
      </w:r>
    </w:p>
    <w:p w:rsidR="00D602D4" w:rsidRDefault="000B4C86">
      <w:pPr>
        <w:pStyle w:val="af9"/>
        <w:numPr>
          <w:ilvl w:val="0"/>
          <w:numId w:val="80"/>
        </w:numPr>
        <w:rPr>
          <w:sz w:val="24"/>
        </w:rPr>
      </w:pPr>
      <w:r>
        <w:rPr>
          <w:sz w:val="24"/>
        </w:rPr>
        <w:t>в 2023 году: 3 пострадавших;</w:t>
      </w:r>
    </w:p>
    <w:p w:rsidR="00D602D4" w:rsidRDefault="000B4C86">
      <w:pPr>
        <w:pStyle w:val="af9"/>
        <w:numPr>
          <w:ilvl w:val="0"/>
          <w:numId w:val="80"/>
        </w:numPr>
        <w:rPr>
          <w:sz w:val="24"/>
        </w:rPr>
      </w:pPr>
      <w:r>
        <w:rPr>
          <w:sz w:val="24"/>
        </w:rPr>
        <w:t>в 2024 году: 1 пострадавший.</w:t>
      </w:r>
    </w:p>
    <w:p w:rsidR="00D602D4" w:rsidRDefault="000B4C86">
      <w:pPr>
        <w:pStyle w:val="af9"/>
        <w:rPr>
          <w:sz w:val="24"/>
        </w:rPr>
      </w:pPr>
      <w:r>
        <w:rPr>
          <w:sz w:val="24"/>
        </w:rPr>
        <w:t>По сравнению с аналогичным периодом 2023 года количество пострадавших уменьшилось с 3 до 1.</w:t>
      </w:r>
    </w:p>
    <w:p w:rsidR="00D602D4" w:rsidRDefault="000B4C86">
      <w:pPr>
        <w:pStyle w:val="af9"/>
        <w:numPr>
          <w:ilvl w:val="3"/>
          <w:numId w:val="79"/>
        </w:numPr>
        <w:ind w:left="993"/>
        <w:rPr>
          <w:sz w:val="24"/>
        </w:rPr>
      </w:pPr>
      <w:r>
        <w:rPr>
          <w:sz w:val="24"/>
        </w:rPr>
        <w:t>Количество пострадавших со смертельным исходом:</w:t>
      </w:r>
    </w:p>
    <w:p w:rsidR="00D602D4" w:rsidRDefault="000B4C86">
      <w:pPr>
        <w:pStyle w:val="af9"/>
        <w:numPr>
          <w:ilvl w:val="0"/>
          <w:numId w:val="80"/>
        </w:numPr>
        <w:rPr>
          <w:sz w:val="24"/>
        </w:rPr>
      </w:pPr>
      <w:r>
        <w:rPr>
          <w:sz w:val="24"/>
        </w:rPr>
        <w:t>в 2022 году: 0 случаев;</w:t>
      </w:r>
    </w:p>
    <w:p w:rsidR="00D602D4" w:rsidRDefault="000B4C86">
      <w:pPr>
        <w:pStyle w:val="af9"/>
        <w:numPr>
          <w:ilvl w:val="0"/>
          <w:numId w:val="80"/>
        </w:numPr>
        <w:rPr>
          <w:sz w:val="24"/>
        </w:rPr>
      </w:pPr>
      <w:r>
        <w:rPr>
          <w:sz w:val="24"/>
        </w:rPr>
        <w:t>в 2023 году: 1 случай</w:t>
      </w:r>
    </w:p>
    <w:p w:rsidR="00D602D4" w:rsidRDefault="000B4C86">
      <w:pPr>
        <w:pStyle w:val="af9"/>
        <w:numPr>
          <w:ilvl w:val="0"/>
          <w:numId w:val="80"/>
        </w:numPr>
        <w:rPr>
          <w:sz w:val="24"/>
        </w:rPr>
      </w:pPr>
      <w:r>
        <w:rPr>
          <w:sz w:val="24"/>
        </w:rPr>
        <w:t>в 2021 году: 0 случаев.</w:t>
      </w:r>
    </w:p>
    <w:p w:rsidR="00D602D4" w:rsidRDefault="000B4C86">
      <w:pPr>
        <w:pStyle w:val="af9"/>
        <w:ind w:firstLine="709"/>
        <w:rPr>
          <w:sz w:val="24"/>
        </w:rPr>
      </w:pPr>
      <w:r>
        <w:rPr>
          <w:sz w:val="24"/>
        </w:rPr>
        <w:t>По сравнению с аналогичным периодом 2023 года количество пострадавших со смертельным исходом уменьшилось с 1 до 0.</w:t>
      </w:r>
    </w:p>
    <w:p w:rsidR="00D602D4" w:rsidRDefault="000B4C86">
      <w:pPr>
        <w:keepNext/>
        <w:widowControl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период с 2022-2024 гг были зарегистрировано 2 профзаболевания.</w:t>
      </w:r>
    </w:p>
    <w:p w:rsidR="00D602D4" w:rsidRDefault="000B4C86">
      <w:pPr>
        <w:pStyle w:val="af9"/>
        <w:ind w:firstLine="709"/>
        <w:rPr>
          <w:sz w:val="24"/>
        </w:rPr>
      </w:pPr>
      <w:r>
        <w:rPr>
          <w:rFonts w:eastAsia="Calibri"/>
          <w:sz w:val="24"/>
        </w:rPr>
        <w:t>В 2023 году зарегистрировано 1 профессиональное заболевание у водителя автомобиля участка механизации Еравнин</w:t>
      </w:r>
      <w:r>
        <w:rPr>
          <w:sz w:val="24"/>
        </w:rPr>
        <w:t>венны</w:t>
      </w:r>
      <w:r>
        <w:rPr>
          <w:rFonts w:eastAsia="Calibri"/>
          <w:sz w:val="24"/>
        </w:rPr>
        <w:t xml:space="preserve">ского РЭС производственного отделения Центральные электрические сети филиала ПАО «Россети Сибирь» – «Бурятэнерго». </w:t>
      </w:r>
    </w:p>
    <w:p w:rsidR="00D602D4" w:rsidRDefault="000B4C86">
      <w:pPr>
        <w:keepNext/>
        <w:widowControl w:val="0"/>
        <w:spacing w:after="0" w:line="240" w:lineRule="auto"/>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Заключительный диагноз: вибрационная болезнь 2 (второй) ст., связанная с воздействием общей вибрации (умеренно выраженная вегетативно-сенсорная полинейропатия верхних и нижних конечностей, периферический ангиодистонический синдром рук). </w:t>
      </w:r>
    </w:p>
    <w:p w:rsidR="00D602D4" w:rsidRDefault="000B4C86">
      <w:pPr>
        <w:pStyle w:val="afa"/>
        <w:widowControl w:val="0"/>
        <w:spacing w:after="0"/>
        <w:ind w:firstLine="709"/>
        <w:rPr>
          <w:b w:val="0"/>
          <w:i w:val="0"/>
          <w:szCs w:val="24"/>
        </w:rPr>
      </w:pPr>
      <w:r>
        <w:rPr>
          <w:b w:val="0"/>
          <w:i w:val="0"/>
          <w:szCs w:val="24"/>
        </w:rPr>
        <w:t>В 2022 году было зарегистрировано 1 профессиональное заболевание у машиниста крана Участка механизации Курьинского РЭС ПО ЗЭС филиала «Алтайэнерго» Антипова С.К.</w:t>
      </w:r>
    </w:p>
    <w:p w:rsidR="00D602D4" w:rsidRDefault="000B4C86">
      <w:pPr>
        <w:pStyle w:val="afa"/>
        <w:widowControl w:val="0"/>
        <w:spacing w:after="0"/>
        <w:rPr>
          <w:b w:val="0"/>
          <w:i w:val="0"/>
          <w:szCs w:val="24"/>
        </w:rPr>
      </w:pPr>
      <w:r>
        <w:rPr>
          <w:b w:val="0"/>
          <w:i w:val="0"/>
          <w:szCs w:val="24"/>
        </w:rPr>
        <w:tab/>
        <w:t>Комиссия завершила расследование случая профессионального заболевания, установив, что на рабочем месте установлены следующие вредные факторы производственной среды: производственный шум, вибрация общая, вибрация локальная, тяжесть и напряженность трудового процесса.</w:t>
      </w:r>
    </w:p>
    <w:p w:rsidR="00D602D4" w:rsidRDefault="000B4C86">
      <w:pPr>
        <w:pStyle w:val="afa"/>
        <w:widowControl w:val="0"/>
        <w:spacing w:after="0"/>
        <w:ind w:firstLine="709"/>
        <w:rPr>
          <w:b w:val="0"/>
          <w:i w:val="0"/>
          <w:szCs w:val="24"/>
        </w:rPr>
      </w:pPr>
      <w:r>
        <w:rPr>
          <w:b w:val="0"/>
          <w:i w:val="0"/>
          <w:szCs w:val="24"/>
        </w:rPr>
        <w:lastRenderedPageBreak/>
        <w:t>Заключительный диагноз: вибрационная болезнь II ст. (два) от воздействия общей и локальной вибрации. Периферическая ангиодистонический синдром конечностей, ДОА суставов костей и стоп, лучезапястных суставов R-log, 1-2ст., НФС 0-1 ст.</w:t>
      </w:r>
    </w:p>
    <w:p w:rsidR="00D602D4" w:rsidRDefault="000B4C86">
      <w:pPr>
        <w:spacing w:after="0" w:line="240" w:lineRule="auto"/>
        <w:ind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eastAsia="ru-RU"/>
        </w:rPr>
        <w:t>Технические характеристики техники не позволяют исключить факторы шум и вибрацию (заводом изготовителем техника выпускается уже с превышением допустимых норм).</w:t>
      </w:r>
    </w:p>
    <w:p w:rsidR="00D602D4" w:rsidRDefault="000B4C86">
      <w:pPr>
        <w:pStyle w:val="afa"/>
        <w:widowControl w:val="0"/>
        <w:spacing w:after="0"/>
        <w:rPr>
          <w:b w:val="0"/>
          <w:i w:val="0"/>
          <w:szCs w:val="24"/>
        </w:rPr>
      </w:pPr>
      <w:r>
        <w:tab/>
      </w:r>
      <w:r>
        <w:rPr>
          <w:b w:val="0"/>
          <w:i w:val="0"/>
          <w:szCs w:val="24"/>
        </w:rPr>
        <w:t>Для предотвращения травматизма еще на этапе предпосылок в Обществе организован учет микротравм и нарушений требований охраны труда с помощью системы «Учет микротравм и происшествий». За 2024 год зафиксировано 4 микротравмы.</w:t>
      </w:r>
    </w:p>
    <w:p w:rsidR="00D602D4" w:rsidRDefault="000B4C86">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Таблица 49</w:t>
      </w:r>
    </w:p>
    <w:p w:rsidR="00D602D4" w:rsidRDefault="000B4C86">
      <w:pPr>
        <w:widowControl w:val="0"/>
        <w:spacing w:after="5" w:line="252" w:lineRule="auto"/>
        <w:ind w:left="426" w:right="-143" w:hanging="426"/>
        <w:jc w:val="center"/>
        <w:rPr>
          <w:rFonts w:ascii="Times New Roman" w:eastAsia="Times New Roman" w:hAnsi="Times New Roman" w:cs="Times New Roman"/>
          <w:bCs/>
          <w:sz w:val="32"/>
          <w:szCs w:val="32"/>
          <w:lang w:eastAsia="ru-RU"/>
        </w:rPr>
      </w:pPr>
      <w:r>
        <w:rPr>
          <w:rFonts w:ascii="Times New Roman" w:eastAsia="Times New Roman" w:hAnsi="Times New Roman" w:cs="Times New Roman"/>
          <w:b/>
          <w:color w:val="000000"/>
          <w:sz w:val="24"/>
          <w:szCs w:val="24"/>
          <w:lang w:eastAsia="ru-RU"/>
        </w:rPr>
        <w:t>Показатели в части управления охраной труда</w:t>
      </w:r>
    </w:p>
    <w:tbl>
      <w:tblPr>
        <w:tblW w:w="97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00"/>
        <w:gridCol w:w="1221"/>
        <w:gridCol w:w="698"/>
        <w:gridCol w:w="698"/>
        <w:gridCol w:w="698"/>
        <w:gridCol w:w="1029"/>
      </w:tblGrid>
      <w:tr w:rsidR="00D602D4">
        <w:trPr>
          <w:trHeight w:val="246"/>
          <w:jc w:val="center"/>
        </w:trPr>
        <w:tc>
          <w:tcPr>
            <w:tcW w:w="5402" w:type="dxa"/>
            <w:vMerge w:val="restart"/>
          </w:tcPr>
          <w:p w:rsidR="00D602D4" w:rsidRDefault="000B4C86">
            <w:pPr>
              <w:widowControl w:val="0"/>
              <w:spacing w:after="5" w:line="252" w:lineRule="auto"/>
              <w:ind w:left="-113" w:right="-114"/>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Показатели</w:t>
            </w:r>
          </w:p>
          <w:p w:rsidR="00D602D4" w:rsidRDefault="00D602D4">
            <w:pPr>
              <w:widowControl w:val="0"/>
              <w:spacing w:after="5" w:line="252" w:lineRule="auto"/>
              <w:ind w:left="426" w:right="-143" w:hanging="426"/>
              <w:jc w:val="center"/>
              <w:rPr>
                <w:rFonts w:ascii="Times New Roman" w:eastAsia="Times New Roman" w:hAnsi="Times New Roman" w:cs="Times New Roman"/>
                <w:b/>
                <w:bCs/>
                <w:color w:val="000000"/>
                <w:sz w:val="20"/>
                <w:szCs w:val="20"/>
                <w:lang w:eastAsia="ru-RU"/>
              </w:rPr>
            </w:pPr>
          </w:p>
        </w:tc>
        <w:tc>
          <w:tcPr>
            <w:tcW w:w="1221" w:type="dxa"/>
            <w:vMerge w:val="restart"/>
          </w:tcPr>
          <w:p w:rsidR="00D602D4" w:rsidRDefault="000B4C86">
            <w:pPr>
              <w:widowControl w:val="0"/>
              <w:tabs>
                <w:tab w:val="left" w:pos="40"/>
              </w:tabs>
              <w:spacing w:after="5" w:line="252" w:lineRule="auto"/>
              <w:ind w:left="-111" w:right="-112"/>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Ед.изм.</w:t>
            </w:r>
          </w:p>
          <w:p w:rsidR="00D602D4" w:rsidRDefault="00D602D4">
            <w:pPr>
              <w:widowControl w:val="0"/>
              <w:tabs>
                <w:tab w:val="left" w:pos="40"/>
              </w:tabs>
              <w:spacing w:after="5" w:line="252" w:lineRule="auto"/>
              <w:ind w:left="426" w:right="-143" w:hanging="426"/>
              <w:jc w:val="both"/>
              <w:rPr>
                <w:rFonts w:ascii="Times New Roman" w:eastAsia="Times New Roman" w:hAnsi="Times New Roman" w:cs="Times New Roman"/>
                <w:b/>
                <w:bCs/>
                <w:color w:val="000000"/>
                <w:sz w:val="20"/>
                <w:szCs w:val="20"/>
                <w:lang w:eastAsia="ru-RU"/>
              </w:rPr>
            </w:pPr>
          </w:p>
        </w:tc>
        <w:tc>
          <w:tcPr>
            <w:tcW w:w="3122" w:type="dxa"/>
            <w:gridSpan w:val="4"/>
            <w:vMerge w:val="restart"/>
          </w:tcPr>
          <w:p w:rsidR="00D602D4" w:rsidRDefault="000B4C86">
            <w:pPr>
              <w:widowControl w:val="0"/>
              <w:spacing w:after="5" w:line="252"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Период</w:t>
            </w:r>
          </w:p>
        </w:tc>
      </w:tr>
      <w:tr w:rsidR="00D602D4">
        <w:trPr>
          <w:trHeight w:val="450"/>
          <w:jc w:val="center"/>
        </w:trPr>
        <w:tc>
          <w:tcPr>
            <w:tcW w:w="5402" w:type="dxa"/>
            <w:vMerge/>
          </w:tcPr>
          <w:p w:rsidR="00D602D4" w:rsidRDefault="00D602D4"/>
        </w:tc>
        <w:tc>
          <w:tcPr>
            <w:tcW w:w="1221" w:type="dxa"/>
            <w:vMerge/>
          </w:tcPr>
          <w:p w:rsidR="00D602D4" w:rsidRDefault="00D602D4"/>
        </w:tc>
        <w:tc>
          <w:tcPr>
            <w:tcW w:w="698" w:type="dxa"/>
            <w:vMerge w:val="restart"/>
          </w:tcPr>
          <w:p w:rsidR="00D602D4" w:rsidRDefault="000B4C86">
            <w:pPr>
              <w:widowControl w:val="0"/>
              <w:spacing w:after="5" w:line="252" w:lineRule="auto"/>
              <w:ind w:left="-96" w:right="-122"/>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2022 год</w:t>
            </w:r>
          </w:p>
          <w:p w:rsidR="00D602D4" w:rsidRDefault="000B4C86">
            <w:pPr>
              <w:widowControl w:val="0"/>
              <w:spacing w:after="5" w:line="252" w:lineRule="auto"/>
              <w:ind w:left="-96" w:right="-122"/>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698" w:type="dxa"/>
            <w:vMerge w:val="restart"/>
            <w:shd w:val="clear" w:color="FFFFFF" w:fill="FFFFFF"/>
          </w:tcPr>
          <w:p w:rsidR="00D602D4" w:rsidRDefault="000B4C86">
            <w:pPr>
              <w:widowControl w:val="0"/>
              <w:spacing w:after="5" w:line="252" w:lineRule="auto"/>
              <w:ind w:left="-113" w:right="-138"/>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2023 год</w:t>
            </w:r>
          </w:p>
          <w:p w:rsidR="00D602D4" w:rsidRDefault="000B4C86">
            <w:pPr>
              <w:widowControl w:val="0"/>
              <w:spacing w:after="5" w:line="252" w:lineRule="auto"/>
              <w:ind w:left="-113" w:right="-138"/>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698" w:type="dxa"/>
            <w:vMerge w:val="restart"/>
          </w:tcPr>
          <w:p w:rsidR="00D602D4" w:rsidRDefault="000B4C86">
            <w:pPr>
              <w:widowControl w:val="0"/>
              <w:spacing w:after="5" w:line="252" w:lineRule="auto"/>
              <w:ind w:left="-100" w:right="-143"/>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2024 год</w:t>
            </w:r>
          </w:p>
          <w:p w:rsidR="00D602D4" w:rsidRDefault="000B4C86">
            <w:pPr>
              <w:widowControl w:val="0"/>
              <w:spacing w:after="5" w:line="252" w:lineRule="auto"/>
              <w:ind w:left="-100" w:right="-143"/>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1029" w:type="dxa"/>
            <w:vMerge w:val="restart"/>
          </w:tcPr>
          <w:p w:rsidR="00D602D4" w:rsidRDefault="000B4C86">
            <w:pPr>
              <w:widowControl w:val="0"/>
              <w:spacing w:after="5" w:line="252" w:lineRule="auto"/>
              <w:ind w:left="-107" w:right="-143"/>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изменение 2024/2023, %</w:t>
            </w:r>
          </w:p>
        </w:tc>
      </w:tr>
      <w:tr w:rsidR="00D602D4">
        <w:trPr>
          <w:trHeight w:val="246"/>
          <w:jc w:val="center"/>
        </w:trPr>
        <w:tc>
          <w:tcPr>
            <w:tcW w:w="5402" w:type="dxa"/>
            <w:vMerge w:val="restart"/>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1221" w:type="dxa"/>
            <w:vMerge w:val="restart"/>
          </w:tcPr>
          <w:p w:rsidR="00D602D4" w:rsidRDefault="000B4C86">
            <w:pPr>
              <w:widowControl w:val="0"/>
              <w:tabs>
                <w:tab w:val="left" w:pos="40"/>
              </w:tabs>
              <w:spacing w:after="5" w:line="252" w:lineRule="auto"/>
              <w:ind w:left="-112"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698" w:type="dxa"/>
            <w:vMerge w:val="restart"/>
          </w:tcPr>
          <w:p w:rsidR="00D602D4" w:rsidRDefault="000B4C86">
            <w:pPr>
              <w:widowControl w:val="0"/>
              <w:spacing w:after="5" w:line="252"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698" w:type="dxa"/>
            <w:vMerge w:val="restart"/>
            <w:shd w:val="clear" w:color="FFFFFF" w:fill="FFFFFF"/>
          </w:tcPr>
          <w:p w:rsidR="00D602D4" w:rsidRDefault="000B4C86">
            <w:pPr>
              <w:widowControl w:val="0"/>
              <w:spacing w:after="5" w:line="252"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698" w:type="dxa"/>
            <w:vMerge w:val="restart"/>
          </w:tcPr>
          <w:p w:rsidR="00D602D4" w:rsidRDefault="000B4C86">
            <w:pPr>
              <w:widowControl w:val="0"/>
              <w:spacing w:after="5" w:line="252"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c>
          <w:tcPr>
            <w:tcW w:w="1029" w:type="dxa"/>
            <w:vMerge w:val="restart"/>
          </w:tcPr>
          <w:p w:rsidR="00D602D4" w:rsidRDefault="000B4C86">
            <w:pPr>
              <w:widowControl w:val="0"/>
              <w:spacing w:after="5" w:line="252"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w:t>
            </w:r>
          </w:p>
        </w:tc>
      </w:tr>
      <w:tr w:rsidR="00D602D4">
        <w:trPr>
          <w:trHeight w:val="246"/>
          <w:jc w:val="center"/>
        </w:trPr>
        <w:tc>
          <w:tcPr>
            <w:tcW w:w="5402" w:type="dxa"/>
            <w:vMerge w:val="restart"/>
          </w:tcPr>
          <w:p w:rsidR="00D602D4" w:rsidRDefault="000B4C86">
            <w:pPr>
              <w:widowControl w:val="0"/>
              <w:spacing w:after="5" w:line="252" w:lineRule="auto"/>
              <w:ind w:left="426" w:right="-143" w:hanging="426"/>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Расходы на охрану труда</w:t>
            </w:r>
          </w:p>
        </w:tc>
        <w:tc>
          <w:tcPr>
            <w:tcW w:w="1221" w:type="dxa"/>
            <w:vMerge w:val="restart"/>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hAnsi="Times New Roman"/>
                <w:bCs/>
                <w:color w:val="000000"/>
                <w:sz w:val="20"/>
                <w:szCs w:val="20"/>
                <w:lang w:eastAsia="ru-RU"/>
              </w:rPr>
              <w:t>млн руб.</w:t>
            </w:r>
          </w:p>
        </w:tc>
        <w:tc>
          <w:tcPr>
            <w:tcW w:w="698" w:type="dxa"/>
            <w:vMerge w:val="restart"/>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800,6</w:t>
            </w:r>
          </w:p>
        </w:tc>
        <w:tc>
          <w:tcPr>
            <w:tcW w:w="698" w:type="dxa"/>
            <w:vMerge w:val="restart"/>
            <w:shd w:val="clear" w:color="FFFFFF" w:fill="FFFFFF"/>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802,4</w:t>
            </w:r>
          </w:p>
        </w:tc>
        <w:tc>
          <w:tcPr>
            <w:tcW w:w="698" w:type="dxa"/>
            <w:vMerge w:val="restart"/>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727,1</w:t>
            </w:r>
          </w:p>
        </w:tc>
        <w:tc>
          <w:tcPr>
            <w:tcW w:w="1029" w:type="dxa"/>
            <w:vMerge w:val="restart"/>
          </w:tcPr>
          <w:p w:rsidR="00D602D4" w:rsidRDefault="000B4C86">
            <w:pPr>
              <w:widowControl w:val="0"/>
              <w:spacing w:after="5" w:line="252"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9,3</w:t>
            </w:r>
          </w:p>
        </w:tc>
      </w:tr>
      <w:tr w:rsidR="00D602D4">
        <w:trPr>
          <w:trHeight w:val="246"/>
          <w:jc w:val="center"/>
        </w:trPr>
        <w:tc>
          <w:tcPr>
            <w:tcW w:w="9744" w:type="dxa"/>
            <w:gridSpan w:val="6"/>
            <w:vMerge w:val="restart"/>
          </w:tcPr>
          <w:p w:rsidR="00D602D4" w:rsidRDefault="000B4C86">
            <w:pPr>
              <w:widowControl w:val="0"/>
              <w:spacing w:after="5" w:line="252" w:lineRule="auto"/>
              <w:ind w:left="426" w:right="-143" w:hanging="426"/>
              <w:rPr>
                <w:rFonts w:ascii="Times New Roman" w:eastAsia="Times New Roman" w:hAnsi="Times New Roman" w:cs="Times New Roman"/>
                <w:bCs/>
                <w:sz w:val="20"/>
                <w:szCs w:val="20"/>
                <w:lang w:eastAsia="ru-RU"/>
              </w:rPr>
            </w:pPr>
            <w:r>
              <w:rPr>
                <w:rFonts w:ascii="Times New Roman" w:eastAsia="Times New Roman" w:hAnsi="Times New Roman" w:cs="Times New Roman"/>
                <w:i/>
                <w:color w:val="000000"/>
                <w:sz w:val="20"/>
                <w:szCs w:val="20"/>
                <w:lang w:eastAsia="ru-RU"/>
              </w:rPr>
              <w:t>Несчастные случаи на производстве</w:t>
            </w:r>
          </w:p>
        </w:tc>
      </w:tr>
      <w:tr w:rsidR="00D602D4">
        <w:trPr>
          <w:trHeight w:val="246"/>
          <w:jc w:val="center"/>
        </w:trPr>
        <w:tc>
          <w:tcPr>
            <w:tcW w:w="9744" w:type="dxa"/>
            <w:gridSpan w:val="6"/>
            <w:vMerge w:val="restart"/>
          </w:tcPr>
          <w:p w:rsidR="00D602D4" w:rsidRDefault="000B4C86">
            <w:pPr>
              <w:widowControl w:val="0"/>
              <w:spacing w:after="5" w:line="252" w:lineRule="auto"/>
              <w:ind w:left="426" w:right="-143" w:hanging="426"/>
              <w:rPr>
                <w:rFonts w:ascii="Times New Roman" w:eastAsia="Times New Roman" w:hAnsi="Times New Roman" w:cs="Times New Roman"/>
                <w:bCs/>
                <w:sz w:val="20"/>
                <w:szCs w:val="20"/>
                <w:lang w:eastAsia="ru-RU"/>
              </w:rPr>
            </w:pPr>
            <w:r>
              <w:rPr>
                <w:rFonts w:ascii="Times New Roman" w:eastAsia="Times New Roman" w:hAnsi="Times New Roman" w:cs="Times New Roman"/>
                <w:sz w:val="20"/>
                <w:szCs w:val="20"/>
                <w:lang w:eastAsia="ru-RU"/>
              </w:rPr>
              <w:t>Для работников:</w:t>
            </w:r>
          </w:p>
        </w:tc>
      </w:tr>
      <w:tr w:rsidR="00D602D4">
        <w:trPr>
          <w:cantSplit/>
          <w:jc w:val="center"/>
        </w:trPr>
        <w:tc>
          <w:tcPr>
            <w:tcW w:w="5402" w:type="dxa"/>
          </w:tcPr>
          <w:p w:rsidR="00D602D4" w:rsidRDefault="000B4C86">
            <w:pPr>
              <w:tabs>
                <w:tab w:val="left" w:pos="9356"/>
              </w:tabs>
              <w:spacing w:after="5" w:line="252"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sz w:val="20"/>
                <w:szCs w:val="20"/>
                <w:lang w:eastAsia="ru-RU"/>
              </w:rPr>
              <w:t>Численность пострадавших в результате несчастных случаев на производстве со смертельным исходом, количество несчастных случаев на производстве со смертельным исходом</w:t>
            </w:r>
          </w:p>
        </w:tc>
        <w:tc>
          <w:tcPr>
            <w:tcW w:w="1221" w:type="dxa"/>
          </w:tcPr>
          <w:p w:rsidR="00D602D4" w:rsidRDefault="000B4C86">
            <w:pPr>
              <w:widowControl w:val="0"/>
              <w:spacing w:after="5" w:line="252" w:lineRule="auto"/>
              <w:ind w:left="113" w:hanging="11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чел.</w:t>
            </w:r>
            <w:r>
              <w:rPr>
                <w:rFonts w:ascii="Times New Roman" w:eastAsia="Times New Roman" w:hAnsi="Times New Roman" w:cs="Times New Roman"/>
                <w:bCs/>
                <w:color w:val="000000"/>
                <w:sz w:val="20"/>
                <w:szCs w:val="20"/>
                <w:lang w:val="en-US"/>
              </w:rPr>
              <w:t>/</w:t>
            </w:r>
            <w:r>
              <w:rPr>
                <w:rFonts w:ascii="Times New Roman" w:eastAsia="Times New Roman" w:hAnsi="Times New Roman" w:cs="Times New Roman"/>
                <w:bCs/>
                <w:color w:val="000000"/>
                <w:sz w:val="20"/>
                <w:szCs w:val="20"/>
              </w:rPr>
              <w:t>шт.</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98" w:type="dxa"/>
            <w:shd w:val="clear" w:color="FFFFFF" w:fill="FFFFFF"/>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1/1</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1029" w:type="dxa"/>
          </w:tcPr>
          <w:p w:rsidR="00D602D4" w:rsidRDefault="000B4C86">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-100</w:t>
            </w:r>
          </w:p>
        </w:tc>
      </w:tr>
      <w:tr w:rsidR="00D602D4">
        <w:trPr>
          <w:cantSplit/>
          <w:jc w:val="center"/>
        </w:trPr>
        <w:tc>
          <w:tcPr>
            <w:tcW w:w="5402" w:type="dxa"/>
          </w:tcPr>
          <w:p w:rsidR="00D602D4" w:rsidRDefault="000B4C86">
            <w:pPr>
              <w:tabs>
                <w:tab w:val="left" w:pos="9356"/>
              </w:tabs>
              <w:spacing w:after="5" w:line="252"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sz w:val="20"/>
                <w:szCs w:val="20"/>
                <w:lang w:eastAsia="ru-RU"/>
              </w:rPr>
              <w:t>Численность пострадавших в результате несчастных случаев на производстве с травмами тяжелой степени тяжести, количество несчастных случаев на производстве  с травмами тяжелой степени тяжести</w:t>
            </w:r>
          </w:p>
        </w:tc>
        <w:tc>
          <w:tcPr>
            <w:tcW w:w="1221" w:type="dxa"/>
          </w:tcPr>
          <w:p w:rsidR="00D602D4" w:rsidRDefault="000B4C86">
            <w:pPr>
              <w:widowControl w:val="0"/>
              <w:spacing w:after="5" w:line="252" w:lineRule="auto"/>
              <w:ind w:left="113" w:hanging="11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чел.</w:t>
            </w:r>
            <w:r>
              <w:rPr>
                <w:rFonts w:ascii="Times New Roman" w:eastAsia="Times New Roman" w:hAnsi="Times New Roman" w:cs="Times New Roman"/>
                <w:bCs/>
                <w:color w:val="000000"/>
                <w:sz w:val="20"/>
                <w:szCs w:val="20"/>
                <w:lang w:val="en-US"/>
              </w:rPr>
              <w:t>/</w:t>
            </w:r>
            <w:r>
              <w:rPr>
                <w:rFonts w:ascii="Times New Roman" w:eastAsia="Times New Roman" w:hAnsi="Times New Roman" w:cs="Times New Roman"/>
                <w:bCs/>
                <w:color w:val="000000"/>
                <w:sz w:val="20"/>
                <w:szCs w:val="20"/>
              </w:rPr>
              <w:t>шт.</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98" w:type="dxa"/>
            <w:shd w:val="clear" w:color="FFFFFF" w:fill="FFFFFF"/>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1/1</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1029" w:type="dxa"/>
          </w:tcPr>
          <w:p w:rsidR="00D602D4" w:rsidRDefault="000B4C86">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-100</w:t>
            </w:r>
          </w:p>
        </w:tc>
      </w:tr>
      <w:tr w:rsidR="00D602D4">
        <w:trPr>
          <w:cantSplit/>
          <w:jc w:val="center"/>
        </w:trPr>
        <w:tc>
          <w:tcPr>
            <w:tcW w:w="9744" w:type="dxa"/>
            <w:gridSpan w:val="6"/>
          </w:tcPr>
          <w:p w:rsidR="00D602D4" w:rsidRDefault="000B4C86">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sz w:val="20"/>
                <w:szCs w:val="20"/>
                <w:lang w:eastAsia="ru-RU"/>
              </w:rPr>
              <w:t>Для лиц, которые не являются работниками, но работа и (или) рабочее место которых контролируется Обществом:</w:t>
            </w:r>
          </w:p>
        </w:tc>
      </w:tr>
      <w:tr w:rsidR="00D602D4">
        <w:trPr>
          <w:cantSplit/>
          <w:jc w:val="center"/>
        </w:trPr>
        <w:tc>
          <w:tcPr>
            <w:tcW w:w="5402" w:type="dxa"/>
          </w:tcPr>
          <w:p w:rsidR="00D602D4" w:rsidRDefault="000B4C86">
            <w:pPr>
              <w:tabs>
                <w:tab w:val="left" w:pos="9356"/>
              </w:tabs>
              <w:spacing w:after="5" w:line="252"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sz w:val="20"/>
                <w:szCs w:val="20"/>
                <w:lang w:eastAsia="ru-RU"/>
              </w:rPr>
              <w:t>Численность пострадавших в результате несчастных случаев на производстве со смертельным исходом, количество несчастных случаев на производстве со смертельным исходом</w:t>
            </w:r>
          </w:p>
        </w:tc>
        <w:tc>
          <w:tcPr>
            <w:tcW w:w="1221" w:type="dxa"/>
          </w:tcPr>
          <w:p w:rsidR="00D602D4" w:rsidRDefault="000B4C86">
            <w:pPr>
              <w:widowControl w:val="0"/>
              <w:spacing w:after="5" w:line="252" w:lineRule="auto"/>
              <w:ind w:left="113" w:hanging="11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чел.</w:t>
            </w:r>
            <w:r>
              <w:rPr>
                <w:rFonts w:ascii="Times New Roman" w:eastAsia="Times New Roman" w:hAnsi="Times New Roman" w:cs="Times New Roman"/>
                <w:bCs/>
                <w:color w:val="000000"/>
                <w:sz w:val="20"/>
                <w:szCs w:val="20"/>
                <w:lang w:val="en-US"/>
              </w:rPr>
              <w:t>/</w:t>
            </w:r>
            <w:r>
              <w:rPr>
                <w:rFonts w:ascii="Times New Roman" w:eastAsia="Times New Roman" w:hAnsi="Times New Roman" w:cs="Times New Roman"/>
                <w:bCs/>
                <w:color w:val="000000"/>
                <w:sz w:val="20"/>
                <w:szCs w:val="20"/>
              </w:rPr>
              <w:t>шт.</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98" w:type="dxa"/>
            <w:shd w:val="clear" w:color="FFFFFF" w:fill="FFFFFF"/>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1029" w:type="dxa"/>
          </w:tcPr>
          <w:p w:rsidR="00D602D4" w:rsidRDefault="000B4C86">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0</w:t>
            </w:r>
          </w:p>
        </w:tc>
      </w:tr>
      <w:tr w:rsidR="00D602D4">
        <w:trPr>
          <w:cantSplit/>
          <w:jc w:val="center"/>
        </w:trPr>
        <w:tc>
          <w:tcPr>
            <w:tcW w:w="5402" w:type="dxa"/>
          </w:tcPr>
          <w:p w:rsidR="00D602D4" w:rsidRDefault="000B4C86">
            <w:pPr>
              <w:tabs>
                <w:tab w:val="left" w:pos="9356"/>
              </w:tabs>
              <w:spacing w:after="5" w:line="252"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sz w:val="20"/>
                <w:szCs w:val="20"/>
                <w:lang w:eastAsia="ru-RU"/>
              </w:rPr>
              <w:t>Численность пострадавших в результате несчастных случаев на производстве с травмами тяжелой степени тяжести, количество несчастных случаев на производстве  с травмами тяжелой степени тяжести</w:t>
            </w:r>
          </w:p>
        </w:tc>
        <w:tc>
          <w:tcPr>
            <w:tcW w:w="1221" w:type="dxa"/>
          </w:tcPr>
          <w:p w:rsidR="00D602D4" w:rsidRDefault="000B4C86">
            <w:pPr>
              <w:widowControl w:val="0"/>
              <w:spacing w:after="5" w:line="252" w:lineRule="auto"/>
              <w:ind w:left="113" w:hanging="11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чел.</w:t>
            </w:r>
            <w:r>
              <w:rPr>
                <w:rFonts w:ascii="Times New Roman" w:eastAsia="Times New Roman" w:hAnsi="Times New Roman" w:cs="Times New Roman"/>
                <w:bCs/>
                <w:color w:val="000000"/>
                <w:sz w:val="20"/>
                <w:szCs w:val="20"/>
                <w:lang w:val="en-US"/>
              </w:rPr>
              <w:t>/</w:t>
            </w:r>
            <w:r>
              <w:rPr>
                <w:rFonts w:ascii="Times New Roman" w:eastAsia="Times New Roman" w:hAnsi="Times New Roman" w:cs="Times New Roman"/>
                <w:bCs/>
                <w:color w:val="000000"/>
                <w:sz w:val="20"/>
                <w:szCs w:val="20"/>
              </w:rPr>
              <w:t>шт.</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98" w:type="dxa"/>
            <w:shd w:val="clear" w:color="FFFFFF" w:fill="FFFFFF"/>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1029" w:type="dxa"/>
          </w:tcPr>
          <w:p w:rsidR="00D602D4" w:rsidRDefault="000B4C86">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0</w:t>
            </w:r>
          </w:p>
        </w:tc>
      </w:tr>
      <w:tr w:rsidR="00D602D4">
        <w:trPr>
          <w:cantSplit/>
          <w:jc w:val="center"/>
        </w:trPr>
        <w:tc>
          <w:tcPr>
            <w:tcW w:w="9744" w:type="dxa"/>
            <w:gridSpan w:val="6"/>
          </w:tcPr>
          <w:p w:rsidR="00D602D4" w:rsidRDefault="000B4C86">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i/>
                <w:color w:val="000000"/>
                <w:sz w:val="20"/>
                <w:szCs w:val="20"/>
                <w:lang w:eastAsia="ru-RU"/>
              </w:rPr>
              <w:t>Профессиональные заболевания и работы, связанные с повышенной опасностью</w:t>
            </w:r>
          </w:p>
        </w:tc>
      </w:tr>
      <w:tr w:rsidR="00D602D4">
        <w:trPr>
          <w:cantSplit/>
          <w:jc w:val="center"/>
        </w:trPr>
        <w:tc>
          <w:tcPr>
            <w:tcW w:w="9744" w:type="dxa"/>
            <w:gridSpan w:val="6"/>
          </w:tcPr>
          <w:p w:rsidR="00D602D4" w:rsidRDefault="000B4C86">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sz w:val="20"/>
                <w:szCs w:val="20"/>
                <w:lang w:eastAsia="ru-RU"/>
              </w:rPr>
              <w:t>Для работников:</w:t>
            </w:r>
          </w:p>
        </w:tc>
      </w:tr>
      <w:tr w:rsidR="00D602D4">
        <w:trPr>
          <w:cantSplit/>
          <w:jc w:val="center"/>
        </w:trPr>
        <w:tc>
          <w:tcPr>
            <w:tcW w:w="5402" w:type="dxa"/>
          </w:tcPr>
          <w:p w:rsidR="00D602D4" w:rsidRDefault="000B4C86">
            <w:pPr>
              <w:tabs>
                <w:tab w:val="left" w:pos="9356"/>
              </w:tabs>
              <w:spacing w:after="5" w:line="252"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Число профессиональных заболеваний, повлекших смерть работника в отчетном году</w:t>
            </w:r>
            <w:r>
              <w:rPr>
                <w:sz w:val="18"/>
                <w:szCs w:val="18"/>
              </w:rPr>
              <w:t xml:space="preserve"> </w:t>
            </w:r>
          </w:p>
        </w:tc>
        <w:tc>
          <w:tcPr>
            <w:tcW w:w="1221" w:type="dxa"/>
          </w:tcPr>
          <w:p w:rsidR="00D602D4" w:rsidRDefault="000B4C86">
            <w:pPr>
              <w:widowControl w:val="0"/>
              <w:spacing w:after="5" w:line="252" w:lineRule="auto"/>
              <w:ind w:left="113" w:hanging="11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шт.</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98" w:type="dxa"/>
            <w:shd w:val="clear" w:color="FFFFFF" w:fill="FFFFFF"/>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1029" w:type="dxa"/>
          </w:tcPr>
          <w:p w:rsidR="00D602D4" w:rsidRDefault="000B4C86">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0</w:t>
            </w:r>
          </w:p>
        </w:tc>
      </w:tr>
      <w:tr w:rsidR="00D602D4">
        <w:trPr>
          <w:cantSplit/>
          <w:jc w:val="center"/>
        </w:trPr>
        <w:tc>
          <w:tcPr>
            <w:tcW w:w="5402" w:type="dxa"/>
          </w:tcPr>
          <w:p w:rsidR="00D602D4" w:rsidRDefault="000B4C86">
            <w:pPr>
              <w:tabs>
                <w:tab w:val="left" w:pos="9356"/>
              </w:tabs>
              <w:spacing w:after="5" w:line="252"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Количество работников, признанных инвалидами в результате профессионального заболевания в отчетном году</w:t>
            </w:r>
          </w:p>
        </w:tc>
        <w:tc>
          <w:tcPr>
            <w:tcW w:w="1221" w:type="dxa"/>
          </w:tcPr>
          <w:p w:rsidR="00D602D4" w:rsidRDefault="000B4C86">
            <w:pPr>
              <w:widowControl w:val="0"/>
              <w:spacing w:after="5" w:line="252" w:lineRule="auto"/>
              <w:ind w:left="113" w:hanging="11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чел.</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98" w:type="dxa"/>
            <w:shd w:val="clear" w:color="FFFFFF" w:fill="FFFFFF"/>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1029" w:type="dxa"/>
          </w:tcPr>
          <w:p w:rsidR="00D602D4" w:rsidRDefault="000B4C86">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0</w:t>
            </w:r>
          </w:p>
        </w:tc>
      </w:tr>
      <w:tr w:rsidR="00D602D4">
        <w:trPr>
          <w:cantSplit/>
          <w:jc w:val="center"/>
        </w:trPr>
        <w:tc>
          <w:tcPr>
            <w:tcW w:w="5402" w:type="dxa"/>
          </w:tcPr>
          <w:p w:rsidR="00D602D4" w:rsidRDefault="000B4C86">
            <w:pPr>
              <w:tabs>
                <w:tab w:val="left" w:pos="9356"/>
              </w:tabs>
              <w:spacing w:after="5" w:line="252"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Число лиц с установленным в отчетном периоде профессиональным заболеванием</w:t>
            </w:r>
            <w:r>
              <w:rPr>
                <w:sz w:val="18"/>
                <w:szCs w:val="18"/>
              </w:rPr>
              <w:t xml:space="preserve"> </w:t>
            </w:r>
          </w:p>
        </w:tc>
        <w:tc>
          <w:tcPr>
            <w:tcW w:w="1221" w:type="dxa"/>
          </w:tcPr>
          <w:p w:rsidR="00D602D4" w:rsidRDefault="000B4C86">
            <w:pPr>
              <w:widowControl w:val="0"/>
              <w:spacing w:after="5" w:line="252" w:lineRule="auto"/>
              <w:ind w:left="113" w:hanging="11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чел.</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698" w:type="dxa"/>
            <w:shd w:val="clear" w:color="FFFFFF" w:fill="FFFFFF"/>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698" w:type="dxa"/>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1029" w:type="dxa"/>
          </w:tcPr>
          <w:p w:rsidR="00D602D4" w:rsidRDefault="000B4C86">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-100</w:t>
            </w:r>
          </w:p>
        </w:tc>
      </w:tr>
    </w:tbl>
    <w:p w:rsidR="00D602D4" w:rsidRDefault="00D602D4">
      <w:pPr>
        <w:tabs>
          <w:tab w:val="left" w:pos="993"/>
        </w:tabs>
        <w:spacing w:after="0" w:line="240" w:lineRule="auto"/>
        <w:ind w:left="709" w:right="-143"/>
        <w:jc w:val="both"/>
        <w:rPr>
          <w:rFonts w:ascii="Times New Roman" w:hAnsi="Times New Roman" w:cs="Times New Roman"/>
          <w:b/>
          <w:bCs/>
          <w:sz w:val="24"/>
          <w:szCs w:val="24"/>
        </w:rPr>
      </w:pPr>
    </w:p>
    <w:p w:rsidR="00D602D4" w:rsidRDefault="000B4C86">
      <w:pPr>
        <w:tabs>
          <w:tab w:val="left" w:pos="993"/>
        </w:tabs>
        <w:spacing w:after="0" w:line="240" w:lineRule="auto"/>
        <w:ind w:left="709" w:right="-143"/>
        <w:jc w:val="both"/>
        <w:rPr>
          <w:rFonts w:ascii="Times New Roman" w:hAnsi="Times New Roman" w:cs="Times New Roman"/>
          <w:b/>
          <w:bCs/>
          <w:sz w:val="24"/>
          <w:szCs w:val="24"/>
        </w:rPr>
      </w:pPr>
      <w:r>
        <w:rPr>
          <w:rFonts w:ascii="Times New Roman" w:hAnsi="Times New Roman" w:cs="Times New Roman"/>
          <w:b/>
          <w:bCs/>
          <w:sz w:val="24"/>
          <w:szCs w:val="24"/>
        </w:rPr>
        <w:t>Обеспечение требований промышленной безопасности:</w:t>
      </w:r>
    </w:p>
    <w:p w:rsidR="00D602D4" w:rsidRDefault="000B4C86">
      <w:pPr>
        <w:pStyle w:val="ac"/>
        <w:tabs>
          <w:tab w:val="left" w:pos="993"/>
        </w:tabs>
        <w:spacing w:after="0" w:line="240" w:lineRule="auto"/>
        <w:ind w:left="0" w:right="-1" w:firstLine="709"/>
        <w:jc w:val="both"/>
        <w:rPr>
          <w:rFonts w:ascii="Times New Roman" w:hAnsi="Times New Roman" w:cs="Times New Roman"/>
          <w:sz w:val="28"/>
          <w:szCs w:val="28"/>
        </w:rPr>
      </w:pPr>
      <w:r>
        <w:rPr>
          <w:rFonts w:ascii="Times New Roman" w:hAnsi="Times New Roman" w:cs="Times New Roman"/>
          <w:sz w:val="24"/>
          <w:szCs w:val="24"/>
        </w:rPr>
        <w:t>По Енисейскому управлению Федеральной службы по экологическому, технологическому и атомному надзору в государственном реестре зарегистрировано 12 опасных производственных объектов IV класса опасности, эксплуатируемых филиалами ПАО «Россети Сибирь». Свидетельство о регистрации № А66-03391 выдано 12.05.2023.</w:t>
      </w:r>
    </w:p>
    <w:p w:rsidR="00D602D4" w:rsidRDefault="000B4C86">
      <w:pPr>
        <w:spacing w:after="0" w:line="240" w:lineRule="auto"/>
        <w:ind w:right="-1" w:firstLine="709"/>
        <w:jc w:val="both"/>
        <w:rPr>
          <w:rFonts w:ascii="Times New Roman" w:hAnsi="Times New Roman" w:cs="Times New Roman"/>
          <w:sz w:val="28"/>
          <w:szCs w:val="28"/>
        </w:rPr>
      </w:pPr>
      <w:r>
        <w:rPr>
          <w:rFonts w:ascii="Times New Roman" w:hAnsi="Times New Roman" w:cs="Times New Roman"/>
          <w:sz w:val="24"/>
          <w:szCs w:val="24"/>
        </w:rPr>
        <w:t>За отчетный период аварий и инцидентов при эксплуатации опасных производственных объектов не произошло.</w:t>
      </w:r>
    </w:p>
    <w:p w:rsidR="00D602D4" w:rsidRDefault="000B4C86">
      <w:pPr>
        <w:spacing w:after="0" w:line="240" w:lineRule="auto"/>
        <w:ind w:right="-1" w:firstLine="709"/>
        <w:jc w:val="both"/>
        <w:rPr>
          <w:rFonts w:ascii="Times New Roman" w:hAnsi="Times New Roman" w:cs="Times New Roman"/>
          <w:sz w:val="28"/>
          <w:szCs w:val="28"/>
        </w:rPr>
      </w:pPr>
      <w:r>
        <w:rPr>
          <w:rFonts w:ascii="Times New Roman" w:hAnsi="Times New Roman" w:cs="Times New Roman"/>
          <w:sz w:val="24"/>
          <w:szCs w:val="24"/>
        </w:rPr>
        <w:t>Мероприятия по обеспечению требований промышленной безопасности за 2024 год:</w:t>
      </w:r>
    </w:p>
    <w:p w:rsidR="00D602D4" w:rsidRDefault="000B4C86">
      <w:pPr>
        <w:spacing w:after="0" w:line="240" w:lineRule="auto"/>
        <w:ind w:right="-1" w:firstLine="709"/>
        <w:jc w:val="both"/>
        <w:rPr>
          <w:rFonts w:ascii="Times New Roman" w:hAnsi="Times New Roman" w:cs="Times New Roman"/>
          <w:sz w:val="24"/>
          <w:szCs w:val="24"/>
        </w:rPr>
      </w:pPr>
      <w:r>
        <w:rPr>
          <w:rFonts w:ascii="Times New Roman" w:hAnsi="Times New Roman" w:cs="Times New Roman"/>
          <w:sz w:val="24"/>
          <w:szCs w:val="24"/>
        </w:rPr>
        <w:lastRenderedPageBreak/>
        <w:t>- проведено 550 технических освидетельствований;</w:t>
      </w:r>
    </w:p>
    <w:p w:rsidR="00D602D4" w:rsidRDefault="000B4C86">
      <w:pPr>
        <w:spacing w:after="0" w:line="240" w:lineRule="auto"/>
        <w:ind w:right="-1" w:firstLine="709"/>
        <w:jc w:val="both"/>
        <w:rPr>
          <w:rFonts w:ascii="Times New Roman" w:hAnsi="Times New Roman" w:cs="Times New Roman"/>
          <w:sz w:val="24"/>
          <w:szCs w:val="24"/>
        </w:rPr>
      </w:pPr>
      <w:r>
        <w:rPr>
          <w:rFonts w:ascii="Times New Roman" w:hAnsi="Times New Roman" w:cs="Times New Roman"/>
          <w:sz w:val="24"/>
          <w:szCs w:val="24"/>
        </w:rPr>
        <w:t>- проведено 217 экспертиз промышленной безопасности ТУ, применяемых на опасных производственных объектах на сумму 3 292 тыс. руб.;</w:t>
      </w:r>
    </w:p>
    <w:p w:rsidR="00D602D4" w:rsidRDefault="000B4C86">
      <w:pPr>
        <w:spacing w:after="0" w:line="240" w:lineRule="auto"/>
        <w:ind w:right="-1" w:firstLine="709"/>
        <w:jc w:val="both"/>
        <w:rPr>
          <w:rFonts w:ascii="Times New Roman" w:hAnsi="Times New Roman" w:cs="Times New Roman"/>
          <w:sz w:val="24"/>
          <w:szCs w:val="24"/>
        </w:rPr>
      </w:pPr>
      <w:r>
        <w:rPr>
          <w:rFonts w:ascii="Times New Roman" w:hAnsi="Times New Roman" w:cs="Times New Roman"/>
          <w:sz w:val="24"/>
          <w:szCs w:val="24"/>
        </w:rPr>
        <w:t xml:space="preserve">- обучено и аттестовано 1179 работников в области промышленной безопасности на сумму 11 249 тыс. руб. В целях соблюдения требований части 1 статьи 10 Федерального закона </w:t>
      </w:r>
      <w:r>
        <w:rPr>
          <w:rFonts w:ascii="Times New Roman" w:eastAsia="Times New Roman" w:hAnsi="Times New Roman" w:cs="Times New Roman"/>
          <w:sz w:val="24"/>
          <w:szCs w:val="24"/>
        </w:rPr>
        <w:t>Российской Федерации</w:t>
      </w:r>
      <w:r>
        <w:rPr>
          <w:rFonts w:ascii="Times New Roman" w:hAnsi="Times New Roman" w:cs="Times New Roman"/>
          <w:sz w:val="24"/>
          <w:szCs w:val="24"/>
        </w:rPr>
        <w:t xml:space="preserve"> от 21.07.1997 № 116-ФЗ «О промышленной безопасности опасных производственных объектов» по обеспечению готовности к действиям по локализации и ликвидации последствий аварии на опасных производственных объектах заключены договора с профессиональными аварийно-спасательными службами.</w:t>
      </w:r>
    </w:p>
    <w:p w:rsidR="00D602D4" w:rsidRDefault="000B4C86">
      <w:pPr>
        <w:spacing w:after="0" w:line="240" w:lineRule="auto"/>
        <w:ind w:right="-1" w:firstLine="709"/>
        <w:jc w:val="both"/>
        <w:rPr>
          <w:rFonts w:ascii="Times New Roman" w:hAnsi="Times New Roman" w:cs="Times New Roman"/>
          <w:b/>
          <w:bCs/>
          <w:sz w:val="24"/>
          <w:szCs w:val="24"/>
        </w:rPr>
      </w:pPr>
      <w:r>
        <w:rPr>
          <w:rFonts w:ascii="Times New Roman" w:hAnsi="Times New Roman" w:cs="Times New Roman"/>
          <w:sz w:val="24"/>
          <w:szCs w:val="24"/>
        </w:rPr>
        <w:t>Порядок организации расследования и учета аварий, инцидентов на опасных производственных объектах, эксплуатируемых в Обществе определён положением СО 5.010/0 «Порядок проведения технического расследования причин инцидентов на опасных производственных объектах ПАО «Россети Сибирь».</w:t>
      </w:r>
    </w:p>
    <w:p w:rsidR="00D602D4" w:rsidRDefault="000B4C86">
      <w:pPr>
        <w:spacing w:after="0" w:line="240" w:lineRule="auto"/>
        <w:ind w:right="-1" w:firstLine="709"/>
        <w:jc w:val="right"/>
        <w:rPr>
          <w:rFonts w:ascii="Times New Roman" w:hAnsi="Times New Roman" w:cs="Times New Roman"/>
          <w:sz w:val="24"/>
          <w:szCs w:val="24"/>
        </w:rPr>
      </w:pPr>
      <w:r>
        <w:rPr>
          <w:rFonts w:ascii="Times New Roman" w:hAnsi="Times New Roman" w:cs="Times New Roman"/>
          <w:sz w:val="24"/>
          <w:szCs w:val="24"/>
        </w:rPr>
        <w:t>Таблица 50</w:t>
      </w:r>
    </w:p>
    <w:p w:rsidR="00D602D4" w:rsidRDefault="000B4C86">
      <w:pPr>
        <w:spacing w:after="0" w:line="240" w:lineRule="auto"/>
        <w:ind w:right="-1" w:firstLine="709"/>
        <w:jc w:val="center"/>
        <w:rPr>
          <w:rFonts w:ascii="Times New Roman" w:hAnsi="Times New Roman" w:cs="Times New Roman"/>
          <w:sz w:val="24"/>
          <w:szCs w:val="24"/>
        </w:rPr>
      </w:pPr>
      <w:r>
        <w:rPr>
          <w:rFonts w:ascii="Times New Roman" w:hAnsi="Times New Roman" w:cs="Times New Roman"/>
          <w:sz w:val="24"/>
          <w:szCs w:val="24"/>
        </w:rPr>
        <w:t>Количество пожаров</w:t>
      </w:r>
    </w:p>
    <w:tbl>
      <w:tblPr>
        <w:tblW w:w="97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81"/>
        <w:gridCol w:w="874"/>
        <w:gridCol w:w="874"/>
        <w:gridCol w:w="727"/>
        <w:gridCol w:w="874"/>
        <w:gridCol w:w="1886"/>
      </w:tblGrid>
      <w:tr w:rsidR="00D602D4">
        <w:trPr>
          <w:cantSplit/>
          <w:jc w:val="center"/>
        </w:trPr>
        <w:tc>
          <w:tcPr>
            <w:tcW w:w="4361" w:type="dxa"/>
            <w:vMerge w:val="restart"/>
            <w:vAlign w:val="center"/>
          </w:tcPr>
          <w:p w:rsidR="00D602D4" w:rsidRDefault="000B4C86">
            <w:pPr>
              <w:widowControl w:val="0"/>
              <w:spacing w:after="0" w:line="240" w:lineRule="auto"/>
              <w:ind w:left="-113" w:right="-114"/>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Показатели</w:t>
            </w:r>
          </w:p>
        </w:tc>
        <w:tc>
          <w:tcPr>
            <w:tcW w:w="850" w:type="dxa"/>
            <w:vMerge w:val="restart"/>
            <w:vAlign w:val="center"/>
          </w:tcPr>
          <w:p w:rsidR="00D602D4" w:rsidRDefault="000B4C86">
            <w:pPr>
              <w:widowControl w:val="0"/>
              <w:tabs>
                <w:tab w:val="left" w:pos="40"/>
              </w:tabs>
              <w:spacing w:after="0" w:line="240" w:lineRule="auto"/>
              <w:ind w:left="-111" w:right="-112"/>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Ед. изм.</w:t>
            </w:r>
          </w:p>
        </w:tc>
        <w:tc>
          <w:tcPr>
            <w:tcW w:w="4246" w:type="dxa"/>
            <w:gridSpan w:val="4"/>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Период</w:t>
            </w:r>
          </w:p>
        </w:tc>
      </w:tr>
      <w:tr w:rsidR="00D602D4">
        <w:trPr>
          <w:cantSplit/>
          <w:jc w:val="center"/>
        </w:trPr>
        <w:tc>
          <w:tcPr>
            <w:tcW w:w="4361" w:type="dxa"/>
            <w:vMerge/>
          </w:tcPr>
          <w:p w:rsidR="00D602D4" w:rsidRDefault="00D602D4">
            <w:pPr>
              <w:widowControl w:val="0"/>
              <w:spacing w:after="5" w:line="252" w:lineRule="auto"/>
              <w:ind w:left="426" w:right="-143" w:hanging="426"/>
              <w:jc w:val="center"/>
              <w:rPr>
                <w:rFonts w:ascii="Times New Roman" w:eastAsia="Times New Roman" w:hAnsi="Times New Roman" w:cs="Times New Roman"/>
                <w:b/>
                <w:bCs/>
                <w:color w:val="000000"/>
                <w:sz w:val="20"/>
                <w:szCs w:val="20"/>
                <w:lang w:eastAsia="ru-RU"/>
              </w:rPr>
            </w:pPr>
          </w:p>
        </w:tc>
        <w:tc>
          <w:tcPr>
            <w:tcW w:w="850" w:type="dxa"/>
            <w:vMerge/>
          </w:tcPr>
          <w:p w:rsidR="00D602D4" w:rsidRDefault="00D602D4">
            <w:pPr>
              <w:widowControl w:val="0"/>
              <w:tabs>
                <w:tab w:val="left" w:pos="40"/>
              </w:tabs>
              <w:spacing w:after="5" w:line="252" w:lineRule="auto"/>
              <w:ind w:left="426" w:right="-143" w:hanging="426"/>
              <w:jc w:val="both"/>
              <w:rPr>
                <w:rFonts w:ascii="Times New Roman" w:eastAsia="Times New Roman" w:hAnsi="Times New Roman" w:cs="Times New Roman"/>
                <w:b/>
                <w:bCs/>
                <w:color w:val="000000"/>
                <w:sz w:val="20"/>
                <w:szCs w:val="20"/>
                <w:lang w:eastAsia="ru-RU"/>
              </w:rPr>
            </w:pPr>
          </w:p>
        </w:tc>
        <w:tc>
          <w:tcPr>
            <w:tcW w:w="851" w:type="dxa"/>
          </w:tcPr>
          <w:p w:rsidR="00D602D4" w:rsidRDefault="000B4C86">
            <w:pPr>
              <w:widowControl w:val="0"/>
              <w:spacing w:after="0" w:line="240" w:lineRule="auto"/>
              <w:ind w:left="-96" w:right="-122"/>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2022 год</w:t>
            </w:r>
          </w:p>
          <w:p w:rsidR="00D602D4" w:rsidRDefault="000B4C86">
            <w:pPr>
              <w:widowControl w:val="0"/>
              <w:spacing w:after="0" w:line="240" w:lineRule="auto"/>
              <w:ind w:left="-96" w:right="-122"/>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708" w:type="dxa"/>
            <w:shd w:val="clear" w:color="FFFFFF" w:fill="FFFFFF"/>
          </w:tcPr>
          <w:p w:rsidR="00D602D4" w:rsidRDefault="000B4C86">
            <w:pPr>
              <w:widowControl w:val="0"/>
              <w:spacing w:after="0" w:line="240" w:lineRule="auto"/>
              <w:ind w:left="-113" w:right="-138"/>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2023 год</w:t>
            </w:r>
          </w:p>
          <w:p w:rsidR="00D602D4" w:rsidRDefault="000B4C86">
            <w:pPr>
              <w:widowControl w:val="0"/>
              <w:spacing w:after="0" w:line="240" w:lineRule="auto"/>
              <w:ind w:left="-113" w:right="-138"/>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851" w:type="dxa"/>
          </w:tcPr>
          <w:p w:rsidR="00D602D4" w:rsidRDefault="000B4C86">
            <w:pPr>
              <w:widowControl w:val="0"/>
              <w:spacing w:after="0" w:line="240" w:lineRule="auto"/>
              <w:ind w:left="-100" w:right="-143"/>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2024 год</w:t>
            </w:r>
          </w:p>
          <w:p w:rsidR="00D602D4" w:rsidRDefault="000B4C86">
            <w:pPr>
              <w:widowControl w:val="0"/>
              <w:spacing w:after="0" w:line="240" w:lineRule="auto"/>
              <w:ind w:left="-100" w:right="-143"/>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1100" w:type="dxa"/>
          </w:tcPr>
          <w:p w:rsidR="00D602D4" w:rsidRDefault="000B4C86">
            <w:pPr>
              <w:widowControl w:val="0"/>
              <w:spacing w:after="0" w:line="240" w:lineRule="auto"/>
              <w:ind w:left="-107" w:right="-143"/>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 xml:space="preserve">изменение </w:t>
            </w:r>
          </w:p>
          <w:p w:rsidR="00D602D4" w:rsidRDefault="000B4C86">
            <w:pPr>
              <w:widowControl w:val="0"/>
              <w:spacing w:after="0" w:line="240" w:lineRule="auto"/>
              <w:ind w:left="-107" w:right="-143"/>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2024/2023, %</w:t>
            </w:r>
          </w:p>
        </w:tc>
      </w:tr>
      <w:tr w:rsidR="00D602D4">
        <w:trPr>
          <w:cantSplit/>
          <w:jc w:val="center"/>
        </w:trPr>
        <w:tc>
          <w:tcPr>
            <w:tcW w:w="4361" w:type="dxa"/>
          </w:tcPr>
          <w:p w:rsidR="00D602D4" w:rsidRDefault="000B4C86">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850" w:type="dxa"/>
          </w:tcPr>
          <w:p w:rsidR="00D602D4" w:rsidRDefault="000B4C86">
            <w:pPr>
              <w:widowControl w:val="0"/>
              <w:tabs>
                <w:tab w:val="left" w:pos="40"/>
              </w:tabs>
              <w:spacing w:after="0" w:line="240" w:lineRule="auto"/>
              <w:ind w:left="-112"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851" w:type="dxa"/>
          </w:tcPr>
          <w:p w:rsidR="00D602D4" w:rsidRDefault="000B4C86">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708" w:type="dxa"/>
            <w:shd w:val="clear" w:color="FFFFFF" w:fill="FFFFFF"/>
          </w:tcPr>
          <w:p w:rsidR="00D602D4" w:rsidRDefault="000B4C86">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851" w:type="dxa"/>
          </w:tcPr>
          <w:p w:rsidR="00D602D4" w:rsidRDefault="000B4C86">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c>
          <w:tcPr>
            <w:tcW w:w="1100" w:type="dxa"/>
          </w:tcPr>
          <w:p w:rsidR="00D602D4" w:rsidRDefault="000B4C86">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w:t>
            </w:r>
          </w:p>
        </w:tc>
      </w:tr>
      <w:tr w:rsidR="00D602D4">
        <w:trPr>
          <w:cantSplit/>
          <w:jc w:val="center"/>
        </w:trPr>
        <w:tc>
          <w:tcPr>
            <w:tcW w:w="4361" w:type="dxa"/>
          </w:tcPr>
          <w:p w:rsidR="00D602D4" w:rsidRDefault="000B4C86">
            <w:pPr>
              <w:widowControl w:val="0"/>
              <w:spacing w:after="0" w:line="240" w:lineRule="auto"/>
              <w:ind w:left="426" w:right="-143" w:hanging="426"/>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Количество пожаров</w:t>
            </w:r>
          </w:p>
        </w:tc>
        <w:tc>
          <w:tcPr>
            <w:tcW w:w="850" w:type="dxa"/>
          </w:tcPr>
          <w:p w:rsidR="00D602D4" w:rsidRDefault="000B4C86">
            <w:pPr>
              <w:widowControl w:val="0"/>
              <w:spacing w:after="0" w:line="240"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ед.</w:t>
            </w:r>
          </w:p>
        </w:tc>
        <w:tc>
          <w:tcPr>
            <w:tcW w:w="851" w:type="dxa"/>
          </w:tcPr>
          <w:p w:rsidR="00D602D4" w:rsidRDefault="000B4C86">
            <w:pPr>
              <w:widowControl w:val="0"/>
              <w:spacing w:after="0" w:line="240"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55</w:t>
            </w:r>
          </w:p>
        </w:tc>
        <w:tc>
          <w:tcPr>
            <w:tcW w:w="708" w:type="dxa"/>
          </w:tcPr>
          <w:p w:rsidR="00D602D4" w:rsidRDefault="000B4C86">
            <w:pPr>
              <w:widowControl w:val="0"/>
              <w:spacing w:after="0" w:line="240"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c>
          <w:tcPr>
            <w:tcW w:w="851" w:type="dxa"/>
          </w:tcPr>
          <w:p w:rsidR="00D602D4" w:rsidRDefault="000B4C86">
            <w:pPr>
              <w:widowControl w:val="0"/>
              <w:spacing w:after="0" w:line="240"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w:t>
            </w:r>
          </w:p>
        </w:tc>
        <w:tc>
          <w:tcPr>
            <w:tcW w:w="1100" w:type="dxa"/>
          </w:tcPr>
          <w:p w:rsidR="00D602D4" w:rsidRDefault="000B4C86">
            <w:pPr>
              <w:widowControl w:val="0"/>
              <w:spacing w:after="0" w:line="240"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- 40</w:t>
            </w:r>
          </w:p>
        </w:tc>
      </w:tr>
    </w:tbl>
    <w:p w:rsidR="00D602D4" w:rsidRDefault="000B4C86">
      <w:pPr>
        <w:tabs>
          <w:tab w:val="left" w:pos="9356"/>
          <w:tab w:val="left" w:pos="9780"/>
        </w:tabs>
        <w:spacing w:after="0" w:line="240" w:lineRule="auto"/>
        <w:ind w:right="-1"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4"/>
          <w:szCs w:val="24"/>
        </w:rPr>
        <w:t>В зоне присутствия ПАО «Россети Сибирь» в 2024 году количество пожаров снизилась на 40 % (с 10 до 6) по отношению к аналогичному периоду 2023 года.</w:t>
      </w:r>
    </w:p>
    <w:p w:rsidR="00D602D4" w:rsidRDefault="000B4C86">
      <w:pPr>
        <w:tabs>
          <w:tab w:val="left" w:pos="9356"/>
          <w:tab w:val="left" w:pos="9780"/>
        </w:tabs>
        <w:spacing w:after="0" w:line="240" w:lineRule="auto"/>
        <w:ind w:right="-1"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4"/>
          <w:szCs w:val="24"/>
        </w:rPr>
        <w:t>В филиалах ПАО «Россети Сибирь» выполнением организационных и технических мероприятий, направленных на предотвращение пожаров и готовность к ликвидации их последствий обеспечена надежная и устойчивая работа электросетевого комплекса в пожароопасный период 2024 года.</w:t>
      </w:r>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pStyle w:val="13"/>
        <w:spacing w:before="0" w:line="240" w:lineRule="auto"/>
        <w:rPr>
          <w:rFonts w:ascii="Times New Roman" w:hAnsi="Times New Roman" w:cs="Times New Roman"/>
          <w:b/>
          <w:bCs/>
          <w:color w:val="auto"/>
          <w:sz w:val="26"/>
          <w:szCs w:val="26"/>
        </w:rPr>
      </w:pPr>
      <w:bookmarkStart w:id="69" w:name="_Toc102"/>
      <w:r>
        <w:rPr>
          <w:rFonts w:ascii="Times New Roman" w:eastAsia="Times New Roman" w:hAnsi="Times New Roman" w:cs="Times New Roman"/>
          <w:b/>
          <w:color w:val="auto"/>
          <w:sz w:val="26"/>
          <w:szCs w:val="26"/>
        </w:rPr>
        <w:t>4.5. Изменение климата</w:t>
      </w:r>
      <w:bookmarkEnd w:id="69"/>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В целях обеспечения экологической безопасности и минимизации негативного воздействия на окружающую среду производственной деятельности (последовательное ограничение нагрузки топливно-энергетического комплекса на окружающую среду путем снижения выбросов (сбросов) загрязняющих веществ в окружающую среду и сокращения образования отходов производства и потребления) ПАО «Россети Сибирь» руководствуется Экологической политикой ПАО «Россети».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Цель реализации Экологической политики электросетевого комплекса – сохранение благоприятной окружающей среды для нынешних и будущих поколений.</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Основными направлениями реализации Экологической политики являются: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приоритет принятия мер по предупреждению вредного воздействия на окружающую природную среду над реализацией мероприятий по ликвидации экологических негативных последствий такого воздействия;</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 проведение мероприятий по энергосбережению и повышению энергетической эффективности;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использование в электросетевом комплексе наилучших доступных технологий и инноваций, обеспечивающих соблюдение природоохранных требований и минимизацию негативного воздействия на окружающую среду, включая применение кабельных линий и самонесущих изолированных проводов в распределительном сетевом комплексе, а также сверхвысоких опор для ВЛ напряжением 110 кВ и выше;</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замещение бензина и дизельного топлива экологически «чистыми» видами моторного топлива и применение электротранспорта в организациях электросетевого комплекса;</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lastRenderedPageBreak/>
        <w:t>- развитие зарядной инфраструктуры и увеличение общей доли электротранспорта в Российской Федерации;</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ограничение ведения производственной и строительной деятельности на территориях, имеющих особое природоохранное значение;</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обеспечение сохранения биологического разнообразия и восстановление нарушенных земель;</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поэтапный вывод из эксплуатации оборудования, содержащего полихлорированные бифенилы, а также маслонаполненного оборудования с заменой на экологически безопасное;</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обеспечение экологически безопасного обращения с отходами производства;</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 обеспечение соблюдения подрядными организациями в процессе проектирования, строительства, реконструкции и технического перевооружения объектов электросетевого комплекса требований законодательства Российской Федерации и ПАО «Россети» в области охраны окружающей среды и экологической безопасности;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вовлечение персонала в деятельность, направленную на обеспечение экологической безопасности, охрану окружающей среды и рациональное использование природных ресурсов;</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повышение квалификации персонала, обслуживающего объекты электросетевого комплекса, в области охраны окружающей среды и экологической безопасности.</w:t>
      </w:r>
    </w:p>
    <w:p w:rsidR="00D602D4" w:rsidRDefault="00D602D4">
      <w:pPr>
        <w:spacing w:after="0" w:line="240" w:lineRule="auto"/>
        <w:jc w:val="both"/>
        <w:rPr>
          <w:rFonts w:ascii="Times New Roman" w:eastAsia="Times New Roman" w:hAnsi="Times New Roman" w:cs="Times New Roman"/>
          <w:sz w:val="24"/>
          <w:szCs w:val="24"/>
        </w:rPr>
      </w:pPr>
    </w:p>
    <w:p w:rsidR="00D602D4" w:rsidRDefault="000B4C86">
      <w:pPr>
        <w:spacing w:after="0" w:line="240" w:lineRule="auto"/>
        <w:jc w:val="both"/>
        <w:rPr>
          <w:rFonts w:ascii="Times New Roman" w:eastAsia="Times New Roman" w:hAnsi="Times New Roman" w:cs="Times New Roman"/>
          <w:sz w:val="24"/>
          <w:szCs w:val="24"/>
        </w:rPr>
      </w:pPr>
      <w:bookmarkStart w:id="70" w:name="_Toc103"/>
      <w:r>
        <w:rPr>
          <w:rFonts w:ascii="Times New Roman" w:eastAsia="Times New Roman" w:hAnsi="Times New Roman" w:cs="Times New Roman"/>
          <w:b/>
          <w:sz w:val="26"/>
          <w:szCs w:val="26"/>
        </w:rPr>
        <w:t>4.6. Охрана окружающей среды</w:t>
      </w:r>
      <w:bookmarkEnd w:id="70"/>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rPr>
          <w:rFonts w:ascii="Times New Roman" w:eastAsia="Times New Roman" w:hAnsi="Times New Roman" w:cs="Times New Roman"/>
          <w:sz w:val="24"/>
          <w:szCs w:val="24"/>
          <w:lang w:eastAsia="ru-RU"/>
        </w:rPr>
      </w:pPr>
      <w:r>
        <w:rPr>
          <w:rFonts w:ascii="Times New Roman" w:eastAsia="Times New Roman" w:hAnsi="Times New Roman" w:cs="Times New Roman"/>
          <w:b/>
          <w:sz w:val="26"/>
          <w:szCs w:val="26"/>
          <w:lang w:eastAsia="ru-RU"/>
        </w:rPr>
        <w:t>Экологическая политика</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Экологическая политика ПАО «Россети Сибирь» введена распоряжением ПАО «Россети Сибирь» от 04.06.2024 №147 «О введении в действие Экологической политики ПАО «Россети Сибирь», выписка из протокола №525/24 заседания Совета директоров ПАО «Россети Сибирь» от 24.05.2024 года. </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Экологическая политика базируется на Конституции Российской Федерации, федеральных законах и иных нормативных правовых актах Российской Федерации, международных обязательствах Российской Федерации в области охраны окружающей среды. В процессе производственной деятельности Общества происходит незначительное воздействие на окружающую среду, тем не менее, Компания признает это влияние, которое складывается из выбросов в атмосферу загрязняющих веществ от стационарных, передвижных источников, размещения и утилизации отходов производства и потребления. </w:t>
      </w:r>
      <w:r>
        <w:rPr>
          <w:rFonts w:ascii="Times New Roman" w:eastAsia="Times New Roman" w:hAnsi="Times New Roman" w:cs="Times New Roman"/>
          <w:sz w:val="24"/>
          <w:szCs w:val="24"/>
          <w:lang w:eastAsia="ru-RU"/>
        </w:rPr>
        <w:tab/>
        <w:t xml:space="preserve">ПАО «Россети Сибирь» в своей деятельности обеспечивает соответствие самым перспективным требованиям, направленным на снижение воздействия на окружающую среду, располагает всеми необходимыми механизмами, направленными на предотвращение экологических рисков. </w:t>
      </w:r>
    </w:p>
    <w:p w:rsidR="00D602D4" w:rsidRDefault="000B4C86">
      <w:pPr>
        <w:spacing w:after="0" w:line="240" w:lineRule="auto"/>
        <w:ind w:firstLine="709"/>
        <w:jc w:val="both"/>
        <w:rPr>
          <w:sz w:val="26"/>
          <w:szCs w:val="26"/>
        </w:rPr>
      </w:pPr>
      <w:r>
        <w:rPr>
          <w:rFonts w:ascii="Times New Roman" w:eastAsia="Times New Roman" w:hAnsi="Times New Roman" w:cs="Times New Roman"/>
          <w:sz w:val="24"/>
          <w:szCs w:val="24"/>
          <w:lang w:eastAsia="ru-RU"/>
        </w:rPr>
        <w:t>Цель реализации Экологической политики ПАО «Россети Сибирь» – сохранение благоприятной окружающей среды для нынешних и будущих поколений.</w:t>
      </w:r>
    </w:p>
    <w:p w:rsidR="00D602D4" w:rsidRDefault="000B4C86">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4"/>
          <w:szCs w:val="24"/>
          <w:lang w:eastAsia="ru-RU"/>
        </w:rPr>
        <w:t>Достижение поставленной цели предусматривается на основе решения следующих задач:</w:t>
      </w:r>
    </w:p>
    <w:p w:rsidR="00D602D4" w:rsidRDefault="000B4C86">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4"/>
          <w:szCs w:val="24"/>
          <w:lang w:eastAsia="ru-RU"/>
        </w:rPr>
        <w:t>- соблюдение требований и норм, установленных природоохранным законодательством Российской Федерации и международными правовыми актами в области охраны окружающей среды;</w:t>
      </w:r>
    </w:p>
    <w:p w:rsidR="00D602D4" w:rsidRDefault="000B4C86">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4"/>
          <w:szCs w:val="24"/>
          <w:lang w:eastAsia="ru-RU"/>
        </w:rPr>
        <w:t>-  приоритет принятия мер по предупреждению негативного воздействия на окружающую среду над реализацией мероприятий по ликвидации экологических негативных последствий такого воздействия;</w:t>
      </w:r>
    </w:p>
    <w:p w:rsidR="00D602D4" w:rsidRDefault="000B4C86">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4"/>
          <w:szCs w:val="24"/>
          <w:lang w:eastAsia="ru-RU"/>
        </w:rPr>
        <w:lastRenderedPageBreak/>
        <w:t>- внедрение инноваций, энергоэффективных и энергосберегающих технологий, а также наилучших доступных технологий повышения энергетической эффективности, обеспечивающих соблюдение природоохранных требований;</w:t>
      </w:r>
    </w:p>
    <w:p w:rsidR="00D602D4" w:rsidRDefault="000B4C86">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4"/>
          <w:szCs w:val="24"/>
          <w:lang w:eastAsia="ru-RU"/>
        </w:rPr>
        <w:t>- обеспечение экологически безопасного обращения с отходами производства;</w:t>
      </w:r>
    </w:p>
    <w:p w:rsidR="00D602D4" w:rsidRDefault="000B4C86">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4"/>
          <w:szCs w:val="24"/>
          <w:lang w:eastAsia="ru-RU"/>
        </w:rPr>
        <w:t xml:space="preserve"> - постоянное совершенствование системы экологического менеджмента ПАО «Россети Сибирь» для улучшения экологических результатов деятельности;</w:t>
      </w:r>
    </w:p>
    <w:p w:rsidR="00D602D4" w:rsidRDefault="000B4C86">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4"/>
          <w:szCs w:val="24"/>
          <w:lang w:eastAsia="ru-RU"/>
        </w:rPr>
        <w:t xml:space="preserve">- контроль за соблюдением подрядными организациями в процессе проектирования, строительства, реконструкции и технического перевооружения производственных объектов требований законодательства </w:t>
      </w:r>
      <w:r>
        <w:rPr>
          <w:rFonts w:ascii="Times New Roman" w:eastAsia="Times New Roman" w:hAnsi="Times New Roman" w:cs="Times New Roman"/>
          <w:sz w:val="24"/>
          <w:szCs w:val="24"/>
        </w:rPr>
        <w:t>Российской Федерации</w:t>
      </w:r>
      <w:r>
        <w:rPr>
          <w:rFonts w:ascii="Times New Roman" w:eastAsia="Times New Roman" w:hAnsi="Times New Roman" w:cs="Times New Roman"/>
          <w:sz w:val="24"/>
          <w:szCs w:val="24"/>
          <w:lang w:eastAsia="ru-RU"/>
        </w:rPr>
        <w:t>, нормативно - технических документов и локальных нормативных актов Общества в сфере природоохранной деятельности;</w:t>
      </w:r>
    </w:p>
    <w:p w:rsidR="00D602D4" w:rsidRDefault="000B4C86">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4"/>
          <w:szCs w:val="24"/>
          <w:lang w:eastAsia="ru-RU"/>
        </w:rPr>
        <w:t>- обеспечение открытости и доступности экологической информации, информирование всех заинтересованных сторон о произошедших авариях, их экологических последствиях и мерах по ликвидации;</w:t>
      </w:r>
    </w:p>
    <w:p w:rsidR="00D602D4" w:rsidRDefault="000B4C86">
      <w:pPr>
        <w:spacing w:after="0" w:line="240" w:lineRule="auto"/>
        <w:ind w:firstLine="709"/>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4"/>
          <w:szCs w:val="24"/>
          <w:lang w:eastAsia="ru-RU"/>
        </w:rPr>
        <w:t>- вовлечение персонала ПАО «Россети Сибирь» в деятельность, направленную на обеспечение экологической безопасности, включая повышение квалификации работников в сфере природоохранной деятельности.</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t>Основные преимущества, стоящие перед электросетевым комплексом в области охраны окружающей среды:</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снижение доли морально устаревшего оборудования, используемого на объектах электросетевого комплекса и содержащего опасные вещества в размере 100 % (до 2025 года);</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снижение объемов вырубок лесных насаждений при прокладке и содержании просек при прохождении ВЛ в лесных массивах;</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снижение негативного воздействия на окружающую среду при строительстве объектов электросетевого комплекса;</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ab/>
        <w:t>постоянное улучшение природоохранной деятельности и экологического менеджмента;</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ab/>
        <w:t>открытость и доступность информации по природоохранной деятельности для общественности;</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ab/>
        <w:t>постоянная финансовая и организационная поддержка экологической политики;</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ab/>
        <w:t>регулярное осуществление анализа воздействия деятельности Общества на окружающую среду, учет результатов такого анализа для установления и пересмотра экологических целей и задач;</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ab/>
        <w:t>не превышение установленных нормативов воздействия на природную среду;</w:t>
      </w:r>
    </w:p>
    <w:p w:rsidR="00D602D4" w:rsidRDefault="000B4C86">
      <w:pPr>
        <w:tabs>
          <w:tab w:val="left" w:pos="851"/>
        </w:tabs>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ab/>
        <w:t>обеспечение надежного и экологически безопасного транспорта и распределения энергии.</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реализации Экологической политики Общества разработаны и утверждены в каждом филиале «Планы природоохранных мероприятий», которые определяют цели, задачи и основные направления деятельности в области охраны окружающей среды и обеспечения экологической безопасности. Выполнение принципов экологической политики осуществляется в рамках контроля соблюдения природоохранного законодательства, экологического мониторинга, нормирования в сфере природоохранной деятельности, сертификации системы экологического менеджмента, экологического аудита, технических мероприятий, направленных на минимизацию негативного воздействия на окружающую среду. </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рамках плана в 2024 году реализованы мероприятия по направлениям:</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Охрана атмосферного воздуха;</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Охрана и рациональное использование водных ресурсов;</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Охрана и рациональное использование земель;</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Защита животного мира, в т.ч. птиц от гибели на ВЛ 6-10 кВ;</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Применение перспективных технологий и решений (в экологическом плане) при транспорте и распределении электрической энергии;</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Проведение производственного экологического контроля:</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 области обращения с отходами;</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за выбросами загрязняющих веществ (ЗВ) в атмосферу от стационарных источников;</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 забор воды из подземных источников (скважин).</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рамках выполнения плана природоохранных мероприятий проводятся технические и организационные мероприятия, направленные на минимизацию негативного воздействия производственной деятельности на окружающую среду.</w:t>
      </w:r>
    </w:p>
    <w:p w:rsidR="00D602D4" w:rsidRDefault="00D602D4">
      <w:pPr>
        <w:spacing w:after="0" w:line="240" w:lineRule="auto"/>
        <w:ind w:firstLine="709"/>
        <w:jc w:val="both"/>
        <w:rPr>
          <w:rFonts w:ascii="Times New Roman" w:eastAsia="Times New Roman" w:hAnsi="Times New Roman" w:cs="Times New Roman"/>
          <w:b/>
          <w:sz w:val="24"/>
          <w:szCs w:val="24"/>
          <w:lang w:eastAsia="ru-RU"/>
        </w:rPr>
      </w:pPr>
    </w:p>
    <w:p w:rsidR="00D602D4" w:rsidRDefault="000B4C86">
      <w:pPr>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 число технических мероприятий входят:</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Согласно Единой технической политике одной из главных стратегических целей развития Общества является минимизация негативного воздействия на окружающую среду при строительстве, реконструкции, эксплуатации и ремонте энергообъектов. </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настоящее время при реконструкции и новом строительстве воздушных линий электропередачи 0,4-10 кВ применяются самонесущие изолированные провода. Применение данной технологии позволяет производить вырубку деревьев и кустарника в процессе строительства и дальнейшей эксплуатации воздушных линий электропередачи в минимальных объемах, а также обеспечить орнитологическую безопасность.</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реконструкции и новом строительстве подстанций напряжением 110/35/10 кВ в филиалах ПАО «Россети Сибирь» применяются современные элегазовые выключатели напряжением 110 кВ и вакуумные выключатели напряжением 10 и 6 кВ. В процессе эксплуатации элегазовых выключателей отсутствует необходимость обогрева колонн в зимнее время года, что позволяет уменьшить расход электроэнергии на собственные нужды, кроме того, отсутствие трансформаторного масла в элегазовых и вакуумных выключателях позволяет увеличить межремонтные сроки и уменьшить негативное воздействие на окружающую среду.</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2025 году планируется:</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передать на утилизацию Федеральному экологическому оператору последние в Обществе 70 единиц оборудования с содержанием полихлорированных бифенилов. </w:t>
      </w:r>
    </w:p>
    <w:p w:rsidR="00D602D4" w:rsidRDefault="00D602D4">
      <w:pPr>
        <w:spacing w:after="0" w:line="240" w:lineRule="auto"/>
        <w:ind w:firstLine="709"/>
        <w:rPr>
          <w:rFonts w:ascii="Times New Roman" w:eastAsia="Times New Roman" w:hAnsi="Times New Roman" w:cs="Times New Roman"/>
          <w:b/>
          <w:color w:val="FF0000"/>
          <w:sz w:val="26"/>
          <w:szCs w:val="26"/>
        </w:rPr>
      </w:pPr>
    </w:p>
    <w:p w:rsidR="00D602D4" w:rsidRDefault="000B4C86">
      <w:pPr>
        <w:spacing w:after="0" w:line="240" w:lineRule="auto"/>
        <w:ind w:firstLine="709"/>
        <w:rPr>
          <w:rFonts w:ascii="Times New Roman" w:eastAsia="Times New Roman" w:hAnsi="Times New Roman" w:cs="Times New Roman"/>
          <w:b/>
          <w:sz w:val="26"/>
          <w:szCs w:val="26"/>
        </w:rPr>
      </w:pPr>
      <w:r>
        <w:rPr>
          <w:rFonts w:ascii="Times New Roman" w:eastAsia="Times New Roman" w:hAnsi="Times New Roman" w:cs="Times New Roman"/>
          <w:b/>
          <w:sz w:val="24"/>
          <w:szCs w:val="24"/>
          <w:lang w:eastAsia="ru-RU"/>
        </w:rPr>
        <w:t>Результаты в области охраны окружающей среды</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Обществе есть лицензия на деятельность по сбору, транспортированию, обработке, утилизации, обезвреживанию, размещению отходов I-IV классов опасности № (24) – 240008-Т/П от 05.10.2020 (переоформлена № (24) – 8536 – Т от 13.11.2019) на вид работ (услуг) по транспортированию отходов I-IV классов опасности.</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t xml:space="preserve">В 2024 году обучение прошли 183 руководителя и специалиста на сумму 845,65 тыс. руб. по следующим программам: </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t>- «Обеспечение экологической безопасности руководителями и специалистами общехозяйственных систем управления»;</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t>- «Профессиональная подготовка лиц на право работы с отходами 1-4 класса опасности»;</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t xml:space="preserve">- «Экологический аудит». </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t>В 2024 году 917 работник ИА и филиалов ПАО «Россети Сибирь» приняли участие в Международном экологическом диктанте.</w:t>
      </w:r>
    </w:p>
    <w:p w:rsidR="00D602D4" w:rsidRDefault="00D602D4">
      <w:pPr>
        <w:spacing w:after="0" w:line="240" w:lineRule="auto"/>
        <w:ind w:firstLine="709"/>
        <w:jc w:val="both"/>
        <w:rPr>
          <w:rFonts w:ascii="Times New Roman" w:eastAsia="Times New Roman" w:hAnsi="Times New Roman" w:cs="Times New Roman"/>
          <w:b/>
          <w:bCs/>
          <w:sz w:val="24"/>
          <w:szCs w:val="24"/>
        </w:rPr>
      </w:pPr>
    </w:p>
    <w:p w:rsidR="00D602D4" w:rsidRDefault="000B4C86">
      <w:pPr>
        <w:spacing w:after="0" w:line="240" w:lineRule="auto"/>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Информация о воздействии деятельности Общества на окружающую среду, включая:</w:t>
      </w:r>
    </w:p>
    <w:p w:rsidR="00D602D4" w:rsidRDefault="000B4C86">
      <w:pPr>
        <w:spacing w:after="0" w:line="240" w:lineRule="auto"/>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меры, направленные на минимизацию воздействия на окружающую среду.</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lastRenderedPageBreak/>
        <w:t>Во исполнение требований природоохранного законодательства и внутренних стандартов была разработана Программа производственного экологического контроля (ПЭК). Согласно Программе ПЭК в структурных подразделениях филиалов проведены следующие мероприятия для уменьшения воздействия производственной деятельности на окружающую среду:</w:t>
      </w:r>
    </w:p>
    <w:p w:rsidR="00D602D4" w:rsidRDefault="000B4C86">
      <w:pPr>
        <w:pStyle w:val="a9"/>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проведен отбор проб (замеры) от стационарных источников выбросов;</w:t>
      </w:r>
    </w:p>
    <w:p w:rsidR="00D602D4" w:rsidRDefault="000B4C86">
      <w:pPr>
        <w:pStyle w:val="a9"/>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проведены проверки автотранспорта на выбросы СН и СО, дымность во время прохождения техосмотра;</w:t>
      </w:r>
    </w:p>
    <w:p w:rsidR="00D602D4" w:rsidRDefault="000B4C86">
      <w:pPr>
        <w:pStyle w:val="a9"/>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проведены аналитические измерения за состоянием окружающей природной среды (почва) в местах складирования (накопления) производственных отходов;</w:t>
      </w:r>
    </w:p>
    <w:p w:rsidR="00D602D4" w:rsidRDefault="000B4C86">
      <w:pPr>
        <w:pStyle w:val="a9"/>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проведены лабораторные исследования качества подземных вод водозаборных скважин.</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 данным лабораторных исследований:</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фактические выбросы загрязняющих веществ в атмосферный воздух не превышают установленных нормативов предельно-допустимых концентраций;</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регулярный визуальный осмотр показывает отсутствие загрязнений почвы вредными веществами и отсутствие захламления мест накопления и складирования отходов;</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анализы воды из подземных скважин филиалов подтверждают соответствие исследуемых показателей требованиям </w:t>
      </w:r>
      <w:hyperlink r:id="rId90" w:tooltip="consultantplus://offline/ref=DD1835718DDD0F9E4928D8735DE47D09B9219950DA07709839A94C9C316966E53542A0900E35FB1BC1B74096285FB612E8ED1747746F21A0s4hCI" w:history="1">
        <w:r>
          <w:rPr>
            <w:rFonts w:ascii="Times New Roman" w:eastAsia="Times New Roman" w:hAnsi="Times New Roman" w:cs="Times New Roman"/>
            <w:sz w:val="24"/>
            <w:szCs w:val="24"/>
            <w:lang w:eastAsia="ru-RU"/>
          </w:rPr>
          <w:t>СанПиН 2.1.3684-21</w:t>
        </w:r>
      </w:hyperlink>
      <w:r>
        <w:rPr>
          <w:rFonts w:ascii="Times New Roman" w:eastAsia="Times New Roman" w:hAnsi="Times New Roman" w:cs="Times New Roman"/>
          <w:sz w:val="24"/>
          <w:szCs w:val="24"/>
          <w:lang w:eastAsia="ru-RU"/>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соответствии с действующими проектами НДВ контроль соблюдения нормативов выбросов загрязняющих веществ в атмосферу в Обществе осуществляется расчетным методом и с привлечением аккредитованных лабораторий. Качество атмосферного воздуха по содержанию определяемых компонентов соответствует требованиям ГН 2.1.6.3492-17 «Предельно-допустимые концентрации ПДК загрязняющих веществ в атмосферном воздухе городских и сельских поселений» и в 2024 году не превышал установленных нормативов ПДК.</w:t>
      </w:r>
      <w:r>
        <w:t xml:space="preserve"> </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области охраны атмосферного воздуха проведены следующие мероприятия:</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разработаны и согласованы с контролирующими органами в области охраны окружающей среды нормативы допустимых выбросов для веществ I и II класса опасности от источников, расположенных на объектах III категории;</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проведена инвентаризация стационарных источников и выбросов загрязняющих веществ в атмосферу для объектов III и IV категории;</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подготовлены годовые формы статистической отчетности 2-ТП (воздух);</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рамках производственного экологического контроля проведены инструментальные замеры выбросов загрязняющих веществ в атмосферу на 56 стационарных источниках;</w:t>
      </w:r>
    </w:p>
    <w:p w:rsidR="00D602D4" w:rsidRDefault="000B4C86">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sz w:val="24"/>
          <w:szCs w:val="24"/>
          <w:lang w:eastAsia="ru-RU"/>
        </w:rPr>
        <w:t>-проведена инвентаризация источников выбросов и загрязняющих веществ для 27 объектов;</w:t>
      </w:r>
    </w:p>
    <w:p w:rsidR="00D602D4" w:rsidRDefault="000B4C86">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sz w:val="24"/>
          <w:szCs w:val="24"/>
          <w:lang w:eastAsia="ru-RU"/>
        </w:rPr>
        <w:t>- проведен расчет нормативов допустимых выбросов для веществ, обладающих канцерогенными, мутагенными свойствами (веществ I, II классов опасности) для 31 объекта;</w:t>
      </w:r>
    </w:p>
    <w:p w:rsidR="00D602D4" w:rsidRDefault="000B4C86">
      <w:pPr>
        <w:spacing w:after="0" w:line="240" w:lineRule="auto"/>
        <w:ind w:firstLine="720"/>
        <w:jc w:val="both"/>
      </w:pPr>
      <w:r>
        <w:rPr>
          <w:rFonts w:ascii="Times New Roman" w:eastAsia="Times New Roman" w:hAnsi="Times New Roman" w:cs="Times New Roman"/>
          <w:sz w:val="24"/>
          <w:szCs w:val="24"/>
          <w:lang w:eastAsia="ru-RU"/>
        </w:rPr>
        <w:t>- проведены работы по разработке планов мероприятий по уменьшению выбросов загрязняющих веществ в атмосферный воздух в периоды НМУ для 18 объектов III категории.</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первом квартале 2024 года была проведена идентификация экологических аспектов и актуализированы реестры значимых экологических аспектов филиалов Общества.</w:t>
      </w:r>
    </w:p>
    <w:p w:rsidR="00D602D4" w:rsidRDefault="000B4C86">
      <w:pPr>
        <w:pStyle w:val="ac"/>
        <w:numPr>
          <w:ilvl w:val="0"/>
          <w:numId w:val="82"/>
        </w:numPr>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сведения об объеме выбросов загрязняющих веществ в атмосферный воздух;</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В 2024 году валовый выброс загрязняющих веществ в атмосферу по всем филиалам ПАО «Россети Сибирь» составил 138,99 тонн, это на 0,43% меньше, и практически на уровне 2023 года (139,59 тонн).</w:t>
      </w:r>
    </w:p>
    <w:p w:rsidR="00D602D4" w:rsidRDefault="00D602D4">
      <w:pPr>
        <w:spacing w:after="0" w:line="240" w:lineRule="auto"/>
        <w:ind w:firstLine="709"/>
        <w:jc w:val="both"/>
        <w:rPr>
          <w:rFonts w:ascii="Times New Roman" w:eastAsia="Times New Roman" w:hAnsi="Times New Roman" w:cs="Times New Roman"/>
          <w:sz w:val="24"/>
          <w:szCs w:val="24"/>
          <w:lang w:eastAsia="ru-RU"/>
        </w:rPr>
      </w:pPr>
    </w:p>
    <w:p w:rsidR="00D602D4" w:rsidRDefault="000B4C86">
      <w:pPr>
        <w:pStyle w:val="ac"/>
        <w:numPr>
          <w:ilvl w:val="0"/>
          <w:numId w:val="81"/>
        </w:numPr>
        <w:spacing w:after="0" w:line="240" w:lineRule="auto"/>
        <w:ind w:left="709" w:hanging="425"/>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данные о прямых выбросах парниковых газов, тонн СО2-эквивалента;</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Всеми филиалами Общества произведен учет объема выбросов, что подтверждается расчетом массы выбросов СО2 за 2024 год и составляет 38.095 тыс. тонн в год. </w:t>
      </w:r>
    </w:p>
    <w:p w:rsidR="00D602D4" w:rsidRDefault="00D602D4">
      <w:pPr>
        <w:spacing w:after="0" w:line="240" w:lineRule="auto"/>
        <w:ind w:firstLine="709"/>
        <w:jc w:val="both"/>
        <w:rPr>
          <w:rFonts w:ascii="Times New Roman" w:eastAsia="Times New Roman" w:hAnsi="Times New Roman" w:cs="Times New Roman"/>
          <w:sz w:val="24"/>
          <w:szCs w:val="24"/>
          <w:lang w:eastAsia="ru-RU"/>
        </w:rPr>
      </w:pPr>
    </w:p>
    <w:p w:rsidR="00D602D4" w:rsidRDefault="000B4C86">
      <w:pPr>
        <w:pStyle w:val="ac"/>
        <w:numPr>
          <w:ilvl w:val="0"/>
          <w:numId w:val="83"/>
        </w:numPr>
        <w:spacing w:after="0" w:line="240" w:lineRule="auto"/>
        <w:ind w:left="0" w:firstLine="283"/>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меры, направленные на охрану и рациональное использование природных ресурсов (например: водных, земельных), включая сведения об объеме сброса загрязняющих веществ в водный объект, данные о рекультивации; </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Эксплуатация водозаборных скважин в ПАО «Россети Сибирь» осуществляется на основании лицензий на право пользования недрами, выданных территориальными Министерствами природных ресурсов по месту нахождения филиалов. ПАО «Россети Сибирь» имеет 21 лицензию на право пользования недрами в части добычи подземных вод из 26 водозаборных скважин.</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rPr>
        <w:t>В ПАО «Россети Сибирь» отсутствуют водные объекты.</w:t>
      </w:r>
      <w:r>
        <w:rPr>
          <w:rFonts w:ascii="Times New Roman" w:eastAsia="Times New Roman" w:hAnsi="Times New Roman" w:cs="Times New Roman"/>
          <w:sz w:val="24"/>
          <w:szCs w:val="24"/>
          <w:lang w:eastAsia="ru-RU"/>
        </w:rPr>
        <w:t xml:space="preserve"> Сбросы загрязняющих веществ со сточными водами в водные объекты не осуществляются. В 2024 году работы по рекультивации нарушенных земель в филиалах Общества не проводились.</w:t>
      </w:r>
    </w:p>
    <w:p w:rsidR="00D602D4" w:rsidRDefault="00D602D4">
      <w:pPr>
        <w:spacing w:after="0" w:line="240" w:lineRule="auto"/>
        <w:ind w:firstLine="720"/>
        <w:jc w:val="both"/>
        <w:rPr>
          <w:rFonts w:ascii="Times New Roman" w:eastAsia="Times New Roman" w:hAnsi="Times New Roman" w:cs="Times New Roman"/>
          <w:sz w:val="24"/>
          <w:szCs w:val="24"/>
          <w:lang w:eastAsia="ru-RU"/>
        </w:rPr>
      </w:pPr>
    </w:p>
    <w:p w:rsidR="00D602D4" w:rsidRDefault="000B4C86">
      <w:pPr>
        <w:pStyle w:val="ac"/>
        <w:numPr>
          <w:ilvl w:val="0"/>
          <w:numId w:val="84"/>
        </w:num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мероприятия по сохранению биоразнообразия, включая меры по искусственному воспроизводству водных биоресурсов;</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2024 году в ПАО «Россети Сибирь» согласно плану «По оснащению ВЛ 6 – 10 кВ птицезащитными устройствами» установлено 8718 шт. на общую сумму 9835,66 тыс. руб.</w:t>
      </w:r>
    </w:p>
    <w:p w:rsidR="00D602D4" w:rsidRDefault="00D602D4">
      <w:pPr>
        <w:spacing w:after="0" w:line="240" w:lineRule="auto"/>
        <w:ind w:firstLine="709"/>
        <w:jc w:val="both"/>
        <w:rPr>
          <w:rFonts w:ascii="Times New Roman" w:eastAsia="Times New Roman" w:hAnsi="Times New Roman" w:cs="Times New Roman"/>
          <w:sz w:val="24"/>
          <w:szCs w:val="24"/>
        </w:rPr>
      </w:pPr>
    </w:p>
    <w:p w:rsidR="00D602D4" w:rsidRDefault="000B4C86">
      <w:pPr>
        <w:pStyle w:val="ac"/>
        <w:numPr>
          <w:ilvl w:val="0"/>
          <w:numId w:val="85"/>
        </w:num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eastAsia="ru-RU"/>
        </w:rPr>
        <w:t>сведения о показателях образования отходов, обеспечение экологически безопасного обращения с отходами, включая данные об объеме отходов, переданных на обработку, утилизацию и обезвреживание;</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2024 году в филиалах ПАО «Россети Сибирь» были проведены следующие мероприятия в сфере обращения с отходами:</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заключены договоры с региональными операторами на сбор и транспортировку твердых коммунальных отходов, а также переданы на размещение твердые отходы городским и поселковым организациям, обслуживающим специализированные полигоны;</w:t>
      </w:r>
    </w:p>
    <w:p w:rsidR="00D602D4" w:rsidRDefault="000B4C86">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сданы на утилизацию, обезвреживание и размещение отходы, образующиеся в результате производственной деятельности Общества. </w:t>
      </w:r>
    </w:p>
    <w:p w:rsidR="00D602D4" w:rsidRDefault="000B4C86">
      <w:pPr>
        <w:spacing w:after="0"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t xml:space="preserve">В соответствии с заключенными договорами со специализированными предприятиями проведена демеркуризация отработанных люминесцентных ламп, утилизация использованной оргтехники и отработанных покрышек. Лом черных и цветных металлов передан специализированным организациям для вторичного использования. </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lang w:eastAsia="ru-RU"/>
        </w:rPr>
        <w:t>В 2024 году количество образованных отходов составило 6106,16 тонн. За отчетный период утилизировано 775,81 тонны отходов, передано на обезвреживание лицензированным организациям 13,78 тонн, передано на обработку 710,46 тонны.</w:t>
      </w:r>
    </w:p>
    <w:p w:rsidR="00D602D4" w:rsidRDefault="00D602D4">
      <w:pPr>
        <w:spacing w:after="0" w:line="240" w:lineRule="auto"/>
        <w:ind w:firstLine="709"/>
        <w:jc w:val="both"/>
        <w:rPr>
          <w:rFonts w:ascii="Times New Roman" w:eastAsia="Times New Roman" w:hAnsi="Times New Roman" w:cs="Times New Roman"/>
          <w:sz w:val="24"/>
          <w:szCs w:val="24"/>
          <w:highlight w:val="white"/>
        </w:rPr>
      </w:pPr>
    </w:p>
    <w:p w:rsidR="00D602D4" w:rsidRDefault="000B4C86">
      <w:pPr>
        <w:pStyle w:val="ac"/>
        <w:numPr>
          <w:ilvl w:val="0"/>
          <w:numId w:val="86"/>
        </w:num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highlight w:val="white"/>
        </w:rPr>
        <w:t>сведения о правонарушениях в области охраны окру</w:t>
      </w:r>
      <w:r>
        <w:rPr>
          <w:rFonts w:ascii="Times New Roman" w:hAnsi="Times New Roman" w:cs="Times New Roman"/>
          <w:b/>
          <w:bCs/>
          <w:sz w:val="24"/>
          <w:szCs w:val="24"/>
        </w:rPr>
        <w:t>жающей среды (количество нарушений и фактическая сумма оплаченных штрафов);</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 отчетный период нарушений в области охраны окружающей среды не было, проверок государственных контрольных органов не проводилось.</w:t>
      </w:r>
    </w:p>
    <w:p w:rsidR="00D602D4" w:rsidRDefault="00D602D4">
      <w:pPr>
        <w:spacing w:after="0" w:line="240" w:lineRule="auto"/>
        <w:ind w:firstLine="709"/>
        <w:jc w:val="both"/>
        <w:rPr>
          <w:rFonts w:ascii="Times New Roman" w:eastAsia="Times New Roman" w:hAnsi="Times New Roman" w:cs="Times New Roman"/>
          <w:sz w:val="24"/>
          <w:szCs w:val="24"/>
          <w:lang w:eastAsia="ru-RU"/>
        </w:rPr>
      </w:pPr>
    </w:p>
    <w:p w:rsidR="00D602D4" w:rsidRDefault="000B4C86">
      <w:pPr>
        <w:pStyle w:val="ac"/>
        <w:numPr>
          <w:ilvl w:val="0"/>
          <w:numId w:val="87"/>
        </w:num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eastAsia="ru-RU"/>
        </w:rPr>
        <w:t>информация об участии в финансировании Обществом проектов в сфере природоохранной деятельности других организаций.</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lastRenderedPageBreak/>
        <w:t>ПАО «Россети Сибирь» не участвует в финансировании проектов в сфере природоохранной деятельности других организаций.</w:t>
      </w:r>
    </w:p>
    <w:p w:rsidR="00D602D4" w:rsidRDefault="00D602D4">
      <w:pPr>
        <w:spacing w:after="0" w:line="240" w:lineRule="auto"/>
        <w:ind w:firstLine="709"/>
        <w:jc w:val="both"/>
        <w:rPr>
          <w:rFonts w:ascii="Times New Roman" w:eastAsia="Times New Roman" w:hAnsi="Times New Roman" w:cs="Times New Roman"/>
          <w:b/>
          <w:bCs/>
          <w:sz w:val="26"/>
          <w:szCs w:val="26"/>
          <w:lang w:eastAsia="ru-RU"/>
        </w:rPr>
      </w:pPr>
    </w:p>
    <w:p w:rsidR="00D602D4" w:rsidRDefault="000B4C86">
      <w:pPr>
        <w:spacing w:after="0" w:line="240" w:lineRule="auto"/>
        <w:ind w:firstLine="709"/>
        <w:jc w:val="both"/>
        <w:rPr>
          <w:rFonts w:ascii="Times New Roman" w:eastAsia="Times New Roman" w:hAnsi="Times New Roman" w:cs="Times New Roman"/>
          <w:b/>
          <w:bCs/>
          <w:sz w:val="26"/>
          <w:szCs w:val="26"/>
          <w:lang w:eastAsia="ru-RU"/>
        </w:rPr>
      </w:pPr>
      <w:r>
        <w:rPr>
          <w:rFonts w:ascii="Times New Roman" w:eastAsia="Times New Roman" w:hAnsi="Times New Roman" w:cs="Times New Roman"/>
          <w:b/>
          <w:sz w:val="26"/>
          <w:szCs w:val="26"/>
          <w:lang w:eastAsia="ru-RU"/>
        </w:rPr>
        <w:t>Расходы на охрану окружающей среды</w:t>
      </w:r>
    </w:p>
    <w:p w:rsidR="00D602D4" w:rsidRDefault="000B4C86">
      <w:pPr>
        <w:spacing w:after="0" w:line="240" w:lineRule="auto"/>
        <w:ind w:firstLine="709"/>
        <w:jc w:val="both"/>
      </w:pPr>
      <w:r>
        <w:rPr>
          <w:rFonts w:ascii="Times New Roman" w:eastAsia="Times New Roman" w:hAnsi="Times New Roman" w:cs="Times New Roman"/>
          <w:sz w:val="24"/>
          <w:szCs w:val="24"/>
          <w:lang w:eastAsia="ru-RU"/>
        </w:rPr>
        <w:t>На основании статьи 16 Федерального закона от 10.01.2002 N 7-ФЗ «Об охране окружающей среды» с юридических лиц и индивидуальных предпринимателей, осуществляющих на территории Российской Федерации хозяйственную деятельность, оказывающую негативное воздействие на окружающую среду, взымается плата за образование отходов и выбросы загрязняющих веществ в атмосферу от стационарных источников.</w:t>
      </w:r>
      <w:r>
        <w:t xml:space="preserve"> </w:t>
      </w:r>
    </w:p>
    <w:p w:rsidR="00D602D4" w:rsidRDefault="00D602D4">
      <w:pPr>
        <w:spacing w:after="0" w:line="240" w:lineRule="auto"/>
        <w:ind w:firstLine="709"/>
        <w:rPr>
          <w:rFonts w:ascii="Times New Roman" w:eastAsia="Times New Roman" w:hAnsi="Times New Roman" w:cs="Times New Roman"/>
          <w:sz w:val="24"/>
          <w:szCs w:val="24"/>
          <w:lang w:eastAsia="ru-RU"/>
        </w:rPr>
      </w:pPr>
    </w:p>
    <w:p w:rsidR="00D602D4" w:rsidRDefault="000B4C86">
      <w:pPr>
        <w:spacing w:after="0" w:line="240" w:lineRule="auto"/>
        <w:jc w:val="center"/>
        <w:rPr>
          <w:lang w:eastAsia="ru-RU"/>
        </w:rPr>
      </w:pPr>
      <w:r>
        <w:rPr>
          <w:noProof/>
          <w:lang w:eastAsia="ru-RU"/>
        </w:rPr>
        <w:drawing>
          <wp:inline distT="0" distB="0" distL="0" distR="0">
            <wp:extent cx="5928065" cy="2743199"/>
            <wp:effectExtent l="3175" t="3175" r="3175" b="3175"/>
            <wp:docPr id="4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D602D4" w:rsidRDefault="000B4C86">
      <w:pPr>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sz w:val="24"/>
          <w:szCs w:val="24"/>
          <w:lang w:eastAsia="ru-RU"/>
        </w:rPr>
        <w:t>Рис. 27 - Динамика платежей за негативное воздействие на окружающую среду, тыс. руб.</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Экологические платежи за 2024 год в целом по ПАО «Россети Сибирь» составили 362,51 тыс. руб. Платежи за негативное воздействие на окружающую среду уменьшились на 2,78 % по сравнению с 2023 годом 352,70 тыс. руб.</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Причиной уменьшения платежей является сокращение количества отходов I</w:t>
      </w:r>
      <w:r>
        <w:rPr>
          <w:rFonts w:ascii="Times New Roman" w:eastAsia="Times New Roman" w:hAnsi="Times New Roman" w:cs="Times New Roman"/>
          <w:sz w:val="24"/>
          <w:szCs w:val="24"/>
          <w:lang w:val="en-US" w:eastAsia="ru-RU"/>
        </w:rPr>
        <w:t>V</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V</w:t>
      </w:r>
      <w:r>
        <w:rPr>
          <w:rFonts w:ascii="Times New Roman" w:eastAsia="Times New Roman" w:hAnsi="Times New Roman" w:cs="Times New Roman"/>
          <w:sz w:val="24"/>
          <w:szCs w:val="24"/>
          <w:lang w:eastAsia="ru-RU"/>
        </w:rPr>
        <w:t xml:space="preserve"> классов опасности (отходы черного и цветного металла) и большая часть образованных отходов ТКО передается региональным операторам, которые производят платежи за обращение с ТКО самостоятельно.</w:t>
      </w:r>
      <w:r>
        <w:rPr>
          <w:rFonts w:ascii="Times New Roman" w:hAnsi="Times New Roman" w:cs="Times New Roman"/>
          <w:sz w:val="26"/>
          <w:szCs w:val="26"/>
        </w:rPr>
        <w:t xml:space="preserve"> </w:t>
      </w:r>
    </w:p>
    <w:p w:rsidR="00D602D4" w:rsidRDefault="000B4C86">
      <w:pPr>
        <w:spacing w:after="0" w:line="240" w:lineRule="auto"/>
        <w:ind w:firstLine="709"/>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Таблица 51</w:t>
      </w:r>
    </w:p>
    <w:p w:rsidR="00D602D4" w:rsidRDefault="000B4C86">
      <w:pPr>
        <w:spacing w:after="0" w:line="240" w:lineRule="auto"/>
        <w:ind w:firstLine="709"/>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Динамика экологических затрат</w:t>
      </w:r>
    </w:p>
    <w:tbl>
      <w:tblPr>
        <w:tblW w:w="4896" w:type="pct"/>
        <w:tblInd w:w="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12"/>
        <w:gridCol w:w="2310"/>
        <w:gridCol w:w="2312"/>
        <w:gridCol w:w="3353"/>
      </w:tblGrid>
      <w:tr w:rsidR="00D602D4">
        <w:trPr>
          <w:trHeight w:val="567"/>
        </w:trPr>
        <w:tc>
          <w:tcPr>
            <w:tcW w:w="2801" w:type="dxa"/>
            <w:vMerge w:val="restart"/>
            <w:vAlign w:val="center"/>
          </w:tcPr>
          <w:p w:rsidR="00D602D4" w:rsidRDefault="000B4C86">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Наименование филиала</w:t>
            </w:r>
          </w:p>
        </w:tc>
        <w:tc>
          <w:tcPr>
            <w:tcW w:w="6628" w:type="dxa"/>
            <w:gridSpan w:val="3"/>
          </w:tcPr>
          <w:p w:rsidR="00D602D4" w:rsidRDefault="000B4C86">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Текущие затраты на охрану окружающей среды,</w:t>
            </w:r>
          </w:p>
          <w:p w:rsidR="00D602D4" w:rsidRDefault="000B4C86">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тыс. руб.</w:t>
            </w:r>
          </w:p>
        </w:tc>
      </w:tr>
      <w:tr w:rsidR="00D602D4">
        <w:tc>
          <w:tcPr>
            <w:tcW w:w="2801" w:type="dxa"/>
            <w:vMerge/>
          </w:tcPr>
          <w:p w:rsidR="00D602D4" w:rsidRDefault="00D602D4">
            <w:pPr>
              <w:spacing w:after="0" w:line="240" w:lineRule="auto"/>
              <w:jc w:val="center"/>
              <w:rPr>
                <w:rFonts w:ascii="Times New Roman" w:eastAsia="Times New Roman" w:hAnsi="Times New Roman" w:cs="Times New Roman"/>
                <w:lang w:eastAsia="ru-RU"/>
              </w:rPr>
            </w:pPr>
          </w:p>
        </w:tc>
        <w:tc>
          <w:tcPr>
            <w:tcW w:w="1180" w:type="pct"/>
          </w:tcPr>
          <w:p w:rsidR="00D602D4" w:rsidRDefault="000B4C86">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2022</w:t>
            </w:r>
          </w:p>
        </w:tc>
        <w:tc>
          <w:tcPr>
            <w:tcW w:w="1181" w:type="pct"/>
          </w:tcPr>
          <w:p w:rsidR="00D602D4" w:rsidRDefault="000B4C86">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2023</w:t>
            </w:r>
          </w:p>
        </w:tc>
        <w:tc>
          <w:tcPr>
            <w:tcW w:w="1892" w:type="dxa"/>
          </w:tcPr>
          <w:p w:rsidR="00D602D4" w:rsidRDefault="000B4C86">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2024</w:t>
            </w:r>
          </w:p>
        </w:tc>
      </w:tr>
      <w:tr w:rsidR="00D602D4">
        <w:tc>
          <w:tcPr>
            <w:tcW w:w="2801" w:type="dxa"/>
            <w:vAlign w:val="center"/>
          </w:tcPr>
          <w:p w:rsidR="00D602D4" w:rsidRDefault="000B4C8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Алтайэнерго</w:t>
            </w:r>
          </w:p>
        </w:tc>
        <w:tc>
          <w:tcPr>
            <w:tcW w:w="1180" w:type="pct"/>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4 957,30</w:t>
            </w:r>
          </w:p>
        </w:tc>
        <w:tc>
          <w:tcPr>
            <w:tcW w:w="1181" w:type="pct"/>
            <w:vAlign w:val="center"/>
          </w:tcPr>
          <w:p w:rsidR="00D602D4" w:rsidRDefault="000B4C86">
            <w:pPr>
              <w:tabs>
                <w:tab w:val="left" w:pos="1418"/>
              </w:tabs>
              <w:spacing w:after="0" w:line="240" w:lineRule="auto"/>
              <w:jc w:val="center"/>
              <w:rPr>
                <w:rFonts w:ascii="Times New Roman" w:eastAsia="Calibri" w:hAnsi="Times New Roman" w:cs="Times New Roman"/>
                <w:highlight w:val="yellow"/>
              </w:rPr>
            </w:pPr>
            <w:r>
              <w:rPr>
                <w:rFonts w:ascii="Times New Roman" w:eastAsia="Calibri" w:hAnsi="Times New Roman" w:cs="Times New Roman"/>
              </w:rPr>
              <w:t>6 622,13</w:t>
            </w:r>
          </w:p>
        </w:tc>
        <w:tc>
          <w:tcPr>
            <w:tcW w:w="1892" w:type="dxa"/>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5 103,22</w:t>
            </w:r>
          </w:p>
        </w:tc>
      </w:tr>
      <w:tr w:rsidR="00D602D4">
        <w:tc>
          <w:tcPr>
            <w:tcW w:w="2801" w:type="dxa"/>
            <w:vAlign w:val="center"/>
          </w:tcPr>
          <w:p w:rsidR="00D602D4" w:rsidRDefault="000B4C8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Бурятэнерго</w:t>
            </w:r>
          </w:p>
        </w:tc>
        <w:tc>
          <w:tcPr>
            <w:tcW w:w="1180" w:type="pct"/>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3 762,69</w:t>
            </w:r>
          </w:p>
        </w:tc>
        <w:tc>
          <w:tcPr>
            <w:tcW w:w="1181" w:type="pct"/>
            <w:vAlign w:val="center"/>
          </w:tcPr>
          <w:p w:rsidR="00D602D4" w:rsidRDefault="000B4C86">
            <w:pPr>
              <w:tabs>
                <w:tab w:val="left" w:pos="1418"/>
              </w:tabs>
              <w:spacing w:after="0" w:line="240" w:lineRule="auto"/>
              <w:jc w:val="center"/>
              <w:rPr>
                <w:rFonts w:ascii="Times New Roman" w:eastAsia="Calibri" w:hAnsi="Times New Roman" w:cs="Times New Roman"/>
                <w:highlight w:val="yellow"/>
              </w:rPr>
            </w:pPr>
            <w:r>
              <w:rPr>
                <w:rFonts w:ascii="Times New Roman" w:eastAsia="Calibri" w:hAnsi="Times New Roman" w:cs="Times New Roman"/>
              </w:rPr>
              <w:t>3 135,25</w:t>
            </w:r>
          </w:p>
        </w:tc>
        <w:tc>
          <w:tcPr>
            <w:tcW w:w="1892" w:type="dxa"/>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3 420,51</w:t>
            </w:r>
          </w:p>
        </w:tc>
      </w:tr>
      <w:tr w:rsidR="00D602D4">
        <w:tc>
          <w:tcPr>
            <w:tcW w:w="2801" w:type="dxa"/>
            <w:vAlign w:val="center"/>
          </w:tcPr>
          <w:p w:rsidR="00D602D4" w:rsidRDefault="000B4C8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Красноярскэнерго</w:t>
            </w:r>
          </w:p>
        </w:tc>
        <w:tc>
          <w:tcPr>
            <w:tcW w:w="1180" w:type="pct"/>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10 673,78</w:t>
            </w:r>
          </w:p>
        </w:tc>
        <w:tc>
          <w:tcPr>
            <w:tcW w:w="1181" w:type="pct"/>
            <w:vAlign w:val="center"/>
          </w:tcPr>
          <w:p w:rsidR="00D602D4" w:rsidRDefault="000B4C86">
            <w:pPr>
              <w:tabs>
                <w:tab w:val="left" w:pos="1418"/>
              </w:tabs>
              <w:spacing w:after="0" w:line="240" w:lineRule="auto"/>
              <w:jc w:val="center"/>
              <w:rPr>
                <w:rFonts w:ascii="Times New Roman" w:eastAsia="Calibri" w:hAnsi="Times New Roman" w:cs="Times New Roman"/>
                <w:highlight w:val="yellow"/>
              </w:rPr>
            </w:pPr>
            <w:r>
              <w:rPr>
                <w:rFonts w:ascii="Times New Roman" w:eastAsia="Calibri" w:hAnsi="Times New Roman" w:cs="Times New Roman"/>
              </w:rPr>
              <w:t>9 837,03</w:t>
            </w:r>
          </w:p>
        </w:tc>
        <w:tc>
          <w:tcPr>
            <w:tcW w:w="1892" w:type="dxa"/>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7 541,10</w:t>
            </w:r>
          </w:p>
        </w:tc>
      </w:tr>
      <w:tr w:rsidR="00D602D4">
        <w:tc>
          <w:tcPr>
            <w:tcW w:w="2801" w:type="dxa"/>
            <w:vAlign w:val="center"/>
          </w:tcPr>
          <w:p w:rsidR="00D602D4" w:rsidRDefault="000B4C8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Кузбассэнерго-РЭС</w:t>
            </w:r>
          </w:p>
        </w:tc>
        <w:tc>
          <w:tcPr>
            <w:tcW w:w="1180" w:type="pct"/>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6 365,93</w:t>
            </w:r>
          </w:p>
        </w:tc>
        <w:tc>
          <w:tcPr>
            <w:tcW w:w="1181" w:type="pct"/>
            <w:vAlign w:val="center"/>
          </w:tcPr>
          <w:p w:rsidR="00D602D4" w:rsidRDefault="000B4C86">
            <w:pPr>
              <w:tabs>
                <w:tab w:val="left" w:pos="1418"/>
              </w:tabs>
              <w:spacing w:after="0" w:line="240" w:lineRule="auto"/>
              <w:jc w:val="center"/>
              <w:rPr>
                <w:rFonts w:ascii="Times New Roman" w:eastAsia="Calibri" w:hAnsi="Times New Roman" w:cs="Times New Roman"/>
                <w:highlight w:val="yellow"/>
              </w:rPr>
            </w:pPr>
            <w:r>
              <w:rPr>
                <w:rFonts w:ascii="Times New Roman" w:eastAsia="Calibri" w:hAnsi="Times New Roman" w:cs="Times New Roman"/>
              </w:rPr>
              <w:t>4 679,19</w:t>
            </w:r>
          </w:p>
        </w:tc>
        <w:tc>
          <w:tcPr>
            <w:tcW w:w="1892" w:type="dxa"/>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4 802,96</w:t>
            </w:r>
          </w:p>
        </w:tc>
      </w:tr>
      <w:tr w:rsidR="00D602D4">
        <w:tc>
          <w:tcPr>
            <w:tcW w:w="2801" w:type="dxa"/>
            <w:vAlign w:val="center"/>
          </w:tcPr>
          <w:p w:rsidR="00D602D4" w:rsidRDefault="000B4C8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Омскэнерго</w:t>
            </w:r>
          </w:p>
        </w:tc>
        <w:tc>
          <w:tcPr>
            <w:tcW w:w="1180" w:type="pct"/>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5 089,61</w:t>
            </w:r>
          </w:p>
        </w:tc>
        <w:tc>
          <w:tcPr>
            <w:tcW w:w="1181" w:type="pct"/>
            <w:vAlign w:val="center"/>
          </w:tcPr>
          <w:p w:rsidR="00D602D4" w:rsidRDefault="000B4C86">
            <w:pPr>
              <w:tabs>
                <w:tab w:val="left" w:pos="1418"/>
              </w:tabs>
              <w:spacing w:after="0" w:line="240" w:lineRule="auto"/>
              <w:jc w:val="center"/>
              <w:rPr>
                <w:rFonts w:ascii="Times New Roman" w:eastAsia="Calibri" w:hAnsi="Times New Roman" w:cs="Times New Roman"/>
                <w:highlight w:val="yellow"/>
              </w:rPr>
            </w:pPr>
            <w:r>
              <w:rPr>
                <w:rFonts w:ascii="Times New Roman" w:eastAsia="Calibri" w:hAnsi="Times New Roman" w:cs="Times New Roman"/>
              </w:rPr>
              <w:t>5 654,13</w:t>
            </w:r>
          </w:p>
        </w:tc>
        <w:tc>
          <w:tcPr>
            <w:tcW w:w="1892" w:type="dxa"/>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4 357,04</w:t>
            </w:r>
          </w:p>
        </w:tc>
      </w:tr>
      <w:tr w:rsidR="00D602D4">
        <w:tc>
          <w:tcPr>
            <w:tcW w:w="2801" w:type="dxa"/>
            <w:vAlign w:val="center"/>
          </w:tcPr>
          <w:p w:rsidR="00D602D4" w:rsidRDefault="000B4C8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Хакасэнерго</w:t>
            </w:r>
          </w:p>
        </w:tc>
        <w:tc>
          <w:tcPr>
            <w:tcW w:w="1180" w:type="pct"/>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3 339,00</w:t>
            </w:r>
          </w:p>
        </w:tc>
        <w:tc>
          <w:tcPr>
            <w:tcW w:w="1181" w:type="pct"/>
            <w:vAlign w:val="center"/>
          </w:tcPr>
          <w:p w:rsidR="00D602D4" w:rsidRDefault="000B4C86">
            <w:pPr>
              <w:tabs>
                <w:tab w:val="left" w:pos="1418"/>
              </w:tabs>
              <w:spacing w:after="0" w:line="240" w:lineRule="auto"/>
              <w:jc w:val="center"/>
              <w:rPr>
                <w:rFonts w:ascii="Times New Roman" w:eastAsia="Calibri" w:hAnsi="Times New Roman" w:cs="Times New Roman"/>
                <w:highlight w:val="yellow"/>
              </w:rPr>
            </w:pPr>
            <w:r>
              <w:rPr>
                <w:rFonts w:ascii="Times New Roman" w:eastAsia="Calibri" w:hAnsi="Times New Roman" w:cs="Times New Roman"/>
              </w:rPr>
              <w:t>2 085,83</w:t>
            </w:r>
          </w:p>
        </w:tc>
        <w:tc>
          <w:tcPr>
            <w:tcW w:w="1892" w:type="dxa"/>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2 367,48</w:t>
            </w:r>
          </w:p>
        </w:tc>
      </w:tr>
      <w:tr w:rsidR="00D602D4">
        <w:tc>
          <w:tcPr>
            <w:tcW w:w="2801" w:type="dxa"/>
            <w:vAlign w:val="center"/>
          </w:tcPr>
          <w:p w:rsidR="00D602D4" w:rsidRDefault="000B4C8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Читаэнерго</w:t>
            </w:r>
          </w:p>
        </w:tc>
        <w:tc>
          <w:tcPr>
            <w:tcW w:w="1180" w:type="pct"/>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4 769,71</w:t>
            </w:r>
          </w:p>
        </w:tc>
        <w:tc>
          <w:tcPr>
            <w:tcW w:w="1181" w:type="pct"/>
            <w:vAlign w:val="center"/>
          </w:tcPr>
          <w:p w:rsidR="00D602D4" w:rsidRDefault="000B4C86">
            <w:pPr>
              <w:tabs>
                <w:tab w:val="left" w:pos="1418"/>
              </w:tabs>
              <w:spacing w:after="0" w:line="240" w:lineRule="auto"/>
              <w:jc w:val="center"/>
              <w:rPr>
                <w:rFonts w:ascii="Times New Roman" w:eastAsia="Calibri" w:hAnsi="Times New Roman" w:cs="Times New Roman"/>
                <w:highlight w:val="yellow"/>
              </w:rPr>
            </w:pPr>
            <w:r>
              <w:rPr>
                <w:rFonts w:ascii="Times New Roman" w:eastAsia="Calibri" w:hAnsi="Times New Roman" w:cs="Times New Roman"/>
              </w:rPr>
              <w:t>4 216,15</w:t>
            </w:r>
          </w:p>
        </w:tc>
        <w:tc>
          <w:tcPr>
            <w:tcW w:w="1892" w:type="dxa"/>
            <w:vAlign w:val="center"/>
          </w:tcPr>
          <w:p w:rsidR="00D602D4" w:rsidRDefault="000B4C86">
            <w:pPr>
              <w:tabs>
                <w:tab w:val="left" w:pos="1418"/>
              </w:tabs>
              <w:spacing w:after="0" w:line="240" w:lineRule="auto"/>
              <w:jc w:val="center"/>
              <w:rPr>
                <w:rFonts w:ascii="Times New Roman" w:eastAsia="Calibri" w:hAnsi="Times New Roman" w:cs="Times New Roman"/>
              </w:rPr>
            </w:pPr>
            <w:r>
              <w:rPr>
                <w:rFonts w:ascii="Times New Roman" w:eastAsia="Calibri" w:hAnsi="Times New Roman" w:cs="Times New Roman"/>
              </w:rPr>
              <w:t>3 066,89</w:t>
            </w:r>
          </w:p>
        </w:tc>
      </w:tr>
      <w:tr w:rsidR="00D602D4">
        <w:tc>
          <w:tcPr>
            <w:tcW w:w="2801" w:type="dxa"/>
            <w:vAlign w:val="center"/>
          </w:tcPr>
          <w:p w:rsidR="00D602D4" w:rsidRDefault="000B4C86">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b/>
                <w:lang w:eastAsia="ru-RU"/>
              </w:rPr>
              <w:lastRenderedPageBreak/>
              <w:t>Итого по ПАО «Россети Сибирь»</w:t>
            </w:r>
          </w:p>
        </w:tc>
        <w:tc>
          <w:tcPr>
            <w:tcW w:w="1180" w:type="pct"/>
            <w:vAlign w:val="center"/>
          </w:tcPr>
          <w:p w:rsidR="00D602D4" w:rsidRDefault="000B4C86">
            <w:pPr>
              <w:tabs>
                <w:tab w:val="left" w:pos="1418"/>
              </w:tabs>
              <w:spacing w:after="0" w:line="240" w:lineRule="auto"/>
              <w:jc w:val="center"/>
              <w:rPr>
                <w:rFonts w:ascii="Times New Roman" w:eastAsia="Calibri" w:hAnsi="Times New Roman" w:cs="Times New Roman"/>
                <w:b/>
              </w:rPr>
            </w:pPr>
            <w:r>
              <w:rPr>
                <w:rFonts w:ascii="Times New Roman" w:eastAsia="Calibri" w:hAnsi="Times New Roman" w:cs="Times New Roman"/>
                <w:b/>
              </w:rPr>
              <w:t>38 609,22</w:t>
            </w:r>
          </w:p>
        </w:tc>
        <w:tc>
          <w:tcPr>
            <w:tcW w:w="1181" w:type="pct"/>
            <w:vAlign w:val="center"/>
          </w:tcPr>
          <w:p w:rsidR="00D602D4" w:rsidRDefault="000B4C86">
            <w:pPr>
              <w:tabs>
                <w:tab w:val="left" w:pos="1418"/>
              </w:tabs>
              <w:spacing w:after="0" w:line="240" w:lineRule="auto"/>
              <w:jc w:val="center"/>
              <w:rPr>
                <w:rFonts w:ascii="Times New Roman" w:eastAsia="Calibri" w:hAnsi="Times New Roman" w:cs="Times New Roman"/>
                <w:b/>
              </w:rPr>
            </w:pPr>
            <w:r>
              <w:rPr>
                <w:rFonts w:ascii="Times New Roman" w:eastAsia="Calibri" w:hAnsi="Times New Roman" w:cs="Times New Roman"/>
                <w:b/>
              </w:rPr>
              <w:t>36 229,71</w:t>
            </w:r>
          </w:p>
        </w:tc>
        <w:tc>
          <w:tcPr>
            <w:tcW w:w="1892" w:type="dxa"/>
            <w:vAlign w:val="center"/>
          </w:tcPr>
          <w:p w:rsidR="00D602D4" w:rsidRDefault="000B4C86">
            <w:pPr>
              <w:tabs>
                <w:tab w:val="left" w:pos="1418"/>
              </w:tabs>
              <w:spacing w:after="0" w:line="240" w:lineRule="auto"/>
              <w:jc w:val="center"/>
              <w:rPr>
                <w:rFonts w:ascii="Times New Roman" w:eastAsia="Calibri" w:hAnsi="Times New Roman" w:cs="Times New Roman"/>
                <w:b/>
              </w:rPr>
            </w:pPr>
            <w:r>
              <w:rPr>
                <w:rFonts w:ascii="Times New Roman" w:eastAsia="Calibri" w:hAnsi="Times New Roman" w:cs="Times New Roman"/>
                <w:b/>
              </w:rPr>
              <w:t>30 659,20</w:t>
            </w:r>
          </w:p>
        </w:tc>
      </w:tr>
    </w:tbl>
    <w:p w:rsidR="00D602D4" w:rsidRDefault="00D602D4">
      <w:pPr>
        <w:spacing w:after="0" w:line="240" w:lineRule="auto"/>
        <w:ind w:firstLine="720"/>
        <w:jc w:val="right"/>
        <w:rPr>
          <w:rFonts w:ascii="Times New Roman" w:eastAsia="Times New Roman" w:hAnsi="Times New Roman" w:cs="Times New Roman"/>
          <w:sz w:val="24"/>
          <w:szCs w:val="24"/>
          <w:lang w:eastAsia="ru-RU"/>
        </w:rPr>
      </w:pPr>
    </w:p>
    <w:p w:rsidR="00D602D4" w:rsidRDefault="000B4C86">
      <w:pPr>
        <w:pStyle w:val="13"/>
        <w:spacing w:before="0" w:line="240" w:lineRule="auto"/>
        <w:ind w:firstLine="709"/>
        <w:jc w:val="both"/>
        <w:rPr>
          <w:rFonts w:ascii="Times New Roman" w:hAnsi="Times New Roman" w:cs="Times New Roman"/>
          <w:b/>
          <w:bCs/>
          <w:color w:val="000000" w:themeColor="text1"/>
          <w:sz w:val="26"/>
          <w:szCs w:val="26"/>
        </w:rPr>
      </w:pPr>
      <w:bookmarkStart w:id="71" w:name="_Toc104"/>
      <w:r>
        <w:rPr>
          <w:rFonts w:ascii="Times New Roman" w:eastAsia="Times New Roman" w:hAnsi="Times New Roman" w:cs="Times New Roman"/>
          <w:color w:val="000000" w:themeColor="text1"/>
          <w:sz w:val="24"/>
          <w:szCs w:val="24"/>
          <w:lang w:eastAsia="ru-RU"/>
        </w:rPr>
        <w:t xml:space="preserve">Экологические затраты на охрану окружающей среды в 2024 году составили 30 659,20 тыс. руб., что на 15,38 % меньше по сравнению с 2023 годом (36 229,71 тыс. руб.). </w:t>
      </w:r>
      <w:bookmarkEnd w:id="71"/>
    </w:p>
    <w:p w:rsidR="00D602D4" w:rsidRDefault="000B4C86">
      <w:pPr>
        <w:spacing w:after="0" w:line="240" w:lineRule="auto"/>
        <w:ind w:firstLine="720"/>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Таблица 52</w:t>
      </w:r>
    </w:p>
    <w:p w:rsidR="00D602D4" w:rsidRDefault="000B4C86">
      <w:pPr>
        <w:spacing w:after="0" w:line="240" w:lineRule="auto"/>
        <w:ind w:firstLine="72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Экологические показатели</w:t>
      </w:r>
    </w:p>
    <w:tbl>
      <w:tblPr>
        <w:tblW w:w="95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44"/>
        <w:gridCol w:w="850"/>
        <w:gridCol w:w="979"/>
        <w:gridCol w:w="1008"/>
        <w:gridCol w:w="1007"/>
        <w:gridCol w:w="1346"/>
      </w:tblGrid>
      <w:tr w:rsidR="00D602D4">
        <w:trPr>
          <w:cantSplit/>
          <w:trHeight w:val="227"/>
          <w:jc w:val="center"/>
        </w:trPr>
        <w:tc>
          <w:tcPr>
            <w:tcW w:w="4344" w:type="dxa"/>
            <w:vMerge w:val="restart"/>
            <w:vAlign w:val="center"/>
          </w:tcPr>
          <w:p w:rsidR="00D602D4" w:rsidRDefault="000B4C86">
            <w:pPr>
              <w:widowControl w:val="0"/>
              <w:spacing w:after="5" w:line="252" w:lineRule="auto"/>
              <w:ind w:left="-113" w:right="-114"/>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Показатели</w:t>
            </w:r>
          </w:p>
        </w:tc>
        <w:tc>
          <w:tcPr>
            <w:tcW w:w="850" w:type="dxa"/>
            <w:vMerge w:val="restart"/>
            <w:vAlign w:val="center"/>
          </w:tcPr>
          <w:p w:rsidR="00D602D4" w:rsidRDefault="000B4C86">
            <w:pPr>
              <w:widowControl w:val="0"/>
              <w:tabs>
                <w:tab w:val="left" w:pos="40"/>
              </w:tabs>
              <w:spacing w:after="5" w:line="252" w:lineRule="auto"/>
              <w:ind w:left="-111" w:right="-112"/>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Ед.изм.</w:t>
            </w:r>
          </w:p>
        </w:tc>
        <w:tc>
          <w:tcPr>
            <w:tcW w:w="4340" w:type="dxa"/>
            <w:gridSpan w:val="4"/>
            <w:vAlign w:val="center"/>
          </w:tcPr>
          <w:p w:rsidR="00D602D4" w:rsidRDefault="000B4C86">
            <w:pPr>
              <w:widowControl w:val="0"/>
              <w:spacing w:after="5" w:line="252"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Период</w:t>
            </w:r>
          </w:p>
        </w:tc>
      </w:tr>
      <w:tr w:rsidR="00D602D4">
        <w:trPr>
          <w:cantSplit/>
          <w:trHeight w:val="227"/>
          <w:jc w:val="center"/>
        </w:trPr>
        <w:tc>
          <w:tcPr>
            <w:tcW w:w="4344" w:type="dxa"/>
            <w:vMerge/>
            <w:vAlign w:val="center"/>
          </w:tcPr>
          <w:p w:rsidR="00D602D4" w:rsidRDefault="00D602D4">
            <w:pPr>
              <w:widowControl w:val="0"/>
              <w:spacing w:after="5" w:line="252" w:lineRule="auto"/>
              <w:ind w:left="426" w:right="-143" w:hanging="426"/>
              <w:jc w:val="center"/>
              <w:rPr>
                <w:rFonts w:ascii="Times New Roman" w:eastAsia="Times New Roman" w:hAnsi="Times New Roman" w:cs="Times New Roman"/>
                <w:b/>
                <w:bCs/>
                <w:color w:val="000000"/>
                <w:sz w:val="20"/>
                <w:szCs w:val="20"/>
                <w:lang w:eastAsia="ru-RU"/>
              </w:rPr>
            </w:pPr>
          </w:p>
        </w:tc>
        <w:tc>
          <w:tcPr>
            <w:tcW w:w="850" w:type="dxa"/>
            <w:vMerge/>
            <w:vAlign w:val="center"/>
          </w:tcPr>
          <w:p w:rsidR="00D602D4" w:rsidRDefault="00D602D4">
            <w:pPr>
              <w:widowControl w:val="0"/>
              <w:tabs>
                <w:tab w:val="left" w:pos="40"/>
              </w:tabs>
              <w:spacing w:after="5" w:line="252" w:lineRule="auto"/>
              <w:ind w:left="426" w:right="-143" w:hanging="426"/>
              <w:jc w:val="both"/>
              <w:rPr>
                <w:rFonts w:ascii="Times New Roman" w:eastAsia="Times New Roman" w:hAnsi="Times New Roman" w:cs="Times New Roman"/>
                <w:b/>
                <w:bCs/>
                <w:color w:val="000000"/>
                <w:sz w:val="20"/>
                <w:szCs w:val="20"/>
                <w:lang w:eastAsia="ru-RU"/>
              </w:rPr>
            </w:pPr>
          </w:p>
        </w:tc>
        <w:tc>
          <w:tcPr>
            <w:tcW w:w="979" w:type="dxa"/>
            <w:shd w:val="clear" w:color="FFFFFF" w:fill="FFFFFF"/>
            <w:vAlign w:val="center"/>
          </w:tcPr>
          <w:p w:rsidR="00D602D4" w:rsidRDefault="000B4C86">
            <w:pPr>
              <w:widowControl w:val="0"/>
              <w:spacing w:after="5" w:line="252" w:lineRule="auto"/>
              <w:ind w:left="-96" w:right="-122"/>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2022 год</w:t>
            </w:r>
          </w:p>
        </w:tc>
        <w:tc>
          <w:tcPr>
            <w:tcW w:w="1008" w:type="dxa"/>
            <w:vAlign w:val="center"/>
          </w:tcPr>
          <w:p w:rsidR="00D602D4" w:rsidRDefault="000B4C86">
            <w:pPr>
              <w:widowControl w:val="0"/>
              <w:spacing w:after="5" w:line="252" w:lineRule="auto"/>
              <w:ind w:left="-113" w:right="-138"/>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год</w:t>
            </w:r>
          </w:p>
        </w:tc>
        <w:tc>
          <w:tcPr>
            <w:tcW w:w="1007" w:type="dxa"/>
            <w:vAlign w:val="center"/>
          </w:tcPr>
          <w:p w:rsidR="00D602D4" w:rsidRDefault="000B4C86">
            <w:pPr>
              <w:widowControl w:val="0"/>
              <w:spacing w:after="5" w:line="252" w:lineRule="auto"/>
              <w:ind w:left="-100"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 год</w:t>
            </w:r>
          </w:p>
        </w:tc>
        <w:tc>
          <w:tcPr>
            <w:tcW w:w="1346" w:type="dxa"/>
            <w:vAlign w:val="center"/>
          </w:tcPr>
          <w:p w:rsidR="00D602D4" w:rsidRDefault="000B4C86">
            <w:pPr>
              <w:widowControl w:val="0"/>
              <w:spacing w:after="5" w:line="252" w:lineRule="auto"/>
              <w:ind w:left="-107" w:right="-143"/>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изменение 2024/2023, %</w:t>
            </w:r>
          </w:p>
        </w:tc>
      </w:tr>
      <w:tr w:rsidR="00D602D4">
        <w:trPr>
          <w:cantSplit/>
          <w:trHeight w:val="227"/>
          <w:jc w:val="center"/>
        </w:trPr>
        <w:tc>
          <w:tcPr>
            <w:tcW w:w="4344"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850" w:type="dxa"/>
            <w:vAlign w:val="center"/>
          </w:tcPr>
          <w:p w:rsidR="00D602D4" w:rsidRDefault="000B4C86">
            <w:pPr>
              <w:widowControl w:val="0"/>
              <w:tabs>
                <w:tab w:val="left" w:pos="40"/>
              </w:tabs>
              <w:spacing w:after="5" w:line="252" w:lineRule="auto"/>
              <w:ind w:left="-112"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979" w:type="dxa"/>
            <w:shd w:val="clear" w:color="FFFFFF" w:fill="FFFFFF"/>
            <w:vAlign w:val="center"/>
          </w:tcPr>
          <w:p w:rsidR="00D602D4" w:rsidRDefault="000B4C86">
            <w:pPr>
              <w:widowControl w:val="0"/>
              <w:spacing w:after="5" w:line="252" w:lineRule="auto"/>
              <w:ind w:left="-110"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1008" w:type="dxa"/>
            <w:vAlign w:val="center"/>
          </w:tcPr>
          <w:p w:rsidR="00D602D4" w:rsidRDefault="000B4C86">
            <w:pPr>
              <w:widowControl w:val="0"/>
              <w:spacing w:after="5" w:line="252"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c>
          <w:tcPr>
            <w:tcW w:w="1007" w:type="dxa"/>
            <w:vAlign w:val="center"/>
          </w:tcPr>
          <w:p w:rsidR="00D602D4" w:rsidRDefault="00D602D4">
            <w:pPr>
              <w:widowControl w:val="0"/>
              <w:spacing w:after="5" w:line="252" w:lineRule="auto"/>
              <w:ind w:left="-108" w:right="-143"/>
              <w:jc w:val="center"/>
              <w:rPr>
                <w:rFonts w:ascii="Times New Roman" w:eastAsia="Times New Roman" w:hAnsi="Times New Roman" w:cs="Times New Roman"/>
                <w:bCs/>
                <w:color w:val="000000"/>
                <w:sz w:val="20"/>
                <w:szCs w:val="20"/>
                <w:lang w:eastAsia="ru-RU"/>
              </w:rPr>
            </w:pPr>
          </w:p>
        </w:tc>
        <w:tc>
          <w:tcPr>
            <w:tcW w:w="1346" w:type="dxa"/>
            <w:vAlign w:val="center"/>
          </w:tcPr>
          <w:p w:rsidR="00D602D4" w:rsidRDefault="000B4C86">
            <w:pPr>
              <w:widowControl w:val="0"/>
              <w:spacing w:after="5" w:line="252" w:lineRule="auto"/>
              <w:ind w:left="-105" w:right="-143" w:hanging="4"/>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w:t>
            </w:r>
          </w:p>
        </w:tc>
      </w:tr>
      <w:tr w:rsidR="00D602D4">
        <w:trPr>
          <w:cantSplit/>
          <w:trHeight w:val="227"/>
          <w:jc w:val="center"/>
        </w:trPr>
        <w:tc>
          <w:tcPr>
            <w:tcW w:w="4344" w:type="dxa"/>
            <w:vAlign w:val="center"/>
          </w:tcPr>
          <w:p w:rsidR="00D602D4" w:rsidRDefault="000B4C86">
            <w:pPr>
              <w:widowControl w:val="0"/>
              <w:spacing w:after="5" w:line="252"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Валовый выброс загрязняющих веществ в атмосферный воздух, всего</w:t>
            </w:r>
          </w:p>
        </w:tc>
        <w:tc>
          <w:tcPr>
            <w:tcW w:w="850" w:type="dxa"/>
            <w:vAlign w:val="center"/>
          </w:tcPr>
          <w:p w:rsidR="00D602D4" w:rsidRDefault="000B4C86">
            <w:pPr>
              <w:widowControl w:val="0"/>
              <w:spacing w:after="5" w:line="252" w:lineRule="auto"/>
              <w:ind w:left="-107" w:right="-143" w:firstLine="107"/>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тонн</w:t>
            </w:r>
          </w:p>
        </w:tc>
        <w:tc>
          <w:tcPr>
            <w:tcW w:w="979" w:type="dxa"/>
            <w:vAlign w:val="center"/>
          </w:tcPr>
          <w:p w:rsidR="00D602D4" w:rsidRDefault="000B4C86">
            <w:pPr>
              <w:widowControl w:val="0"/>
              <w:spacing w:after="5" w:line="252" w:lineRule="auto"/>
              <w:ind w:right="-143"/>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color w:val="000000"/>
                <w:sz w:val="20"/>
                <w:szCs w:val="20"/>
                <w:lang w:eastAsia="ru-RU"/>
              </w:rPr>
              <w:t>127,25</w:t>
            </w:r>
          </w:p>
        </w:tc>
        <w:tc>
          <w:tcPr>
            <w:tcW w:w="1008"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139,59</w:t>
            </w:r>
          </w:p>
        </w:tc>
        <w:tc>
          <w:tcPr>
            <w:tcW w:w="1007"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138,99</w:t>
            </w:r>
          </w:p>
        </w:tc>
        <w:tc>
          <w:tcPr>
            <w:tcW w:w="1346"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-0,43</w:t>
            </w:r>
          </w:p>
        </w:tc>
      </w:tr>
      <w:tr w:rsidR="00D602D4">
        <w:trPr>
          <w:cantSplit/>
          <w:trHeight w:val="227"/>
          <w:jc w:val="center"/>
        </w:trPr>
        <w:tc>
          <w:tcPr>
            <w:tcW w:w="4344" w:type="dxa"/>
            <w:vAlign w:val="center"/>
          </w:tcPr>
          <w:p w:rsidR="00D602D4" w:rsidRDefault="000B4C86">
            <w:pPr>
              <w:widowControl w:val="0"/>
              <w:spacing w:after="5" w:line="252"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Объем потребления воды</w:t>
            </w:r>
          </w:p>
        </w:tc>
        <w:tc>
          <w:tcPr>
            <w:tcW w:w="850" w:type="dxa"/>
            <w:vAlign w:val="center"/>
          </w:tcPr>
          <w:p w:rsidR="00D602D4" w:rsidRDefault="000B4C86">
            <w:pPr>
              <w:widowControl w:val="0"/>
              <w:spacing w:after="5" w:line="252" w:lineRule="auto"/>
              <w:ind w:left="-107" w:right="-143" w:firstLine="107"/>
              <w:rPr>
                <w:rFonts w:ascii="Times New Roman" w:eastAsia="Times New Roman" w:hAnsi="Times New Roman" w:cs="Times New Roman"/>
                <w:color w:val="000000"/>
                <w:sz w:val="20"/>
                <w:szCs w:val="20"/>
                <w:vertAlign w:val="superscript"/>
                <w:lang w:eastAsia="ru-RU"/>
              </w:rPr>
            </w:pPr>
            <w:r>
              <w:rPr>
                <w:rFonts w:ascii="Times New Roman" w:eastAsia="Times New Roman" w:hAnsi="Times New Roman" w:cs="Times New Roman"/>
                <w:color w:val="000000"/>
                <w:sz w:val="20"/>
                <w:szCs w:val="20"/>
                <w:lang w:eastAsia="ru-RU"/>
              </w:rPr>
              <w:t>м3</w:t>
            </w:r>
          </w:p>
        </w:tc>
        <w:tc>
          <w:tcPr>
            <w:tcW w:w="979"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153,24</w:t>
            </w:r>
          </w:p>
        </w:tc>
        <w:tc>
          <w:tcPr>
            <w:tcW w:w="1008"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121.44</w:t>
            </w:r>
          </w:p>
        </w:tc>
        <w:tc>
          <w:tcPr>
            <w:tcW w:w="1007"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128,57</w:t>
            </w:r>
          </w:p>
        </w:tc>
        <w:tc>
          <w:tcPr>
            <w:tcW w:w="1346"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+5,87</w:t>
            </w:r>
          </w:p>
        </w:tc>
      </w:tr>
      <w:tr w:rsidR="00D602D4">
        <w:trPr>
          <w:cantSplit/>
          <w:trHeight w:val="227"/>
          <w:jc w:val="center"/>
        </w:trPr>
        <w:tc>
          <w:tcPr>
            <w:tcW w:w="4344" w:type="dxa"/>
            <w:vAlign w:val="center"/>
          </w:tcPr>
          <w:p w:rsidR="00D602D4" w:rsidRDefault="000B4C86">
            <w:pPr>
              <w:widowControl w:val="0"/>
              <w:spacing w:after="5" w:line="252"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Объем образованных отходов</w:t>
            </w:r>
          </w:p>
        </w:tc>
        <w:tc>
          <w:tcPr>
            <w:tcW w:w="850" w:type="dxa"/>
            <w:vAlign w:val="center"/>
          </w:tcPr>
          <w:p w:rsidR="00D602D4" w:rsidRDefault="000B4C86">
            <w:pPr>
              <w:widowControl w:val="0"/>
              <w:spacing w:after="5" w:line="252" w:lineRule="auto"/>
              <w:ind w:left="-107" w:right="-143" w:firstLine="107"/>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тонн</w:t>
            </w:r>
          </w:p>
        </w:tc>
        <w:tc>
          <w:tcPr>
            <w:tcW w:w="979"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6856,06</w:t>
            </w:r>
          </w:p>
        </w:tc>
        <w:tc>
          <w:tcPr>
            <w:tcW w:w="1008"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6223,25</w:t>
            </w:r>
          </w:p>
        </w:tc>
        <w:tc>
          <w:tcPr>
            <w:tcW w:w="1007"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6106,16</w:t>
            </w:r>
          </w:p>
        </w:tc>
        <w:tc>
          <w:tcPr>
            <w:tcW w:w="1346"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-1,89</w:t>
            </w:r>
          </w:p>
        </w:tc>
      </w:tr>
      <w:tr w:rsidR="00D602D4">
        <w:trPr>
          <w:cantSplit/>
          <w:trHeight w:val="227"/>
          <w:jc w:val="center"/>
        </w:trPr>
        <w:tc>
          <w:tcPr>
            <w:tcW w:w="4344" w:type="dxa"/>
            <w:vAlign w:val="center"/>
          </w:tcPr>
          <w:p w:rsidR="00D602D4" w:rsidRDefault="000B4C86">
            <w:pPr>
              <w:widowControl w:val="0"/>
              <w:spacing w:after="5" w:line="252"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Объем отходов, переданных на обработку, утилизацию и обезвреживание</w:t>
            </w:r>
          </w:p>
        </w:tc>
        <w:tc>
          <w:tcPr>
            <w:tcW w:w="850" w:type="dxa"/>
            <w:vAlign w:val="center"/>
          </w:tcPr>
          <w:p w:rsidR="00D602D4" w:rsidRDefault="000B4C86">
            <w:pPr>
              <w:widowControl w:val="0"/>
              <w:spacing w:after="5" w:line="252" w:lineRule="auto"/>
              <w:ind w:left="-107" w:right="-143" w:firstLine="107"/>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тонн</w:t>
            </w:r>
          </w:p>
        </w:tc>
        <w:tc>
          <w:tcPr>
            <w:tcW w:w="979" w:type="dxa"/>
            <w:vAlign w:val="center"/>
          </w:tcPr>
          <w:p w:rsidR="00D602D4" w:rsidRDefault="000B4C86">
            <w:pPr>
              <w:widowControl w:val="0"/>
              <w:spacing w:after="5" w:line="252" w:lineRule="auto"/>
              <w:ind w:right="-143"/>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color w:val="000000"/>
                <w:sz w:val="20"/>
                <w:szCs w:val="20"/>
                <w:lang w:eastAsia="ru-RU"/>
              </w:rPr>
              <w:t>1659,36</w:t>
            </w:r>
          </w:p>
        </w:tc>
        <w:tc>
          <w:tcPr>
            <w:tcW w:w="1008"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1833,33</w:t>
            </w:r>
          </w:p>
        </w:tc>
        <w:tc>
          <w:tcPr>
            <w:tcW w:w="1007"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lang w:eastAsia="ru-RU"/>
              </w:rPr>
              <w:t>1500,05</w:t>
            </w:r>
          </w:p>
        </w:tc>
        <w:tc>
          <w:tcPr>
            <w:tcW w:w="1346"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-18,18</w:t>
            </w:r>
          </w:p>
        </w:tc>
      </w:tr>
      <w:tr w:rsidR="00D602D4">
        <w:trPr>
          <w:cantSplit/>
          <w:trHeight w:val="413"/>
          <w:jc w:val="center"/>
        </w:trPr>
        <w:tc>
          <w:tcPr>
            <w:tcW w:w="4344" w:type="dxa"/>
            <w:vAlign w:val="center"/>
          </w:tcPr>
          <w:p w:rsidR="00D602D4" w:rsidRDefault="000B4C86">
            <w:pPr>
              <w:widowControl w:val="0"/>
              <w:spacing w:after="5" w:line="252"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Плата за негативное воздействие на окружающую среду</w:t>
            </w:r>
          </w:p>
        </w:tc>
        <w:tc>
          <w:tcPr>
            <w:tcW w:w="850" w:type="dxa"/>
            <w:vAlign w:val="center"/>
          </w:tcPr>
          <w:p w:rsidR="00D602D4" w:rsidRDefault="000B4C86">
            <w:pPr>
              <w:widowControl w:val="0"/>
              <w:spacing w:after="5" w:line="252" w:lineRule="auto"/>
              <w:ind w:left="-107" w:right="-143" w:firstLine="107"/>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тыс.руб.</w:t>
            </w:r>
          </w:p>
        </w:tc>
        <w:tc>
          <w:tcPr>
            <w:tcW w:w="979"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color w:val="000000"/>
                <w:sz w:val="20"/>
                <w:szCs w:val="20"/>
                <w:lang w:eastAsia="ru-RU"/>
              </w:rPr>
              <w:t>456,83</w:t>
            </w:r>
          </w:p>
        </w:tc>
        <w:tc>
          <w:tcPr>
            <w:tcW w:w="1008"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352,70</w:t>
            </w:r>
          </w:p>
        </w:tc>
        <w:tc>
          <w:tcPr>
            <w:tcW w:w="1007"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362,51</w:t>
            </w:r>
          </w:p>
        </w:tc>
        <w:tc>
          <w:tcPr>
            <w:tcW w:w="1346"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+2,78</w:t>
            </w:r>
          </w:p>
        </w:tc>
      </w:tr>
      <w:tr w:rsidR="00D602D4">
        <w:trPr>
          <w:trHeight w:val="413"/>
          <w:jc w:val="center"/>
        </w:trPr>
        <w:tc>
          <w:tcPr>
            <w:tcW w:w="4344" w:type="dxa"/>
            <w:vMerge w:val="restart"/>
            <w:vAlign w:val="center"/>
          </w:tcPr>
          <w:p w:rsidR="00D602D4" w:rsidRDefault="000B4C86">
            <w:pPr>
              <w:widowControl w:val="0"/>
              <w:spacing w:after="5" w:line="252"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Сброс загрязняющих веществ в водный объект</w:t>
            </w:r>
          </w:p>
        </w:tc>
        <w:tc>
          <w:tcPr>
            <w:tcW w:w="850" w:type="dxa"/>
            <w:vMerge w:val="restart"/>
            <w:vAlign w:val="center"/>
          </w:tcPr>
          <w:p w:rsidR="00D602D4" w:rsidRDefault="000B4C86">
            <w:pPr>
              <w:widowControl w:val="0"/>
              <w:spacing w:after="5" w:line="252" w:lineRule="auto"/>
              <w:ind w:left="-107" w:right="-143" w:firstLine="107"/>
              <w:rPr>
                <w:rFonts w:ascii="Times New Roman" w:eastAsia="Times New Roman" w:hAnsi="Times New Roman" w:cs="Times New Roman"/>
                <w:color w:val="000000"/>
                <w:sz w:val="20"/>
                <w:szCs w:val="20"/>
                <w:vertAlign w:val="superscript"/>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3</w:t>
            </w:r>
          </w:p>
        </w:tc>
        <w:tc>
          <w:tcPr>
            <w:tcW w:w="979" w:type="dxa"/>
            <w:vMerge w:val="restart"/>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1008" w:type="dxa"/>
            <w:vMerge w:val="restart"/>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1007" w:type="dxa"/>
            <w:vMerge w:val="restart"/>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346" w:type="dxa"/>
            <w:vMerge w:val="restart"/>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D602D4">
        <w:trPr>
          <w:cantSplit/>
          <w:trHeight w:val="227"/>
          <w:jc w:val="center"/>
        </w:trPr>
        <w:tc>
          <w:tcPr>
            <w:tcW w:w="4344" w:type="dxa"/>
            <w:vAlign w:val="center"/>
          </w:tcPr>
          <w:p w:rsidR="00D602D4" w:rsidRDefault="000B4C86">
            <w:pPr>
              <w:widowControl w:val="0"/>
              <w:spacing w:after="5" w:line="252"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Оснащение электросетевых объектов птицезащитными устройствами</w:t>
            </w:r>
          </w:p>
        </w:tc>
        <w:tc>
          <w:tcPr>
            <w:tcW w:w="850" w:type="dxa"/>
            <w:vAlign w:val="center"/>
          </w:tcPr>
          <w:p w:rsidR="00D602D4" w:rsidRDefault="000B4C86">
            <w:pPr>
              <w:widowControl w:val="0"/>
              <w:spacing w:after="5" w:line="252" w:lineRule="auto"/>
              <w:ind w:left="-107" w:right="-143" w:firstLine="107"/>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шт.</w:t>
            </w:r>
          </w:p>
        </w:tc>
        <w:tc>
          <w:tcPr>
            <w:tcW w:w="979" w:type="dxa"/>
            <w:vAlign w:val="center"/>
          </w:tcPr>
          <w:p w:rsidR="00D602D4" w:rsidRDefault="000B4C86">
            <w:pPr>
              <w:widowControl w:val="0"/>
              <w:spacing w:after="5" w:line="252" w:lineRule="auto"/>
              <w:ind w:right="-143"/>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color w:val="000000"/>
                <w:sz w:val="20"/>
                <w:szCs w:val="20"/>
                <w:lang w:eastAsia="ru-RU"/>
              </w:rPr>
              <w:t>14057</w:t>
            </w:r>
          </w:p>
        </w:tc>
        <w:tc>
          <w:tcPr>
            <w:tcW w:w="1008"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11222</w:t>
            </w:r>
          </w:p>
        </w:tc>
        <w:tc>
          <w:tcPr>
            <w:tcW w:w="1007"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8718</w:t>
            </w:r>
          </w:p>
        </w:tc>
        <w:tc>
          <w:tcPr>
            <w:tcW w:w="1346"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-22,32</w:t>
            </w:r>
          </w:p>
        </w:tc>
      </w:tr>
    </w:tbl>
    <w:p w:rsidR="00D602D4" w:rsidRDefault="00D602D4">
      <w:pPr>
        <w:spacing w:after="0" w:line="240" w:lineRule="auto"/>
      </w:pPr>
    </w:p>
    <w:p w:rsidR="00D602D4" w:rsidRDefault="000B4C86">
      <w:pPr>
        <w:pStyle w:val="1565656"/>
        <w:spacing w:before="0"/>
        <w:rPr>
          <w:color w:val="000000" w:themeColor="text1"/>
          <w:sz w:val="24"/>
          <w:szCs w:val="24"/>
        </w:rPr>
      </w:pPr>
      <w:bookmarkStart w:id="72" w:name="_Toc105"/>
      <w:r>
        <w:rPr>
          <w:color w:val="000000" w:themeColor="text1"/>
          <w:sz w:val="24"/>
          <w:szCs w:val="24"/>
        </w:rPr>
        <w:t>Энергопотребление и энергосбережение</w:t>
      </w:r>
      <w:bookmarkEnd w:id="72"/>
    </w:p>
    <w:p w:rsidR="00D602D4" w:rsidRDefault="00D602D4">
      <w:pPr>
        <w:tabs>
          <w:tab w:val="left" w:pos="9356"/>
        </w:tabs>
        <w:spacing w:after="0" w:line="240" w:lineRule="auto"/>
        <w:ind w:left="-426" w:firstLine="284"/>
        <w:contextualSpacing/>
        <w:jc w:val="both"/>
        <w:rPr>
          <w:rFonts w:ascii="Times New Roman" w:eastAsia="Times New Roman" w:hAnsi="Times New Roman" w:cs="Times New Roman"/>
          <w:sz w:val="24"/>
          <w:szCs w:val="24"/>
          <w:lang w:eastAsia="ru-RU"/>
        </w:rPr>
      </w:pPr>
    </w:p>
    <w:p w:rsidR="00D602D4" w:rsidRDefault="000B4C86">
      <w:pPr>
        <w:tabs>
          <w:tab w:val="left" w:pos="9356"/>
        </w:tabs>
        <w:spacing w:after="0" w:line="240" w:lineRule="auto"/>
        <w:ind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Деятельность в области энергосбережения и повышения энергетической эффективности ПАО «Россети Сибирь» в 2024 году организована в соответствии с Федеральным законом №261-ФЗ «Об энергосбережении и о повышении энергетической эффективности и о внесении изменений в отдельные законодательные акты Российской Федерации», постановлением Правительства </w:t>
      </w:r>
      <w:r>
        <w:rPr>
          <w:rFonts w:ascii="Times New Roman" w:eastAsia="Times New Roman" w:hAnsi="Times New Roman" w:cs="Times New Roman"/>
          <w:sz w:val="24"/>
          <w:szCs w:val="24"/>
        </w:rPr>
        <w:t>Российской Федерации</w:t>
      </w:r>
      <w:r>
        <w:rPr>
          <w:rFonts w:ascii="Times New Roman" w:eastAsia="Times New Roman" w:hAnsi="Times New Roman" w:cs="Times New Roman"/>
          <w:sz w:val="24"/>
          <w:szCs w:val="24"/>
          <w:lang w:eastAsia="ru-RU"/>
        </w:rPr>
        <w:t xml:space="preserve"> от 15.05.2010 №340 «О порядке установления требований к программам в области энергосбережения и повышения энергетической эффективности организаций, осуществляющих регулируемые виды деятельности, приказом Министерства энергетики </w:t>
      </w:r>
      <w:r>
        <w:rPr>
          <w:rFonts w:ascii="Times New Roman" w:eastAsia="Times New Roman" w:hAnsi="Times New Roman" w:cs="Times New Roman"/>
          <w:sz w:val="24"/>
          <w:szCs w:val="24"/>
        </w:rPr>
        <w:t>Российской Федерации</w:t>
      </w:r>
      <w:r>
        <w:rPr>
          <w:rFonts w:ascii="Times New Roman" w:eastAsia="Times New Roman" w:hAnsi="Times New Roman" w:cs="Times New Roman"/>
          <w:sz w:val="24"/>
          <w:szCs w:val="24"/>
          <w:lang w:eastAsia="ru-RU"/>
        </w:rPr>
        <w:t xml:space="preserve"> от 30.06.2014 №398 «Об утверждении требований к форме программ в области энергосбережения и повышения энергетической эффективности организаций с участием государства и муниципального образования, организаций, осуществляющих регулируемые виды деятельности, и отчётности о ходе их реализации», распорядительными документами органов исполнительной власти субъектов </w:t>
      </w:r>
      <w:r>
        <w:rPr>
          <w:rFonts w:ascii="Times New Roman" w:eastAsia="Times New Roman" w:hAnsi="Times New Roman" w:cs="Times New Roman"/>
          <w:sz w:val="24"/>
          <w:szCs w:val="24"/>
        </w:rPr>
        <w:t>Российской Федерации</w:t>
      </w:r>
      <w:r>
        <w:rPr>
          <w:rFonts w:ascii="Times New Roman" w:eastAsia="Times New Roman" w:hAnsi="Times New Roman" w:cs="Times New Roman"/>
          <w:sz w:val="24"/>
          <w:szCs w:val="24"/>
          <w:lang w:eastAsia="ru-RU"/>
        </w:rPr>
        <w:t xml:space="preserve"> в области государственного регулирования тарифов в отношении организаций осуществляющих деятельность по передаче электрической энергии, а так же в соответствии с Программой энергосбережения и повышения энергетической эффективности ПАО «Россети Сибирь» на период 2023 – 2027 годы, (далее – ПЭСБ).</w:t>
      </w:r>
    </w:p>
    <w:p w:rsidR="00D602D4" w:rsidRDefault="000B4C86">
      <w:pPr>
        <w:tabs>
          <w:tab w:val="left" w:pos="9356"/>
        </w:tabs>
        <w:spacing w:after="0" w:line="240" w:lineRule="auto"/>
        <w:ind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 итогам 2024 года обеспечено снижение показателей по энергопотреблению и энергосбережению по отношению к 2023 году. </w:t>
      </w:r>
    </w:p>
    <w:p w:rsidR="00D602D4" w:rsidRDefault="000B4C86">
      <w:pPr>
        <w:tabs>
          <w:tab w:val="left" w:pos="9356"/>
        </w:tabs>
        <w:spacing w:after="0" w:line="240" w:lineRule="auto"/>
        <w:ind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Объем энергетических ресурсов, использованных в 2024 году, по видам ресурсов, представлен в приложении 6.</w:t>
      </w:r>
    </w:p>
    <w:p w:rsidR="00D602D4" w:rsidRDefault="00D602D4">
      <w:pPr>
        <w:spacing w:after="0" w:line="240" w:lineRule="auto"/>
        <w:ind w:firstLine="709"/>
        <w:jc w:val="both"/>
        <w:rPr>
          <w:rFonts w:ascii="Times New Roman" w:hAnsi="Times New Roman" w:cs="Times New Roman"/>
          <w:b/>
          <w:sz w:val="24"/>
          <w:szCs w:val="24"/>
        </w:rPr>
      </w:pP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Функционирование системы энергетического менеджмента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Для обеспечения совершенствования управления энергосбережением и повышением энергетической эффективности в ПАО «Россети Сибирь» в 2014 году внедрена и сертифицирована система энергетического менеджмента по национальному стандарту ГОСТ Р </w:t>
      </w:r>
      <w:r>
        <w:rPr>
          <w:rFonts w:ascii="Times New Roman" w:hAnsi="Times New Roman" w:cs="Times New Roman"/>
          <w:sz w:val="24"/>
          <w:szCs w:val="24"/>
        </w:rPr>
        <w:lastRenderedPageBreak/>
        <w:t>ИСО 50001:2012, в 2019 году сертифицирована по международному стандарту ISO 50001:2018, в 2022 году ресертифицирована.</w:t>
      </w:r>
    </w:p>
    <w:p w:rsidR="00D602D4" w:rsidRDefault="000B4C86">
      <w:pPr>
        <w:spacing w:after="0" w:line="240" w:lineRule="auto"/>
        <w:ind w:firstLine="709"/>
        <w:jc w:val="both"/>
        <w:rPr>
          <w:rFonts w:ascii="Times New Roman" w:hAnsi="Times New Roman" w:cs="Times New Roman"/>
          <w:sz w:val="24"/>
        </w:rPr>
      </w:pPr>
      <w:r>
        <w:rPr>
          <w:rFonts w:ascii="Times New Roman" w:eastAsia="Times New Roman" w:hAnsi="Times New Roman" w:cs="Times New Roman"/>
          <w:sz w:val="24"/>
          <w:szCs w:val="24"/>
          <w:lang w:eastAsia="ru-RU"/>
        </w:rPr>
        <w:t>В ПЭСБ,</w:t>
      </w:r>
      <w:r>
        <w:rPr>
          <w:rFonts w:ascii="Times New Roman" w:hAnsi="Times New Roman" w:cs="Times New Roman"/>
          <w:sz w:val="24"/>
          <w:szCs w:val="24"/>
        </w:rPr>
        <w:t xml:space="preserve"> на основе показателей</w:t>
      </w:r>
      <w:r>
        <w:rPr>
          <w:rFonts w:ascii="Times New Roman" w:eastAsia="Times New Roman" w:hAnsi="Times New Roman" w:cs="Times New Roman"/>
          <w:sz w:val="24"/>
          <w:szCs w:val="24"/>
          <w:lang w:eastAsia="ru-RU"/>
        </w:rPr>
        <w:t xml:space="preserve"> энергетических характеристик </w:t>
      </w:r>
      <w:r>
        <w:rPr>
          <w:rFonts w:ascii="Times New Roman" w:hAnsi="Times New Roman" w:cs="Times New Roman"/>
          <w:sz w:val="24"/>
          <w:szCs w:val="24"/>
        </w:rPr>
        <w:t xml:space="preserve">системы энергетического менеджмента, установлены </w:t>
      </w:r>
      <w:r>
        <w:rPr>
          <w:rFonts w:ascii="Times New Roman" w:eastAsia="Times New Roman" w:hAnsi="Times New Roman" w:cs="Times New Roman"/>
          <w:sz w:val="24"/>
          <w:szCs w:val="24"/>
          <w:lang w:eastAsia="ru-RU"/>
        </w:rPr>
        <w:t xml:space="preserve">энергетические задачи Общества, направленные на рациональное использование </w:t>
      </w:r>
      <w:r>
        <w:rPr>
          <w:rFonts w:ascii="Times New Roman" w:hAnsi="Times New Roman" w:cs="Times New Roman"/>
          <w:sz w:val="24"/>
        </w:rPr>
        <w:t>топливно-энергетических ресурсов при осуществлении производственной деятельности.</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целях обеспечения реализации </w:t>
      </w:r>
      <w:r>
        <w:rPr>
          <w:rFonts w:ascii="Times New Roman" w:eastAsia="Times New Roman" w:hAnsi="Times New Roman" w:cs="Times New Roman"/>
          <w:sz w:val="24"/>
          <w:szCs w:val="24"/>
          <w:lang w:eastAsia="ru-RU"/>
        </w:rPr>
        <w:t>ПЭСБ</w:t>
      </w:r>
      <w:r>
        <w:rPr>
          <w:rFonts w:ascii="Times New Roman" w:hAnsi="Times New Roman" w:cs="Times New Roman"/>
          <w:sz w:val="24"/>
          <w:szCs w:val="24"/>
        </w:rPr>
        <w:t xml:space="preserve"> в исполнительном аппарате и филиалах ПАО «Россети Сибирь» назначены ответственные руководители, обеспечивающие контроль исполнения мероприятий </w:t>
      </w:r>
      <w:r>
        <w:rPr>
          <w:rFonts w:ascii="Times New Roman" w:eastAsia="Times New Roman" w:hAnsi="Times New Roman" w:cs="Times New Roman"/>
          <w:sz w:val="24"/>
          <w:szCs w:val="24"/>
          <w:lang w:eastAsia="ru-RU"/>
        </w:rPr>
        <w:t>ПЭСБ</w:t>
      </w:r>
      <w:r>
        <w:rPr>
          <w:rFonts w:ascii="Times New Roman" w:hAnsi="Times New Roman" w:cs="Times New Roman"/>
          <w:sz w:val="24"/>
          <w:szCs w:val="24"/>
        </w:rPr>
        <w:t xml:space="preserve">, в филиалах Общества созданы рабочие группы, осуществляющие анализ их выполнения </w:t>
      </w:r>
      <w:r>
        <w:rPr>
          <w:rFonts w:ascii="Times New Roman" w:eastAsia="Times New Roman" w:hAnsi="Times New Roman" w:cs="Times New Roman"/>
          <w:sz w:val="24"/>
          <w:szCs w:val="24"/>
        </w:rPr>
        <w:t>(</w:t>
      </w:r>
      <w:r>
        <w:rPr>
          <w:rFonts w:ascii="Times New Roman" w:eastAsia="Times New Roman" w:hAnsi="Times New Roman" w:cs="Times New Roman"/>
          <w:sz w:val="24"/>
          <w:szCs w:val="24"/>
          <w:highlight w:val="white"/>
        </w:rPr>
        <w:t>приказы ПАО «Россети Сибирь» от 16.01.2024 № 8, от 27.09.2024 № 261</w:t>
      </w:r>
      <w:r>
        <w:rPr>
          <w:rFonts w:ascii="Times New Roman" w:eastAsia="Times New Roman" w:hAnsi="Times New Roman" w:cs="Times New Roman"/>
          <w:sz w:val="24"/>
          <w:szCs w:val="24"/>
        </w:rPr>
        <w:t>).</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Система </w:t>
      </w:r>
      <w:r>
        <w:rPr>
          <w:rFonts w:ascii="Times New Roman" w:eastAsia="Times New Roman" w:hAnsi="Times New Roman" w:cs="Times New Roman"/>
          <w:sz w:val="24"/>
          <w:szCs w:val="24"/>
          <w:lang w:eastAsia="ru-RU"/>
        </w:rPr>
        <w:t xml:space="preserve">энергетического </w:t>
      </w:r>
      <w:r>
        <w:rPr>
          <w:rFonts w:ascii="Times New Roman" w:hAnsi="Times New Roman" w:cs="Times New Roman"/>
          <w:sz w:val="24"/>
          <w:szCs w:val="24"/>
        </w:rPr>
        <w:t>менеджмента Общества (далее – СЭнМ) базируется на следующих нормативных документах:</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Политика ПАО «Россети» в области энергосбережения и повышения энергетической эффективности;</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Заявление Генерального директора о политике и целях в области </w:t>
      </w:r>
      <w:r>
        <w:rPr>
          <w:rFonts w:ascii="Times New Roman" w:eastAsia="Times New Roman" w:hAnsi="Times New Roman" w:cs="Times New Roman"/>
          <w:sz w:val="24"/>
          <w:szCs w:val="24"/>
          <w:lang w:eastAsia="ru-RU"/>
        </w:rPr>
        <w:t xml:space="preserve">энергетического </w:t>
      </w:r>
      <w:r>
        <w:rPr>
          <w:rFonts w:ascii="Times New Roman" w:hAnsi="Times New Roman" w:cs="Times New Roman"/>
          <w:sz w:val="24"/>
          <w:szCs w:val="24"/>
        </w:rPr>
        <w:t>менеджмента;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СО 0.003/0 «Система энергетического менеджмента. Руководство»;</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СО 3.025БП/0 «Управление энерго</w:t>
      </w:r>
      <w:r>
        <w:rPr>
          <w:rFonts w:ascii="Times New Roman" w:eastAsia="Times New Roman" w:hAnsi="Times New Roman" w:cs="Times New Roman"/>
          <w:sz w:val="24"/>
          <w:szCs w:val="24"/>
          <w:lang w:eastAsia="ru-RU"/>
        </w:rPr>
        <w:t>сбережением и повышением энергоэффективности</w:t>
      </w:r>
      <w:r>
        <w:rPr>
          <w:rFonts w:ascii="Times New Roman" w:hAnsi="Times New Roman" w:cs="Times New Roman"/>
          <w:sz w:val="24"/>
          <w:szCs w:val="24"/>
        </w:rPr>
        <w:t>. Регламент бизнес-процесса»;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СО 5.141/0 «Энерго</w:t>
      </w:r>
      <w:r>
        <w:rPr>
          <w:rFonts w:ascii="Times New Roman" w:eastAsia="Times New Roman" w:hAnsi="Times New Roman" w:cs="Times New Roman"/>
          <w:sz w:val="24"/>
          <w:szCs w:val="24"/>
          <w:lang w:eastAsia="ru-RU"/>
        </w:rPr>
        <w:t>сбережение и повышение энергоэффективности</w:t>
      </w:r>
      <w:r>
        <w:rPr>
          <w:rFonts w:ascii="Times New Roman" w:hAnsi="Times New Roman" w:cs="Times New Roman"/>
          <w:sz w:val="24"/>
          <w:szCs w:val="24"/>
        </w:rPr>
        <w:t>. Положение»;</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szCs w:val="24"/>
        </w:rPr>
        <w:t>- СО 5.294/0 «Рабочая группа по энерго</w:t>
      </w:r>
      <w:r>
        <w:rPr>
          <w:rFonts w:ascii="Times New Roman" w:eastAsia="Times New Roman" w:hAnsi="Times New Roman" w:cs="Times New Roman"/>
          <w:sz w:val="24"/>
          <w:szCs w:val="24"/>
          <w:lang w:eastAsia="ru-RU"/>
        </w:rPr>
        <w:t>сбережению и повышению энергетической эффективности</w:t>
      </w:r>
      <w:r>
        <w:rPr>
          <w:rFonts w:ascii="Times New Roman" w:hAnsi="Times New Roman" w:cs="Times New Roman"/>
          <w:sz w:val="24"/>
          <w:szCs w:val="24"/>
        </w:rPr>
        <w:t>. Положение».</w:t>
      </w:r>
    </w:p>
    <w:p w:rsidR="00D602D4" w:rsidRDefault="000B4C86">
      <w:pPr>
        <w:spacing w:after="0" w:line="240" w:lineRule="auto"/>
        <w:ind w:firstLine="709"/>
        <w:jc w:val="both"/>
        <w:rPr>
          <w:rFonts w:ascii="Times New Roman" w:hAnsi="Times New Roman" w:cs="Times New Roman"/>
          <w:b/>
          <w:sz w:val="24"/>
        </w:rPr>
      </w:pPr>
      <w:r>
        <w:rPr>
          <w:rFonts w:ascii="Times New Roman" w:hAnsi="Times New Roman" w:cs="Times New Roman"/>
          <w:sz w:val="24"/>
        </w:rPr>
        <w:t xml:space="preserve"> </w:t>
      </w:r>
    </w:p>
    <w:p w:rsidR="00D602D4" w:rsidRDefault="000B4C86">
      <w:pPr>
        <w:spacing w:after="0" w:line="240" w:lineRule="auto"/>
        <w:ind w:firstLine="709"/>
        <w:jc w:val="both"/>
        <w:rPr>
          <w:rFonts w:ascii="Times New Roman" w:hAnsi="Times New Roman" w:cs="Times New Roman"/>
          <w:b/>
          <w:sz w:val="24"/>
        </w:rPr>
      </w:pPr>
      <w:r>
        <w:rPr>
          <w:rFonts w:ascii="Times New Roman" w:hAnsi="Times New Roman" w:cs="Times New Roman"/>
          <w:b/>
          <w:sz w:val="24"/>
        </w:rPr>
        <w:t>Оценка функционирования системы энергетического менеджмента</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Анализ функционирования </w:t>
      </w:r>
      <w:r>
        <w:rPr>
          <w:rFonts w:ascii="Times New Roman" w:hAnsi="Times New Roman" w:cs="Times New Roman"/>
          <w:sz w:val="24"/>
          <w:szCs w:val="24"/>
        </w:rPr>
        <w:t>СЭнМ</w:t>
      </w:r>
      <w:r>
        <w:rPr>
          <w:rFonts w:ascii="Times New Roman" w:hAnsi="Times New Roman" w:cs="Times New Roman"/>
          <w:sz w:val="24"/>
        </w:rPr>
        <w:t xml:space="preserve"> со стороны руководства проводится по итогам проведения проверок ИСМ. </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Улучшение показателей энергетических характеристик и решение </w:t>
      </w:r>
      <w:r>
        <w:rPr>
          <w:rFonts w:ascii="Times New Roman" w:eastAsia="Times New Roman" w:hAnsi="Times New Roman" w:cs="Times New Roman"/>
          <w:sz w:val="24"/>
          <w:szCs w:val="24"/>
          <w:lang w:eastAsia="ru-RU"/>
        </w:rPr>
        <w:t xml:space="preserve">энергетических задач </w:t>
      </w:r>
      <w:r>
        <w:rPr>
          <w:rFonts w:ascii="Times New Roman" w:hAnsi="Times New Roman" w:cs="Times New Roman"/>
          <w:sz w:val="24"/>
        </w:rPr>
        <w:t xml:space="preserve">в рамках ПЭСБ направлено на достижение целей </w:t>
      </w:r>
      <w:r>
        <w:rPr>
          <w:rFonts w:ascii="Times New Roman" w:hAnsi="Times New Roman" w:cs="Times New Roman"/>
          <w:sz w:val="24"/>
          <w:szCs w:val="24"/>
        </w:rPr>
        <w:t>Политики в области энергосбережения и повышения энергетической эффективности.</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Состав показателей энергетических характеристик СЭнМ соответствует целям и задачам ПАО «Россети Сибирь» </w:t>
      </w:r>
      <w:r>
        <w:rPr>
          <w:rFonts w:ascii="Times New Roman" w:hAnsi="Times New Roman" w:cs="Times New Roman"/>
          <w:sz w:val="24"/>
          <w:szCs w:val="24"/>
        </w:rPr>
        <w:t>в области энергосбережения и повышения энергетической эффективности</w:t>
      </w:r>
      <w:r>
        <w:rPr>
          <w:rFonts w:ascii="Times New Roman" w:hAnsi="Times New Roman" w:cs="Times New Roman"/>
          <w:sz w:val="24"/>
        </w:rPr>
        <w:t xml:space="preserve">.   </w:t>
      </w:r>
    </w:p>
    <w:p w:rsidR="00D602D4" w:rsidRDefault="000B4C86">
      <w:pPr>
        <w:spacing w:after="0" w:line="240" w:lineRule="auto"/>
        <w:ind w:firstLine="709"/>
        <w:jc w:val="both"/>
        <w:rPr>
          <w:rFonts w:ascii="Times New Roman" w:hAnsi="Times New Roman" w:cs="Times New Roman"/>
          <w:strike/>
          <w:sz w:val="24"/>
        </w:rPr>
      </w:pPr>
      <w:r>
        <w:rPr>
          <w:rFonts w:ascii="Times New Roman" w:hAnsi="Times New Roman" w:cs="Times New Roman"/>
          <w:sz w:val="24"/>
        </w:rPr>
        <w:t>В ПАО «Россети Сибирь» организован ежеквартальный мониторинг изменения законодательных и нормативных требований в области энергосбережения и повышения энергетической эффективности, которые актуализируются в реестре законодательных и нормативных требований, размещенном в АИС ИБЗ.</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Результативность СЭнМ оценивается на основе анализа достижения показателей энергетических характеристик СЭнМ - целевых показателей </w:t>
      </w:r>
      <w:r>
        <w:rPr>
          <w:rFonts w:ascii="Times New Roman" w:eastAsia="Times New Roman" w:hAnsi="Times New Roman" w:cs="Times New Roman"/>
          <w:sz w:val="24"/>
          <w:szCs w:val="24"/>
          <w:lang w:eastAsia="ru-RU"/>
        </w:rPr>
        <w:t>ПЭСБ</w:t>
      </w:r>
      <w:r>
        <w:rPr>
          <w:rFonts w:ascii="Times New Roman" w:hAnsi="Times New Roman" w:cs="Times New Roman"/>
          <w:sz w:val="24"/>
        </w:rPr>
        <w:t xml:space="preserve">. </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В ПАО «Россети Сибирь» организован ежеквартальный мониторинг выполнения мероприятий </w:t>
      </w:r>
      <w:r>
        <w:rPr>
          <w:rFonts w:ascii="Times New Roman" w:eastAsia="Times New Roman" w:hAnsi="Times New Roman" w:cs="Times New Roman"/>
          <w:sz w:val="24"/>
          <w:szCs w:val="24"/>
          <w:lang w:eastAsia="ru-RU"/>
        </w:rPr>
        <w:t>ПЭСБ</w:t>
      </w:r>
      <w:r>
        <w:rPr>
          <w:rFonts w:ascii="Times New Roman" w:hAnsi="Times New Roman" w:cs="Times New Roman"/>
          <w:sz w:val="24"/>
        </w:rPr>
        <w:t>, при необходимости разрабатываются и реализуются корректирующие мероприятия.</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По итогам отчетного периода запланированные мероприятия </w:t>
      </w:r>
      <w:r>
        <w:rPr>
          <w:rFonts w:ascii="Times New Roman" w:eastAsia="Times New Roman" w:hAnsi="Times New Roman" w:cs="Times New Roman"/>
          <w:sz w:val="24"/>
          <w:szCs w:val="24"/>
          <w:lang w:eastAsia="ru-RU"/>
        </w:rPr>
        <w:t>ПЭСБ</w:t>
      </w:r>
      <w:r>
        <w:rPr>
          <w:rFonts w:ascii="Times New Roman" w:hAnsi="Times New Roman" w:cs="Times New Roman"/>
          <w:sz w:val="24"/>
        </w:rPr>
        <w:t xml:space="preserve"> реализованы. </w:t>
      </w:r>
      <w:r>
        <w:rPr>
          <w:rFonts w:ascii="Times New Roman" w:eastAsia="Times New Roman" w:hAnsi="Times New Roman" w:cs="Times New Roman"/>
          <w:sz w:val="24"/>
          <w:szCs w:val="24"/>
          <w:lang w:eastAsia="ru-RU"/>
        </w:rPr>
        <w:t xml:space="preserve">Энергетические задачи </w:t>
      </w:r>
      <w:r>
        <w:rPr>
          <w:rFonts w:ascii="Times New Roman" w:hAnsi="Times New Roman" w:cs="Times New Roman"/>
          <w:sz w:val="24"/>
        </w:rPr>
        <w:t>и показатели энергетических характеристик СЭнМ по итогам 2024 года выполнены в сопоставимых условиях без учета внеплановой консолидации объектов хозяйственных нужд и фактического снижения температуры наружного воздуха относительно аналогичного периода 2023 года, детализированная информация представлена в отчете ПЭСБ.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rPr>
        <w:t xml:space="preserve">В 2024 году проведен внутренний аудит системы </w:t>
      </w:r>
      <w:r>
        <w:rPr>
          <w:rFonts w:ascii="Times New Roman" w:eastAsia="Times New Roman" w:hAnsi="Times New Roman" w:cs="Times New Roman"/>
          <w:sz w:val="24"/>
          <w:szCs w:val="24"/>
          <w:lang w:eastAsia="ru-RU"/>
        </w:rPr>
        <w:t xml:space="preserve">энергетического </w:t>
      </w:r>
      <w:r>
        <w:rPr>
          <w:rFonts w:ascii="Times New Roman" w:hAnsi="Times New Roman" w:cs="Times New Roman"/>
          <w:sz w:val="24"/>
        </w:rPr>
        <w:t xml:space="preserve">менеджмента в филиалах ПАО «Россети Сибирь»: «Алтайэнерго», «Кузбассэнерго-РЭС» (согласно </w:t>
      </w:r>
      <w:r>
        <w:rPr>
          <w:rFonts w:ascii="Times New Roman" w:hAnsi="Times New Roman" w:cs="Times New Roman"/>
          <w:sz w:val="24"/>
        </w:rPr>
        <w:lastRenderedPageBreak/>
        <w:t xml:space="preserve">Программы внутренних проверок систем менеджмента на 2024 год), составлен отчет о результатах внутреннего аудита. </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Для устранения выявленных несоответствий разработан План корректирующих и предупреждающих мероприятий (ПКМ), утвержденный приказом от 21.08.2024 № 214 «О результатах внутренней проверки ИСМ». Мероприятия, предусмотренные в ПКМ, выполняются в полном объеме и в установленные сроки.</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 xml:space="preserve">В период с 05.08.2024 по 21.08.2024 аудиторской группой Ассоциации по сертификации «Русский Регистр» проведен инспекционный аудит СЭнМ, по результатам которого Обществом подтверждено соответствие системы международному стандарту ISO 50001:2018. </w:t>
      </w:r>
    </w:p>
    <w:p w:rsidR="00D602D4" w:rsidRDefault="000B4C86">
      <w:pPr>
        <w:spacing w:after="0" w:line="240" w:lineRule="auto"/>
        <w:ind w:firstLine="709"/>
        <w:jc w:val="both"/>
        <w:rPr>
          <w:rFonts w:ascii="Times New Roman" w:hAnsi="Times New Roman" w:cs="Times New Roman"/>
          <w:sz w:val="24"/>
        </w:rPr>
      </w:pPr>
      <w:r>
        <w:rPr>
          <w:rFonts w:ascii="Times New Roman" w:hAnsi="Times New Roman" w:cs="Times New Roman"/>
          <w:sz w:val="24"/>
        </w:rPr>
        <w:t>Оценка эффективности мер, принимаемых для повышения потенциальных возможностей организации и снижения рисков, проводится ежегодно в рамках функционирования системы управления рисками Общества. В соответствии с требованиями СО 2.062/0 «Методика самооценки эффективности контрольных процедур и системы внутреннего контроля процессов. Методика» по направлению энергосбережения и повышения энергоэффективности в СО 3.025БП/0 сформирована матрица контролей (рисков), реализуются контрольные процедуры. По итогам года формируется отчет об эффективности контрольных процедур и эффективности системы внутреннего контроля.</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rPr>
        <w:t>Дальнейшее совершенствование СЭнМ планируется в соответствии с утвержденным планом по корректирующим и предупреждающим мероприятиям по устранению нарушений/недостатков, выявленным в результате проверок СЭнМ.</w:t>
      </w:r>
    </w:p>
    <w:p w:rsidR="00D602D4" w:rsidRDefault="000B4C86">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rPr>
        <w:t>Таблица 53</w:t>
      </w:r>
    </w:p>
    <w:p w:rsidR="00D602D4" w:rsidRDefault="000B4C86">
      <w:pPr>
        <w:spacing w:after="0" w:line="240" w:lineRule="auto"/>
        <w:ind w:firstLine="709"/>
        <w:jc w:val="center"/>
        <w:rPr>
          <w:rFonts w:ascii="Times New Roman" w:hAnsi="Times New Roman" w:cs="Times New Roman"/>
          <w:sz w:val="24"/>
          <w:szCs w:val="24"/>
        </w:rPr>
      </w:pPr>
      <w:r>
        <w:rPr>
          <w:rFonts w:ascii="Times New Roman" w:eastAsia="Times New Roman" w:hAnsi="Times New Roman" w:cs="Times New Roman"/>
          <w:sz w:val="24"/>
          <w:szCs w:val="24"/>
          <w:lang w:eastAsia="ru-RU"/>
        </w:rPr>
        <w:t>Показатели по энергопотреблению и энергосбережению</w:t>
      </w:r>
    </w:p>
    <w:tbl>
      <w:tblPr>
        <w:tblStyle w:val="83"/>
        <w:tblW w:w="9766" w:type="dxa"/>
        <w:tblInd w:w="-34" w:type="dxa"/>
        <w:tblLayout w:type="fixed"/>
        <w:tblLook w:val="04A0" w:firstRow="1" w:lastRow="0" w:firstColumn="1" w:lastColumn="0" w:noHBand="0" w:noVBand="1"/>
      </w:tblPr>
      <w:tblGrid>
        <w:gridCol w:w="3703"/>
        <w:gridCol w:w="1042"/>
        <w:gridCol w:w="1191"/>
        <w:gridCol w:w="1192"/>
        <w:gridCol w:w="1221"/>
        <w:gridCol w:w="1417"/>
      </w:tblGrid>
      <w:tr w:rsidR="00D602D4">
        <w:trPr>
          <w:trHeight w:val="190"/>
        </w:trPr>
        <w:tc>
          <w:tcPr>
            <w:tcW w:w="3702"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9356"/>
              </w:tabs>
              <w:ind w:left="0"/>
              <w:jc w:val="center"/>
              <w:rPr>
                <w:rFonts w:ascii="Times New Roman" w:eastAsia="Times New Roman" w:hAnsi="Times New Roman" w:cs="Times New Roman"/>
                <w:sz w:val="20"/>
                <w:szCs w:val="20"/>
              </w:rPr>
            </w:pPr>
            <w:r>
              <w:rPr>
                <w:rFonts w:ascii="Times New Roman" w:eastAsia="Times New Roman" w:hAnsi="Times New Roman" w:cs="Times New Roman"/>
                <w:bCs/>
                <w:color w:val="000000"/>
                <w:sz w:val="20"/>
                <w:szCs w:val="20"/>
              </w:rPr>
              <w:t>Показатели</w:t>
            </w:r>
          </w:p>
        </w:tc>
        <w:tc>
          <w:tcPr>
            <w:tcW w:w="1042"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9356"/>
              </w:tabs>
              <w:ind w:left="0"/>
              <w:jc w:val="center"/>
              <w:rPr>
                <w:rFonts w:ascii="Times New Roman" w:eastAsia="Times New Roman" w:hAnsi="Times New Roman" w:cs="Times New Roman"/>
                <w:sz w:val="20"/>
                <w:szCs w:val="20"/>
              </w:rPr>
            </w:pPr>
            <w:r>
              <w:rPr>
                <w:rFonts w:ascii="Times New Roman" w:eastAsia="Times New Roman" w:hAnsi="Times New Roman" w:cs="Times New Roman"/>
                <w:bCs/>
                <w:color w:val="000000"/>
                <w:sz w:val="20"/>
                <w:szCs w:val="20"/>
              </w:rPr>
              <w:t>Ед.изм.</w:t>
            </w:r>
          </w:p>
        </w:tc>
        <w:tc>
          <w:tcPr>
            <w:tcW w:w="1191" w:type="dxa"/>
            <w:tcBorders>
              <w:top w:val="single" w:sz="4" w:space="0" w:color="000000"/>
              <w:left w:val="single" w:sz="4" w:space="0" w:color="000000"/>
              <w:bottom w:val="single" w:sz="4" w:space="0" w:color="000000"/>
              <w:right w:val="single" w:sz="4" w:space="0" w:color="000000"/>
            </w:tcBorders>
            <w:vAlign w:val="center"/>
          </w:tcPr>
          <w:p w:rsidR="00D602D4" w:rsidRDefault="000B4C86">
            <w:pPr>
              <w:tabs>
                <w:tab w:val="left" w:pos="9356"/>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2022 год факт</w:t>
            </w:r>
          </w:p>
        </w:tc>
        <w:tc>
          <w:tcPr>
            <w:tcW w:w="1192" w:type="dxa"/>
            <w:tcBorders>
              <w:top w:val="single" w:sz="4" w:space="0" w:color="000000"/>
              <w:left w:val="single" w:sz="4" w:space="0" w:color="000000"/>
              <w:bottom w:val="single" w:sz="4" w:space="0" w:color="000000"/>
              <w:right w:val="single" w:sz="4" w:space="0" w:color="000000"/>
            </w:tcBorders>
            <w:vAlign w:val="center"/>
          </w:tcPr>
          <w:p w:rsidR="00D602D4" w:rsidRDefault="000B4C86">
            <w:pPr>
              <w:tabs>
                <w:tab w:val="left" w:pos="9356"/>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2023 год факт</w:t>
            </w:r>
          </w:p>
        </w:tc>
        <w:tc>
          <w:tcPr>
            <w:tcW w:w="122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 xml:space="preserve">2024 год </w:t>
            </w:r>
          </w:p>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факт</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tabs>
                <w:tab w:val="left" w:pos="751"/>
              </w:tabs>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 xml:space="preserve"> изменение</w:t>
            </w:r>
          </w:p>
          <w:p w:rsidR="00D602D4" w:rsidRDefault="000B4C86">
            <w:pPr>
              <w:jc w:val="center"/>
              <w:rPr>
                <w:rFonts w:ascii="Times New Roman" w:hAnsi="Times New Roman" w:cs="Times New Roman"/>
                <w:sz w:val="20"/>
                <w:szCs w:val="20"/>
              </w:rPr>
            </w:pPr>
            <w:r>
              <w:rPr>
                <w:rFonts w:ascii="Times New Roman" w:eastAsia="Times New Roman" w:hAnsi="Times New Roman" w:cs="Times New Roman"/>
                <w:bCs/>
                <w:color w:val="000000"/>
                <w:sz w:val="20"/>
                <w:szCs w:val="20"/>
              </w:rPr>
              <w:t xml:space="preserve">  2024/2023, %</w:t>
            </w:r>
          </w:p>
        </w:tc>
      </w:tr>
      <w:tr w:rsidR="00D602D4">
        <w:trPr>
          <w:trHeight w:val="780"/>
        </w:trPr>
        <w:tc>
          <w:tcPr>
            <w:tcW w:w="3702" w:type="dxa"/>
            <w:vMerge w:val="restart"/>
            <w:tcBorders>
              <w:top w:val="single" w:sz="4" w:space="0" w:color="000000"/>
              <w:left w:val="single" w:sz="4" w:space="0" w:color="000000"/>
              <w:bottom w:val="single" w:sz="4" w:space="0" w:color="000000"/>
              <w:right w:val="single" w:sz="4" w:space="0" w:color="000000"/>
            </w:tcBorders>
          </w:tcPr>
          <w:p w:rsidR="00D602D4" w:rsidRDefault="000B4C86">
            <w:pPr>
              <w:spacing w:after="5" w:line="252" w:lineRule="auto"/>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 xml:space="preserve">Расход топливно-энергетических ресурсов (ТЭР) на хозяйственные </w:t>
            </w:r>
          </w:p>
          <w:p w:rsidR="00D602D4" w:rsidRDefault="000B4C86">
            <w:pPr>
              <w:spacing w:after="5" w:line="252" w:lineRule="auto"/>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нужды зданий административно-производственного назначения</w:t>
            </w:r>
          </w:p>
        </w:tc>
        <w:tc>
          <w:tcPr>
            <w:tcW w:w="104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34"/>
              </w:tabs>
              <w:spacing w:after="5" w:line="252" w:lineRule="auto"/>
              <w:ind w:right="-143" w:hanging="80"/>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Тыс. т.у.т.</w:t>
            </w:r>
          </w:p>
        </w:tc>
        <w:tc>
          <w:tcPr>
            <w:tcW w:w="11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highlight w:val="yellow"/>
              </w:rPr>
            </w:pPr>
            <w:r>
              <w:rPr>
                <w:rFonts w:ascii="Times New Roman" w:hAnsi="Times New Roman" w:cs="Times New Roman"/>
                <w:sz w:val="20"/>
                <w:szCs w:val="20"/>
              </w:rPr>
              <w:t>24,2</w:t>
            </w:r>
          </w:p>
        </w:tc>
        <w:tc>
          <w:tcPr>
            <w:tcW w:w="11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23,5</w:t>
            </w:r>
          </w:p>
        </w:tc>
        <w:tc>
          <w:tcPr>
            <w:tcW w:w="122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23,3</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-0,9</w:t>
            </w:r>
          </w:p>
        </w:tc>
      </w:tr>
      <w:tr w:rsidR="00D602D4">
        <w:trPr>
          <w:trHeight w:val="122"/>
        </w:trPr>
        <w:tc>
          <w:tcPr>
            <w:tcW w:w="3702" w:type="dxa"/>
            <w:vMerge/>
            <w:tcBorders>
              <w:top w:val="single" w:sz="4" w:space="0" w:color="000000"/>
              <w:left w:val="single" w:sz="4" w:space="0" w:color="000000"/>
              <w:bottom w:val="single" w:sz="4" w:space="0" w:color="000000"/>
              <w:right w:val="single" w:sz="4" w:space="0" w:color="000000"/>
            </w:tcBorders>
          </w:tcPr>
          <w:p w:rsidR="00D602D4" w:rsidRDefault="00D602D4">
            <w:pPr>
              <w:spacing w:after="5" w:line="252" w:lineRule="auto"/>
              <w:jc w:val="both"/>
              <w:rPr>
                <w:rFonts w:ascii="Times New Roman" w:eastAsia="Times New Roman" w:hAnsi="Times New Roman" w:cs="Times New Roman"/>
                <w:bCs/>
                <w:color w:val="000000"/>
                <w:sz w:val="20"/>
                <w:szCs w:val="20"/>
              </w:rPr>
            </w:pPr>
          </w:p>
        </w:tc>
        <w:tc>
          <w:tcPr>
            <w:tcW w:w="1042" w:type="dxa"/>
            <w:tcBorders>
              <w:left w:val="single" w:sz="4" w:space="0" w:color="000000"/>
              <w:bottom w:val="single" w:sz="4" w:space="0" w:color="000000"/>
              <w:right w:val="single" w:sz="4" w:space="0" w:color="000000"/>
            </w:tcBorders>
            <w:vAlign w:val="center"/>
          </w:tcPr>
          <w:p w:rsidR="00D602D4" w:rsidRDefault="000B4C86">
            <w:pPr>
              <w:widowControl w:val="0"/>
              <w:tabs>
                <w:tab w:val="left" w:pos="34"/>
              </w:tabs>
              <w:spacing w:after="5" w:line="252" w:lineRule="auto"/>
              <w:ind w:right="-143"/>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Млн. руб.</w:t>
            </w:r>
          </w:p>
        </w:tc>
        <w:tc>
          <w:tcPr>
            <w:tcW w:w="11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highlight w:val="yellow"/>
              </w:rPr>
            </w:pPr>
            <w:r>
              <w:rPr>
                <w:rFonts w:ascii="Times New Roman" w:hAnsi="Times New Roman" w:cs="Times New Roman"/>
                <w:sz w:val="20"/>
                <w:szCs w:val="20"/>
              </w:rPr>
              <w:t>556,1</w:t>
            </w:r>
          </w:p>
        </w:tc>
        <w:tc>
          <w:tcPr>
            <w:tcW w:w="11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596,5</w:t>
            </w:r>
          </w:p>
        </w:tc>
        <w:tc>
          <w:tcPr>
            <w:tcW w:w="1221" w:type="dxa"/>
            <w:tcBorders>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624,9</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4,8</w:t>
            </w:r>
          </w:p>
        </w:tc>
      </w:tr>
      <w:tr w:rsidR="00D602D4">
        <w:trPr>
          <w:trHeight w:val="122"/>
        </w:trPr>
        <w:tc>
          <w:tcPr>
            <w:tcW w:w="3702"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5" w:line="252" w:lineRule="auto"/>
              <w:ind w:left="22" w:right="-102" w:hanging="22"/>
              <w:rPr>
                <w:rFonts w:ascii="Times New Roman" w:eastAsia="Times New Roman" w:hAnsi="Times New Roman" w:cs="Times New Roman"/>
                <w:bCs/>
                <w:color w:val="000000"/>
                <w:sz w:val="20"/>
                <w:szCs w:val="20"/>
              </w:rPr>
            </w:pPr>
            <w:r>
              <w:rPr>
                <w:rFonts w:ascii="Times New Roman" w:eastAsia="Times New Roman" w:hAnsi="Times New Roman" w:cs="Times New Roman"/>
                <w:color w:val="000000"/>
                <w:sz w:val="20"/>
                <w:szCs w:val="20"/>
              </w:rPr>
              <w:t>Расход моторного топлива автотранспортом и спецтехникой</w:t>
            </w:r>
          </w:p>
        </w:tc>
        <w:tc>
          <w:tcPr>
            <w:tcW w:w="104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34"/>
              </w:tabs>
              <w:spacing w:after="5" w:line="252" w:lineRule="auto"/>
              <w:ind w:right="-143" w:hanging="80"/>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Тыс. т.у.т.</w:t>
            </w:r>
          </w:p>
        </w:tc>
        <w:tc>
          <w:tcPr>
            <w:tcW w:w="119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highlight w:val="yellow"/>
              </w:rPr>
            </w:pPr>
            <w:r>
              <w:rPr>
                <w:rFonts w:ascii="Times New Roman" w:hAnsi="Times New Roman" w:cs="Times New Roman"/>
                <w:sz w:val="20"/>
                <w:szCs w:val="20"/>
              </w:rPr>
              <w:t>16,6</w:t>
            </w:r>
          </w:p>
        </w:tc>
        <w:tc>
          <w:tcPr>
            <w:tcW w:w="11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16,8</w:t>
            </w:r>
          </w:p>
        </w:tc>
        <w:tc>
          <w:tcPr>
            <w:tcW w:w="122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15,4</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hAnsi="Times New Roman" w:cs="Times New Roman"/>
                <w:sz w:val="20"/>
                <w:szCs w:val="20"/>
              </w:rPr>
              <w:t>-8,3</w:t>
            </w:r>
          </w:p>
        </w:tc>
      </w:tr>
    </w:tbl>
    <w:p w:rsidR="00D602D4" w:rsidRDefault="00D602D4"/>
    <w:p w:rsidR="00D602D4" w:rsidRDefault="000B4C86">
      <w:pPr>
        <w:pStyle w:val="13"/>
        <w:spacing w:before="0" w:line="240" w:lineRule="auto"/>
        <w:rPr>
          <w:rFonts w:ascii="Times New Roman" w:hAnsi="Times New Roman" w:cs="Times New Roman"/>
          <w:b/>
          <w:bCs/>
          <w:color w:val="auto"/>
          <w:sz w:val="26"/>
          <w:szCs w:val="26"/>
        </w:rPr>
      </w:pPr>
      <w:bookmarkStart w:id="73" w:name="_Toc106"/>
      <w:r>
        <w:rPr>
          <w:rFonts w:ascii="Times New Roman" w:eastAsia="Times New Roman" w:hAnsi="Times New Roman" w:cs="Times New Roman"/>
          <w:b/>
          <w:color w:val="auto"/>
          <w:sz w:val="26"/>
          <w:szCs w:val="26"/>
        </w:rPr>
        <w:t>4.7. Развитие регионов</w:t>
      </w:r>
      <w:bookmarkEnd w:id="73"/>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Информация подготовлена на основании Схемы и программы развития электроэнергетических систем России на 2025-2030 годы, утвержденной приказом Минэнерго России от 29.11.2024 № 2328. </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Величина потребления электрической энергии в регионах присутствия ПАО «Россети Сибирь» в 2024 году составила 142 953 млн кВт∙ч. К 2030 году объем спроса на электрическую энергию в регионах присутствия ПАО «Россети Сибирь» прогнозируется на уровне 159 781 млн кВт∙ч.  Среднегодовой темп прироста спроса на электрическую энергию за период 2024-2030 годы составит 2,28 %.</w:t>
      </w:r>
    </w:p>
    <w:p w:rsidR="00D602D4" w:rsidRDefault="000B4C86">
      <w:pPr>
        <w:spacing w:after="0" w:line="240" w:lineRule="auto"/>
        <w:jc w:val="center"/>
        <w:rPr>
          <w:rFonts w:ascii="Times New Roman" w:eastAsia="Times New Roman" w:hAnsi="Times New Roman" w:cs="Times New Roman"/>
          <w:sz w:val="24"/>
          <w:szCs w:val="26"/>
          <w:lang w:eastAsia="ru-RU"/>
        </w:rPr>
      </w:pPr>
      <w:r>
        <w:rPr>
          <w:rFonts w:ascii="Times New Roman" w:eastAsia="Times New Roman" w:hAnsi="Times New Roman" w:cs="Times New Roman"/>
          <w:noProof/>
          <w:sz w:val="24"/>
          <w:szCs w:val="26"/>
          <w:lang w:eastAsia="ru-RU"/>
        </w:rPr>
        <w:lastRenderedPageBreak/>
        <w:drawing>
          <wp:inline distT="0" distB="0" distL="0" distR="0">
            <wp:extent cx="5476240" cy="3033316"/>
            <wp:effectExtent l="6350" t="6350" r="6350" b="6350"/>
            <wp:docPr id="5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107879" name="Picture 3"/>
                    <pic:cNvPicPr>
                      <a:picLocks noChangeAspect="1"/>
                    </pic:cNvPicPr>
                  </pic:nvPicPr>
                  <pic:blipFill>
                    <a:blip r:embed="rId92"/>
                    <a:srcRect l="17759" t="10172" r="10010" b="12042"/>
                    <a:stretch/>
                  </pic:blipFill>
                  <pic:spPr bwMode="auto">
                    <a:xfrm>
                      <a:off x="0" y="0"/>
                      <a:ext cx="5476239" cy="3033315"/>
                    </a:xfrm>
                    <a:prstGeom prst="rect">
                      <a:avLst/>
                    </a:prstGeom>
                    <a:noFill/>
                    <a:ln>
                      <a:noFill/>
                    </a:ln>
                  </pic:spPr>
                </pic:pic>
              </a:graphicData>
            </a:graphic>
          </wp:inline>
        </w:drawing>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 28 - Прогноз спроса на электрическую энергию по ОЭС Сибири на период до 2030 года, млн. кВт</w:t>
      </w:r>
      <w:r>
        <w:rPr>
          <w:rFonts w:ascii="Times New Roman" w:hAnsi="Times New Roman" w:cs="Times New Roman"/>
          <w:sz w:val="24"/>
          <w:szCs w:val="26"/>
          <w:lang w:eastAsia="ru-RU"/>
        </w:rPr>
        <w:t>∙</w:t>
      </w:r>
      <w:r>
        <w:rPr>
          <w:rFonts w:ascii="Times New Roman" w:eastAsia="Times New Roman" w:hAnsi="Times New Roman" w:cs="Times New Roman"/>
          <w:sz w:val="24"/>
          <w:szCs w:val="24"/>
          <w:lang w:eastAsia="ru-RU"/>
        </w:rPr>
        <w:t>ч</w:t>
      </w:r>
    </w:p>
    <w:p w:rsidR="00D602D4" w:rsidRDefault="00D602D4">
      <w:pPr>
        <w:widowControl w:val="0"/>
        <w:spacing w:after="0" w:line="240" w:lineRule="auto"/>
        <w:ind w:firstLine="709"/>
        <w:jc w:val="both"/>
        <w:rPr>
          <w:rFonts w:ascii="Times New Roman" w:hAnsi="Times New Roman" w:cs="Times New Roman"/>
          <w:sz w:val="26"/>
          <w:szCs w:val="26"/>
          <w:lang w:eastAsia="ru-RU"/>
        </w:rPr>
      </w:pP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Потребление электрической энергии по энергосистеме </w:t>
      </w:r>
      <w:r>
        <w:rPr>
          <w:rFonts w:ascii="Times New Roman" w:eastAsia="Times New Roman" w:hAnsi="Times New Roman" w:cs="Times New Roman"/>
          <w:i/>
          <w:sz w:val="24"/>
          <w:szCs w:val="26"/>
          <w:u w:val="single"/>
          <w:lang w:eastAsia="ru-RU"/>
        </w:rPr>
        <w:t>Республики Алтай и Алтайского края</w:t>
      </w:r>
      <w:r>
        <w:rPr>
          <w:rFonts w:ascii="Times New Roman" w:eastAsia="Times New Roman" w:hAnsi="Times New Roman" w:cs="Times New Roman"/>
          <w:sz w:val="24"/>
          <w:szCs w:val="26"/>
          <w:lang w:eastAsia="ru-RU"/>
        </w:rPr>
        <w:t xml:space="preserve"> прогнозируется на уровне 12015 млн кВт·ч. Среднегодовой темп прироста составит 1,09 %.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 Максимум потребления мощности энергосистемы Республики Алтай и Алтайского края к 2030 году прогнозируется на уровне 2091 МВт. Среднегодовой темп прироста составит 1,09 %.</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Прирост мощности на электростанциях энергосистемы Республики Алтай и Алтайского края, расположенных на территории Алтайского края, в период </w:t>
      </w:r>
      <w:r>
        <w:rPr>
          <w:rFonts w:ascii="Times New Roman" w:hAnsi="Times New Roman" w:cs="Times New Roman"/>
          <w:sz w:val="24"/>
          <w:szCs w:val="24"/>
        </w:rPr>
        <w:br/>
        <w:t>2025–2030 годов предусматривается в результате проведения модернизации существующего генерирующего оборудования в объеме 10 МВт на Барнаульской ТЭЦ-3.</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Потребление электрической энергии по энергосистеме </w:t>
      </w:r>
      <w:r>
        <w:rPr>
          <w:rFonts w:ascii="Times New Roman" w:eastAsia="Times New Roman" w:hAnsi="Times New Roman" w:cs="Times New Roman"/>
          <w:i/>
          <w:sz w:val="24"/>
          <w:szCs w:val="26"/>
          <w:u w:val="single"/>
          <w:lang w:eastAsia="ru-RU"/>
        </w:rPr>
        <w:t>Республики Бурятия</w:t>
      </w:r>
      <w:r>
        <w:rPr>
          <w:rFonts w:ascii="Times New Roman" w:eastAsia="Times New Roman" w:hAnsi="Times New Roman" w:cs="Times New Roman"/>
          <w:sz w:val="24"/>
          <w:szCs w:val="26"/>
          <w:lang w:eastAsia="ru-RU"/>
        </w:rPr>
        <w:t xml:space="preserve"> прогнозируется на уровне 9950 млн кВт·ч. Среднегодовой темп прироста составит 7,15 %.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Максимум потребления мощности энергосистемы Республики Бурятия к 2030 году прогнозируется на уровне 1758 МВт. Среднегодовой темп прироста составит 6,34 %.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Наибольший годовой прирост мощности прогнозируется в 2029 году и составит 236 МВт или 15,56 %, что обусловлено реализацией объектов социальной сферы, снижение ожидается в 2025 году и составит 7 МВт или 0,55 %.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Потребление электрической энергии по территории </w:t>
      </w:r>
      <w:r>
        <w:rPr>
          <w:rFonts w:ascii="Times New Roman" w:eastAsia="Times New Roman" w:hAnsi="Times New Roman" w:cs="Times New Roman"/>
          <w:i/>
          <w:sz w:val="24"/>
          <w:szCs w:val="26"/>
          <w:u w:val="single"/>
          <w:lang w:eastAsia="ru-RU"/>
        </w:rPr>
        <w:t>Красноярского края</w:t>
      </w:r>
      <w:r>
        <w:rPr>
          <w:rFonts w:ascii="Times New Roman" w:eastAsia="Times New Roman" w:hAnsi="Times New Roman" w:cs="Times New Roman"/>
          <w:sz w:val="24"/>
          <w:szCs w:val="26"/>
          <w:lang w:eastAsia="ru-RU"/>
        </w:rPr>
        <w:t xml:space="preserve"> прогнозируется на уровне 60196 млн кВт·ч. Среднегодовой темп прироста составит 2,46 %.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 Максимум потребления мощности Красноярского края к 2030 году прогнозируется на уровне 8371 МВт. Среднегодовой темп прироста составит 1,90 %.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 Наибольший годовой прирост мощности прогнозируется в 2025 году и составит 352 МВт или 4,65 %, что обусловлено вводом промышленных потребителей. Наименьший годовой прирост прогнозируется в 2030 году и составит 27 МВт или 0,32 %.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Потребление электрической энергии по энергосистеме </w:t>
      </w:r>
      <w:r>
        <w:rPr>
          <w:rFonts w:ascii="Times New Roman" w:eastAsia="Times New Roman" w:hAnsi="Times New Roman" w:cs="Times New Roman"/>
          <w:i/>
          <w:sz w:val="24"/>
          <w:szCs w:val="26"/>
          <w:u w:val="single"/>
          <w:lang w:eastAsia="ru-RU"/>
        </w:rPr>
        <w:t>Кемеровской области</w:t>
      </w:r>
      <w:r>
        <w:rPr>
          <w:rFonts w:ascii="Times New Roman" w:eastAsia="Times New Roman" w:hAnsi="Times New Roman" w:cs="Times New Roman"/>
          <w:sz w:val="24"/>
          <w:szCs w:val="26"/>
          <w:lang w:eastAsia="ru-RU"/>
        </w:rPr>
        <w:t xml:space="preserve"> прогнозируется на уровне 34581 млн кВт·ч. Среднегодовой темп прироста составит 1,47 %.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 Максимум потребления мощности энергосистемы Кемеровской области к 2030 году прогнозируется на уровне 4868 МВт. Среднегодовой темп прироста составит 1,07 %.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Наибольший годовой прирост мощности прогнозируется в 2027 году и составит </w:t>
      </w:r>
      <w:r>
        <w:rPr>
          <w:rFonts w:ascii="Times New Roman" w:eastAsia="Times New Roman" w:hAnsi="Times New Roman" w:cs="Times New Roman"/>
          <w:sz w:val="24"/>
          <w:szCs w:val="26"/>
          <w:lang w:eastAsia="ru-RU"/>
        </w:rPr>
        <w:lastRenderedPageBreak/>
        <w:t>137 МВт или 2,98 %, что обусловлено реализацией проекта развития второго этапа Восточного полигона железных дорог ОАО «РЖД» наименьший годовой прирост ожидается в 2025 году и составит 13 МВт или 0,29 %.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Потребление электрической энергии по энергосистеме </w:t>
      </w:r>
      <w:r>
        <w:rPr>
          <w:rFonts w:ascii="Times New Roman" w:eastAsia="Times New Roman" w:hAnsi="Times New Roman" w:cs="Times New Roman"/>
          <w:i/>
          <w:sz w:val="24"/>
          <w:szCs w:val="26"/>
          <w:u w:val="single"/>
          <w:lang w:eastAsia="ru-RU"/>
        </w:rPr>
        <w:t>Омской области</w:t>
      </w:r>
      <w:r>
        <w:rPr>
          <w:rFonts w:ascii="Times New Roman" w:eastAsia="Times New Roman" w:hAnsi="Times New Roman" w:cs="Times New Roman"/>
          <w:sz w:val="24"/>
          <w:szCs w:val="26"/>
          <w:lang w:eastAsia="ru-RU"/>
        </w:rPr>
        <w:t xml:space="preserve"> прогнозируется на уровне 12179 млн кВт·ч. Среднегодовой темп прироста составит 1,06 %.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Максимум потребления мощности энергосистемы Омской области к 2030 году прогнозируется на уровне 1990 МВт. Среднегодовой темп прироста составит 0,37 %.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Наибольший годовой прирост мощности прогнозируется в 2025 году и составит 85 МВт или 4,59 %; наименьший прирост мощности ожидается в 2030 году и составит 8 МВт или 0,40 %.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Потребление электрической энергии по энергосистеме </w:t>
      </w:r>
      <w:r>
        <w:rPr>
          <w:rFonts w:ascii="Times New Roman" w:eastAsia="Times New Roman" w:hAnsi="Times New Roman" w:cs="Times New Roman"/>
          <w:i/>
          <w:sz w:val="24"/>
          <w:szCs w:val="26"/>
          <w:u w:val="single"/>
          <w:lang w:eastAsia="ru-RU"/>
        </w:rPr>
        <w:t>Республики Хакасия</w:t>
      </w:r>
      <w:r>
        <w:rPr>
          <w:rFonts w:ascii="Times New Roman" w:eastAsia="Times New Roman" w:hAnsi="Times New Roman" w:cs="Times New Roman"/>
          <w:sz w:val="24"/>
          <w:szCs w:val="26"/>
          <w:lang w:eastAsia="ru-RU"/>
        </w:rPr>
        <w:t xml:space="preserve"> прогнозируется на уровне 18226 млн кВт·ч. Среднегодовой темп прироста составит 0,91 %.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Максимум потребления мощности энергосистемы Республики Хакасия к 2030 году прогнозируется на уровне 2383 МВт. Среднегодовой темп прироста составит 0,72 %.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Наибольший годовой прирост мощности прогнозируется в 2027 году и составит 36 МВт или 1,54 %, что обусловлено реализацией проекта по развитию Восточного полигона железных дорог ОАО «РЖД». Снижение прогнозируется в 2025 году и составит 3 МВт или 0,13 %.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Потребление электрической энергии по энергосистеме </w:t>
      </w:r>
      <w:r>
        <w:rPr>
          <w:rFonts w:ascii="Times New Roman" w:eastAsia="Times New Roman" w:hAnsi="Times New Roman" w:cs="Times New Roman"/>
          <w:i/>
          <w:sz w:val="24"/>
          <w:szCs w:val="26"/>
          <w:u w:val="single"/>
          <w:lang w:eastAsia="ru-RU"/>
        </w:rPr>
        <w:t>Забайкальского края</w:t>
      </w:r>
      <w:r>
        <w:rPr>
          <w:rFonts w:ascii="Times New Roman" w:eastAsia="Times New Roman" w:hAnsi="Times New Roman" w:cs="Times New Roman"/>
          <w:sz w:val="24"/>
          <w:szCs w:val="26"/>
          <w:lang w:eastAsia="ru-RU"/>
        </w:rPr>
        <w:t xml:space="preserve"> прогнозируется на уровне 12634 млн кВт·ч. Среднегодовой темп прироста составит 5,25 %.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Максимум потребления мощности энергосистемы Забайкальского края к 2030 году прогнозируется на уровне 1994 МВт. Среднегодовой темп прироста составит 4,50 %.</w:t>
      </w:r>
    </w:p>
    <w:p w:rsidR="00D602D4" w:rsidRDefault="000B4C86">
      <w:pPr>
        <w:widowControl w:val="0"/>
        <w:spacing w:after="0" w:line="240" w:lineRule="auto"/>
        <w:ind w:firstLine="709"/>
        <w:jc w:val="both"/>
        <w:rPr>
          <w:rFonts w:ascii="Times New Roman" w:eastAsia="Times New Roman" w:hAnsi="Times New Roman" w:cs="Times New Roman"/>
          <w:sz w:val="24"/>
          <w:szCs w:val="26"/>
          <w:lang w:eastAsia="ru-RU"/>
        </w:rPr>
      </w:pPr>
      <w:r>
        <w:rPr>
          <w:rFonts w:ascii="Times New Roman" w:eastAsia="Times New Roman" w:hAnsi="Times New Roman" w:cs="Times New Roman"/>
          <w:sz w:val="24"/>
          <w:szCs w:val="26"/>
          <w:lang w:eastAsia="ru-RU"/>
        </w:rPr>
        <w:t xml:space="preserve"> Наибольший годовой прирост мощности прогнозируется в 2026 году и составит 179 МВт или 11,31 %, в связи с увеличением потребления ООО «Удоканская медь», а также вводом новых промышленных объектов; наименьший прирост в размере 5 МВт или 0,25 % прогнозируется в 2030 году.</w:t>
      </w:r>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pStyle w:val="13"/>
        <w:spacing w:before="0" w:line="240" w:lineRule="auto"/>
        <w:rPr>
          <w:rFonts w:ascii="Times New Roman" w:hAnsi="Times New Roman" w:cs="Times New Roman"/>
          <w:b/>
          <w:bCs/>
          <w:color w:val="auto"/>
          <w:sz w:val="26"/>
          <w:szCs w:val="26"/>
        </w:rPr>
      </w:pPr>
      <w:bookmarkStart w:id="74" w:name="_Toc107"/>
      <w:r>
        <w:rPr>
          <w:rFonts w:ascii="Times New Roman" w:eastAsia="Times New Roman" w:hAnsi="Times New Roman" w:cs="Times New Roman"/>
          <w:b/>
          <w:color w:val="auto"/>
          <w:sz w:val="26"/>
          <w:szCs w:val="26"/>
        </w:rPr>
        <w:t>4.8. Взаимодействие со стейкхолдерами</w:t>
      </w:r>
      <w:bookmarkEnd w:id="74"/>
    </w:p>
    <w:p w:rsidR="00D602D4" w:rsidRDefault="00D602D4">
      <w:pPr>
        <w:pStyle w:val="220"/>
        <w:spacing w:after="0"/>
        <w:ind w:left="0" w:firstLine="709"/>
      </w:pPr>
    </w:p>
    <w:p w:rsidR="00D602D4" w:rsidRDefault="000B4C86">
      <w:pPr>
        <w:pStyle w:val="220"/>
        <w:spacing w:after="0"/>
        <w:ind w:left="0" w:firstLine="709"/>
      </w:pPr>
      <w:bookmarkStart w:id="75" w:name="_Toc108"/>
      <w:r>
        <w:t>Заинтересованные стороны Компании</w:t>
      </w:r>
      <w:bookmarkEnd w:id="75"/>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Устойчивое развитие ПАО «Россети Сибирь» находится в непосредственной зависимости от качества взаимодействия с заинтересованными сторонами. Компания выстраивает ответственный и открытый диалог со всеми стейкхолдерами и заботится о надлежащем учете их интересов при принятии решений.</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Компания нацелена на формирование партнерских, долгосрочных, плодотворных, доверительных и взаимовыгодных отношений с заинтересованными сторонами: акционерами, инвесторами, заказчиками и потребителями, топ-менеджментом, сотрудниками и профсоюзными организациями, поставщиками и подрядчиками, профессиональными ассоциациями и отраслевыми организациями, органами государственной власти, государственными органами контроля, органами местного самоуправления, местными сообществами и населением регионов присутствия, социальными и благотворительными организациями, общественными и экологическими организациями, СМИ, образовательными учреждениями и научным сообществом.</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Налаженная система эффективных коммуникаций, основанная на принципах открытости, взаимного уважения, ответственного отношения, способствует дальнейшему развитию направлений деятельности Компании.</w:t>
      </w: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b/>
          <w:bCs/>
          <w:sz w:val="24"/>
          <w:szCs w:val="24"/>
        </w:rPr>
      </w:pPr>
      <w:bookmarkStart w:id="76" w:name="_Toc109"/>
      <w:r>
        <w:rPr>
          <w:rFonts w:ascii="Times New Roman" w:eastAsia="Times New Roman" w:hAnsi="Times New Roman" w:cs="Times New Roman"/>
          <w:b/>
          <w:bCs/>
          <w:sz w:val="24"/>
          <w:szCs w:val="24"/>
        </w:rPr>
        <w:t>Взаимодействие со стэйкхолдерами</w:t>
      </w:r>
      <w:bookmarkEnd w:id="76"/>
    </w:p>
    <w:p w:rsidR="00D602D4" w:rsidRDefault="000B4C86">
      <w:pPr>
        <w:pStyle w:val="a1"/>
        <w:numPr>
          <w:ilvl w:val="0"/>
          <w:numId w:val="0"/>
        </w:numPr>
        <w:spacing w:after="0"/>
        <w:ind w:firstLine="709"/>
        <w:jc w:val="right"/>
        <w:rPr>
          <w:b w:val="0"/>
          <w:sz w:val="24"/>
          <w:szCs w:val="24"/>
        </w:rPr>
      </w:pPr>
      <w:bookmarkStart w:id="77" w:name="_Toc110"/>
      <w:r>
        <w:rPr>
          <w:b w:val="0"/>
          <w:sz w:val="24"/>
          <w:szCs w:val="24"/>
        </w:rPr>
        <w:t>Таблица</w:t>
      </w:r>
      <w:bookmarkEnd w:id="77"/>
      <w:r>
        <w:rPr>
          <w:b w:val="0"/>
          <w:bCs w:val="0"/>
          <w:sz w:val="24"/>
          <w:szCs w:val="24"/>
        </w:rPr>
        <w:t xml:space="preserve"> 54</w:t>
      </w:r>
    </w:p>
    <w:tbl>
      <w:tblPr>
        <w:tblW w:w="9742" w:type="dxa"/>
        <w:tblInd w:w="113" w:type="dxa"/>
        <w:tblLayout w:type="fixed"/>
        <w:tblLook w:val="04A0" w:firstRow="1" w:lastRow="0" w:firstColumn="1" w:lastColumn="0" w:noHBand="0" w:noVBand="1"/>
      </w:tblPr>
      <w:tblGrid>
        <w:gridCol w:w="2047"/>
        <w:gridCol w:w="2343"/>
        <w:gridCol w:w="2517"/>
        <w:gridCol w:w="2835"/>
      </w:tblGrid>
      <w:tr w:rsidR="00D602D4">
        <w:trPr>
          <w:trHeight w:val="170"/>
        </w:trPr>
        <w:tc>
          <w:tcPr>
            <w:tcW w:w="2047" w:type="dxa"/>
            <w:tcBorders>
              <w:top w:val="single" w:sz="4" w:space="0" w:color="auto"/>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Заинтересованные</w:t>
            </w:r>
            <w:r>
              <w:rPr>
                <w:rFonts w:ascii="Times New Roman" w:eastAsia="Times New Roman" w:hAnsi="Times New Roman" w:cs="Times New Roman"/>
                <w:color w:val="000000"/>
                <w:lang w:eastAsia="ru-RU"/>
              </w:rPr>
              <w:br/>
              <w:t>стороны</w:t>
            </w:r>
          </w:p>
        </w:tc>
        <w:tc>
          <w:tcPr>
            <w:tcW w:w="2343" w:type="dxa"/>
            <w:tcBorders>
              <w:top w:val="single" w:sz="4" w:space="0" w:color="auto"/>
              <w:left w:val="none" w:sz="4" w:space="0" w:color="000000"/>
              <w:bottom w:val="single" w:sz="4" w:space="0" w:color="auto"/>
              <w:right w:val="single" w:sz="4" w:space="0" w:color="auto"/>
            </w:tcBorders>
            <w:shd w:val="clear" w:color="auto" w:fill="auto"/>
            <w:noWrap/>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Интересующие темы</w:t>
            </w:r>
          </w:p>
        </w:tc>
        <w:tc>
          <w:tcPr>
            <w:tcW w:w="2517" w:type="dxa"/>
            <w:tcBorders>
              <w:top w:val="single" w:sz="4" w:space="0" w:color="auto"/>
              <w:left w:val="none" w:sz="4" w:space="0" w:color="000000"/>
              <w:bottom w:val="single" w:sz="4" w:space="0" w:color="auto"/>
              <w:right w:val="single" w:sz="4" w:space="0" w:color="auto"/>
            </w:tcBorders>
            <w:shd w:val="clear" w:color="auto" w:fill="auto"/>
            <w:noWrap/>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Механизмы взаимодействия</w:t>
            </w:r>
          </w:p>
        </w:tc>
        <w:tc>
          <w:tcPr>
            <w:tcW w:w="2835" w:type="dxa"/>
            <w:tcBorders>
              <w:top w:val="single" w:sz="4" w:space="0" w:color="auto"/>
              <w:left w:val="none" w:sz="4" w:space="0" w:color="000000"/>
              <w:bottom w:val="single" w:sz="4" w:space="0" w:color="auto"/>
              <w:right w:val="single" w:sz="4" w:space="0" w:color="auto"/>
            </w:tcBorders>
            <w:shd w:val="clear" w:color="auto" w:fill="auto"/>
            <w:noWrap/>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Взаимодействие в 2024 году</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noWrap/>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 xml:space="preserve">Акционеры </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Повышение акционерной стоимости</w:t>
            </w:r>
            <w:r>
              <w:rPr>
                <w:rFonts w:ascii="Times New Roman" w:eastAsia="Times New Roman" w:hAnsi="Times New Roman" w:cs="Times New Roman"/>
                <w:color w:val="000000"/>
                <w:lang w:eastAsia="ru-RU"/>
              </w:rPr>
              <w:br/>
              <w:t>Прозрачность деятельности</w:t>
            </w:r>
            <w:r>
              <w:rPr>
                <w:rFonts w:ascii="Times New Roman" w:eastAsia="Times New Roman" w:hAnsi="Times New Roman" w:cs="Times New Roman"/>
                <w:color w:val="000000"/>
                <w:lang w:eastAsia="ru-RU"/>
              </w:rPr>
              <w:br/>
              <w:t>менеджмента</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Пресс-релизы в рамках обязательного</w:t>
            </w:r>
            <w:r>
              <w:rPr>
                <w:rFonts w:ascii="Times New Roman" w:eastAsia="Times New Roman" w:hAnsi="Times New Roman" w:cs="Times New Roman"/>
                <w:color w:val="000000"/>
                <w:lang w:eastAsia="ru-RU"/>
              </w:rPr>
              <w:br/>
              <w:t>раскрытия информации</w:t>
            </w:r>
            <w:r>
              <w:rPr>
                <w:rFonts w:ascii="Times New Roman" w:eastAsia="Times New Roman" w:hAnsi="Times New Roman" w:cs="Times New Roman"/>
                <w:color w:val="000000"/>
                <w:lang w:eastAsia="ru-RU"/>
              </w:rPr>
              <w:br/>
              <w:t>Раскрытие информации в соответствии с</w:t>
            </w:r>
            <w:r>
              <w:rPr>
                <w:rFonts w:ascii="Times New Roman" w:eastAsia="Times New Roman" w:hAnsi="Times New Roman" w:cs="Times New Roman"/>
                <w:color w:val="000000"/>
                <w:lang w:eastAsia="ru-RU"/>
              </w:rPr>
              <w:br/>
              <w:t>информационной политикой Общества</w:t>
            </w:r>
            <w:r>
              <w:rPr>
                <w:rFonts w:ascii="Times New Roman" w:eastAsia="Times New Roman" w:hAnsi="Times New Roman" w:cs="Times New Roman"/>
                <w:color w:val="000000"/>
                <w:lang w:eastAsia="ru-RU"/>
              </w:rPr>
              <w:br/>
              <w:t>Взаимодействие в рамках работы Совета</w:t>
            </w:r>
            <w:r>
              <w:rPr>
                <w:rFonts w:ascii="Times New Roman" w:eastAsia="Times New Roman" w:hAnsi="Times New Roman" w:cs="Times New Roman"/>
                <w:color w:val="000000"/>
                <w:lang w:eastAsia="ru-RU"/>
              </w:rPr>
              <w:br/>
              <w:t>директоров</w:t>
            </w:r>
            <w:r>
              <w:rPr>
                <w:rFonts w:ascii="Times New Roman" w:eastAsia="Times New Roman" w:hAnsi="Times New Roman" w:cs="Times New Roman"/>
                <w:color w:val="000000"/>
                <w:lang w:eastAsia="ru-RU"/>
              </w:rPr>
              <w:br/>
              <w:t>Индивидуальные встречи с акционерами</w:t>
            </w:r>
            <w:r>
              <w:rPr>
                <w:rFonts w:ascii="Times New Roman" w:eastAsia="Times New Roman" w:hAnsi="Times New Roman" w:cs="Times New Roman"/>
                <w:color w:val="000000"/>
                <w:lang w:eastAsia="ru-RU"/>
              </w:rPr>
              <w:br/>
              <w:t>Общие собрания акционеров</w:t>
            </w:r>
            <w:r>
              <w:rPr>
                <w:rFonts w:ascii="Times New Roman" w:eastAsia="Times New Roman" w:hAnsi="Times New Roman" w:cs="Times New Roman"/>
                <w:color w:val="000000"/>
                <w:lang w:eastAsia="ru-RU"/>
              </w:rPr>
              <w:br/>
              <w:t>Обязательная отчетность Общества</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Проведено ежегодное Общее собрания акционеров.</w:t>
            </w:r>
            <w:r>
              <w:rPr>
                <w:rFonts w:ascii="Times New Roman" w:eastAsia="Times New Roman" w:hAnsi="Times New Roman" w:cs="Times New Roman"/>
                <w:color w:val="000000"/>
                <w:lang w:eastAsia="ru-RU"/>
              </w:rPr>
              <w:br/>
              <w:t>Подробная информация приведена в разделе</w:t>
            </w:r>
            <w:r>
              <w:rPr>
                <w:rFonts w:ascii="Times New Roman" w:eastAsia="Times New Roman" w:hAnsi="Times New Roman" w:cs="Times New Roman"/>
                <w:color w:val="000000"/>
                <w:lang w:eastAsia="ru-RU"/>
              </w:rPr>
              <w:br/>
              <w:t>5.3. Общее собрание акционеров.</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noWrap/>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Инвесторы</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Рост инвестиционной</w:t>
            </w:r>
            <w:r>
              <w:rPr>
                <w:rFonts w:ascii="Times New Roman" w:eastAsia="Times New Roman" w:hAnsi="Times New Roman" w:cs="Times New Roman"/>
                <w:color w:val="000000"/>
                <w:lang w:eastAsia="ru-RU"/>
              </w:rPr>
              <w:br/>
              <w:t>привлекательности Компании</w:t>
            </w:r>
            <w:r>
              <w:rPr>
                <w:rFonts w:ascii="Times New Roman" w:eastAsia="Times New Roman" w:hAnsi="Times New Roman" w:cs="Times New Roman"/>
                <w:color w:val="000000"/>
                <w:lang w:eastAsia="ru-RU"/>
              </w:rPr>
              <w:br/>
              <w:t>Получение информации о</w:t>
            </w:r>
            <w:r>
              <w:rPr>
                <w:rFonts w:ascii="Times New Roman" w:eastAsia="Times New Roman" w:hAnsi="Times New Roman" w:cs="Times New Roman"/>
                <w:color w:val="000000"/>
                <w:lang w:eastAsia="ru-RU"/>
              </w:rPr>
              <w:br/>
              <w:t>перспективах развития</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Встречи с представителями инвестиционного сообщества</w:t>
            </w:r>
            <w:r>
              <w:rPr>
                <w:rFonts w:ascii="Times New Roman" w:eastAsia="Times New Roman" w:hAnsi="Times New Roman" w:cs="Times New Roman"/>
                <w:color w:val="000000"/>
                <w:lang w:eastAsia="ru-RU"/>
              </w:rPr>
              <w:br/>
              <w:t>Качественное раскрытие информации</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 xml:space="preserve">Проведены 4 интернет-конференции на сайте Общества. </w:t>
            </w:r>
            <w:r>
              <w:rPr>
                <w:rFonts w:ascii="Times New Roman" w:eastAsia="Times New Roman" w:hAnsi="Times New Roman" w:cs="Times New Roman"/>
                <w:color w:val="000000"/>
                <w:lang w:eastAsia="ru-RU"/>
              </w:rPr>
              <w:br/>
              <w:t xml:space="preserve">Подробная информация приведена в разделе </w:t>
            </w:r>
            <w:r>
              <w:rPr>
                <w:rFonts w:ascii="Times New Roman" w:eastAsia="Times New Roman" w:hAnsi="Times New Roman" w:cs="Times New Roman"/>
                <w:color w:val="000000"/>
                <w:lang w:eastAsia="ru-RU"/>
              </w:rPr>
              <w:br/>
              <w:t>5.14 Акционерный капитал, обращение ценных бумаг.</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Заказчики и</w:t>
            </w:r>
            <w:r>
              <w:rPr>
                <w:rFonts w:ascii="Times New Roman" w:eastAsia="Times New Roman" w:hAnsi="Times New Roman" w:cs="Times New Roman"/>
                <w:color w:val="000000"/>
                <w:lang w:eastAsia="ru-RU"/>
              </w:rPr>
              <w:br/>
              <w:t>потребители</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Обеспечение надежного и</w:t>
            </w:r>
            <w:r>
              <w:rPr>
                <w:rFonts w:ascii="Times New Roman" w:eastAsia="Times New Roman" w:hAnsi="Times New Roman" w:cs="Times New Roman"/>
                <w:color w:val="000000"/>
                <w:lang w:eastAsia="ru-RU"/>
              </w:rPr>
              <w:br/>
              <w:t>бесперебойного электроснабжения</w:t>
            </w:r>
            <w:r>
              <w:rPr>
                <w:rFonts w:ascii="Times New Roman" w:eastAsia="Times New Roman" w:hAnsi="Times New Roman" w:cs="Times New Roman"/>
                <w:color w:val="000000"/>
                <w:lang w:eastAsia="ru-RU"/>
              </w:rPr>
              <w:br/>
              <w:t>Инновационное развитие для</w:t>
            </w:r>
            <w:r>
              <w:rPr>
                <w:rFonts w:ascii="Times New Roman" w:eastAsia="Times New Roman" w:hAnsi="Times New Roman" w:cs="Times New Roman"/>
                <w:color w:val="000000"/>
                <w:lang w:eastAsia="ru-RU"/>
              </w:rPr>
              <w:br/>
              <w:t>повышения качества</w:t>
            </w:r>
            <w:r>
              <w:rPr>
                <w:rFonts w:ascii="Times New Roman" w:eastAsia="Times New Roman" w:hAnsi="Times New Roman" w:cs="Times New Roman"/>
                <w:color w:val="000000"/>
                <w:lang w:eastAsia="ru-RU"/>
              </w:rPr>
              <w:br/>
              <w:t>электроснабжения</w:t>
            </w:r>
            <w:r>
              <w:rPr>
                <w:rFonts w:ascii="Times New Roman" w:eastAsia="Times New Roman" w:hAnsi="Times New Roman" w:cs="Times New Roman"/>
                <w:color w:val="000000"/>
                <w:lang w:eastAsia="ru-RU"/>
              </w:rPr>
              <w:br/>
              <w:t>Своевременное и доступное</w:t>
            </w:r>
            <w:r>
              <w:rPr>
                <w:rFonts w:ascii="Times New Roman" w:eastAsia="Times New Roman" w:hAnsi="Times New Roman" w:cs="Times New Roman"/>
                <w:color w:val="000000"/>
                <w:lang w:eastAsia="ru-RU"/>
              </w:rPr>
              <w:br/>
              <w:t>технологическое присоединение</w:t>
            </w:r>
            <w:r>
              <w:rPr>
                <w:rFonts w:ascii="Times New Roman" w:eastAsia="Times New Roman" w:hAnsi="Times New Roman" w:cs="Times New Roman"/>
                <w:color w:val="000000"/>
                <w:lang w:eastAsia="ru-RU"/>
              </w:rPr>
              <w:br/>
              <w:t>Открытость и вариативность при</w:t>
            </w:r>
            <w:r>
              <w:rPr>
                <w:rFonts w:ascii="Times New Roman" w:eastAsia="Times New Roman" w:hAnsi="Times New Roman" w:cs="Times New Roman"/>
                <w:color w:val="000000"/>
                <w:lang w:eastAsia="ru-RU"/>
              </w:rPr>
              <w:br/>
              <w:t>работе с заказчиками/потребителями</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Модернизация электросетевого комплекса</w:t>
            </w:r>
            <w:r>
              <w:rPr>
                <w:rFonts w:ascii="Times New Roman" w:eastAsia="Times New Roman" w:hAnsi="Times New Roman" w:cs="Times New Roman"/>
                <w:color w:val="000000"/>
                <w:lang w:eastAsia="ru-RU"/>
              </w:rPr>
              <w:br/>
              <w:t>Установка интеллектуальных приборов учета</w:t>
            </w:r>
            <w:r>
              <w:rPr>
                <w:rFonts w:ascii="Times New Roman" w:eastAsia="Times New Roman" w:hAnsi="Times New Roman" w:cs="Times New Roman"/>
                <w:color w:val="000000"/>
                <w:lang w:eastAsia="ru-RU"/>
              </w:rPr>
              <w:br/>
              <w:t>Договоры на технологическое присоединение</w:t>
            </w:r>
            <w:r>
              <w:rPr>
                <w:rFonts w:ascii="Times New Roman" w:eastAsia="Times New Roman" w:hAnsi="Times New Roman" w:cs="Times New Roman"/>
                <w:color w:val="000000"/>
                <w:lang w:eastAsia="ru-RU"/>
              </w:rPr>
              <w:br/>
              <w:t>к электрическим сетям</w:t>
            </w:r>
            <w:r>
              <w:rPr>
                <w:rFonts w:ascii="Times New Roman" w:eastAsia="Times New Roman" w:hAnsi="Times New Roman" w:cs="Times New Roman"/>
                <w:color w:val="000000"/>
                <w:lang w:eastAsia="ru-RU"/>
              </w:rPr>
              <w:br/>
              <w:t>Система очного (офисы обслуживания) и заочного обслуживания потребителей (подача</w:t>
            </w:r>
            <w:r>
              <w:rPr>
                <w:rFonts w:ascii="Times New Roman" w:eastAsia="Times New Roman" w:hAnsi="Times New Roman" w:cs="Times New Roman"/>
                <w:color w:val="000000"/>
                <w:lang w:eastAsia="ru-RU"/>
              </w:rPr>
              <w:br/>
              <w:t>заявки по телефону или использование</w:t>
            </w:r>
            <w:r>
              <w:rPr>
                <w:rFonts w:ascii="Times New Roman" w:eastAsia="Times New Roman" w:hAnsi="Times New Roman" w:cs="Times New Roman"/>
                <w:color w:val="000000"/>
                <w:lang w:eastAsia="ru-RU"/>
              </w:rPr>
              <w:br/>
              <w:t>Интернет-сервисов)</w:t>
            </w:r>
            <w:r>
              <w:rPr>
                <w:rFonts w:ascii="Times New Roman" w:eastAsia="Times New Roman" w:hAnsi="Times New Roman" w:cs="Times New Roman"/>
                <w:color w:val="000000"/>
                <w:lang w:eastAsia="ru-RU"/>
              </w:rPr>
              <w:br/>
              <w:t>Опросы потребителей о степени</w:t>
            </w:r>
            <w:r>
              <w:rPr>
                <w:rFonts w:ascii="Times New Roman" w:eastAsia="Times New Roman" w:hAnsi="Times New Roman" w:cs="Times New Roman"/>
                <w:color w:val="000000"/>
                <w:lang w:eastAsia="ru-RU"/>
              </w:rPr>
              <w:br/>
              <w:t>удовлетворенности качеством обслуживания</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Исполнено 26 884 договора по технологическому присоединению.</w:t>
            </w:r>
            <w:r>
              <w:rPr>
                <w:rFonts w:ascii="Times New Roman" w:eastAsia="Times New Roman" w:hAnsi="Times New Roman" w:cs="Times New Roman"/>
                <w:color w:val="000000"/>
                <w:lang w:eastAsia="ru-RU"/>
              </w:rPr>
              <w:br/>
              <w:t>Подробная информация приведена в разделе</w:t>
            </w:r>
            <w:r>
              <w:rPr>
                <w:rFonts w:ascii="Times New Roman" w:eastAsia="Times New Roman" w:hAnsi="Times New Roman" w:cs="Times New Roman"/>
                <w:color w:val="000000"/>
                <w:lang w:eastAsia="ru-RU"/>
              </w:rPr>
              <w:br/>
              <w:t>3.1.4. Технологическое присоединение.</w:t>
            </w:r>
            <w:r>
              <w:rPr>
                <w:rFonts w:ascii="Times New Roman" w:eastAsia="Times New Roman" w:hAnsi="Times New Roman" w:cs="Times New Roman"/>
                <w:color w:val="000000"/>
                <w:lang w:eastAsia="ru-RU"/>
              </w:rPr>
              <w:br/>
            </w:r>
          </w:p>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В Контакт-центр поступило 740,9 тыс. обращения</w:t>
            </w:r>
            <w:r>
              <w:rPr>
                <w:rFonts w:ascii="Times New Roman" w:eastAsia="Times New Roman" w:hAnsi="Times New Roman" w:cs="Times New Roman"/>
                <w:color w:val="000000"/>
                <w:lang w:eastAsia="ru-RU"/>
              </w:rPr>
              <w:br/>
              <w:t>потребителей</w:t>
            </w:r>
            <w:r>
              <w:rPr>
                <w:rFonts w:ascii="Times New Roman" w:eastAsia="Times New Roman" w:hAnsi="Times New Roman" w:cs="Times New Roman"/>
                <w:color w:val="000000"/>
                <w:lang w:eastAsia="ru-RU"/>
              </w:rPr>
              <w:br/>
              <w:t>Работают 15 центров обслуживания потребителей и 177 пунктов по работе с потребителями</w:t>
            </w:r>
            <w:r>
              <w:rPr>
                <w:rFonts w:ascii="Times New Roman" w:eastAsia="Times New Roman" w:hAnsi="Times New Roman" w:cs="Times New Roman"/>
                <w:color w:val="000000"/>
                <w:lang w:eastAsia="ru-RU"/>
              </w:rPr>
              <w:br/>
              <w:t>Подробная информация приведена в разделе</w:t>
            </w:r>
            <w:r>
              <w:rPr>
                <w:rFonts w:ascii="Times New Roman" w:eastAsia="Times New Roman" w:hAnsi="Times New Roman" w:cs="Times New Roman"/>
                <w:color w:val="000000"/>
                <w:lang w:eastAsia="ru-RU"/>
              </w:rPr>
              <w:br/>
              <w:t>3.1.7. Взаимодействие с потребителями</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 xml:space="preserve">Топ-менеджмент </w:t>
            </w:r>
            <w:r>
              <w:rPr>
                <w:rFonts w:ascii="Times New Roman" w:eastAsia="Times New Roman" w:hAnsi="Times New Roman" w:cs="Times New Roman"/>
                <w:color w:val="000000"/>
                <w:lang w:eastAsia="ru-RU"/>
              </w:rPr>
              <w:br/>
              <w:t xml:space="preserve"> и персонал Общества </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Достижение стратегических целей и КПЭ</w:t>
            </w:r>
            <w:r>
              <w:rPr>
                <w:rFonts w:ascii="Times New Roman" w:eastAsia="Times New Roman" w:hAnsi="Times New Roman" w:cs="Times New Roman"/>
                <w:color w:val="000000"/>
                <w:lang w:eastAsia="ru-RU"/>
              </w:rPr>
              <w:br/>
              <w:t xml:space="preserve">Создание условий для </w:t>
            </w:r>
            <w:r>
              <w:rPr>
                <w:rFonts w:ascii="Times New Roman" w:eastAsia="Times New Roman" w:hAnsi="Times New Roman" w:cs="Times New Roman"/>
                <w:color w:val="000000"/>
                <w:lang w:eastAsia="ru-RU"/>
              </w:rPr>
              <w:lastRenderedPageBreak/>
              <w:t>профессионального роста</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lastRenderedPageBreak/>
              <w:t>Взаимодействие в рамках деятельности</w:t>
            </w:r>
            <w:r>
              <w:rPr>
                <w:rFonts w:ascii="Times New Roman" w:eastAsia="Times New Roman" w:hAnsi="Times New Roman" w:cs="Times New Roman"/>
                <w:color w:val="000000"/>
                <w:lang w:eastAsia="ru-RU"/>
              </w:rPr>
              <w:br/>
              <w:t>Общества</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 xml:space="preserve">Достижение приоритетных целей развития Общества оценивается применяемой в Обществе системой </w:t>
            </w:r>
            <w:r>
              <w:rPr>
                <w:rFonts w:ascii="Times New Roman" w:eastAsia="Times New Roman" w:hAnsi="Times New Roman" w:cs="Times New Roman"/>
                <w:color w:val="000000"/>
                <w:lang w:eastAsia="ru-RU"/>
              </w:rPr>
              <w:lastRenderedPageBreak/>
              <w:t>ключевых показателей эффективности (КПЭ).</w:t>
            </w:r>
            <w:r>
              <w:rPr>
                <w:rFonts w:ascii="Times New Roman" w:eastAsia="Times New Roman" w:hAnsi="Times New Roman" w:cs="Times New Roman"/>
                <w:color w:val="000000"/>
                <w:lang w:eastAsia="ru-RU"/>
              </w:rPr>
              <w:br/>
              <w:t>Подробная информация приведена в разделе 2.3. Ключевые показатели эффективности</w:t>
            </w:r>
            <w:r>
              <w:rPr>
                <w:rFonts w:ascii="Times New Roman" w:eastAsia="Times New Roman" w:hAnsi="Times New Roman" w:cs="Times New Roman"/>
                <w:color w:val="000000"/>
                <w:lang w:eastAsia="ru-RU"/>
              </w:rPr>
              <w:br/>
            </w:r>
          </w:p>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Подготовка управленческого кадрового резерва Общества.</w:t>
            </w:r>
            <w:r>
              <w:rPr>
                <w:rFonts w:ascii="Times New Roman" w:eastAsia="Times New Roman" w:hAnsi="Times New Roman" w:cs="Times New Roman"/>
                <w:color w:val="000000"/>
                <w:lang w:eastAsia="ru-RU"/>
              </w:rPr>
              <w:br/>
              <w:t>Обучение в соответствии с планами профессионального развития персонала на 2024 год.</w:t>
            </w:r>
            <w:r>
              <w:rPr>
                <w:rFonts w:ascii="Times New Roman" w:eastAsia="Times New Roman" w:hAnsi="Times New Roman" w:cs="Times New Roman"/>
                <w:color w:val="000000"/>
                <w:lang w:eastAsia="ru-RU"/>
              </w:rPr>
              <w:br/>
              <w:t>Подробная информация приведена в разделе 4.3. Управление персоналом</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lastRenderedPageBreak/>
              <w:t>Поставщики и</w:t>
            </w:r>
            <w:r>
              <w:rPr>
                <w:rFonts w:ascii="Times New Roman" w:eastAsia="Times New Roman" w:hAnsi="Times New Roman" w:cs="Times New Roman"/>
                <w:color w:val="000000"/>
                <w:lang w:eastAsia="ru-RU"/>
              </w:rPr>
              <w:br/>
              <w:t>подрядчики</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Создание прозрачной конкурентной</w:t>
            </w:r>
            <w:r>
              <w:rPr>
                <w:rFonts w:ascii="Times New Roman" w:eastAsia="Times New Roman" w:hAnsi="Times New Roman" w:cs="Times New Roman"/>
                <w:color w:val="000000"/>
                <w:lang w:eastAsia="ru-RU"/>
              </w:rPr>
              <w:br/>
              <w:t>среды</w:t>
            </w:r>
            <w:r>
              <w:rPr>
                <w:rFonts w:ascii="Times New Roman" w:eastAsia="Times New Roman" w:hAnsi="Times New Roman" w:cs="Times New Roman"/>
                <w:color w:val="000000"/>
                <w:lang w:eastAsia="ru-RU"/>
              </w:rPr>
              <w:br/>
              <w:t>Использование рыночного механизма</w:t>
            </w:r>
            <w:r>
              <w:rPr>
                <w:rFonts w:ascii="Times New Roman" w:eastAsia="Times New Roman" w:hAnsi="Times New Roman" w:cs="Times New Roman"/>
                <w:color w:val="000000"/>
                <w:lang w:eastAsia="ru-RU"/>
              </w:rPr>
              <w:br/>
              <w:t>ценообразования</w:t>
            </w:r>
            <w:r>
              <w:rPr>
                <w:rFonts w:ascii="Times New Roman" w:eastAsia="Times New Roman" w:hAnsi="Times New Roman" w:cs="Times New Roman"/>
                <w:color w:val="000000"/>
                <w:lang w:eastAsia="ru-RU"/>
              </w:rPr>
              <w:br/>
              <w:t>Соблюдение норм деловой этики при</w:t>
            </w:r>
            <w:r>
              <w:rPr>
                <w:rFonts w:ascii="Times New Roman" w:eastAsia="Times New Roman" w:hAnsi="Times New Roman" w:cs="Times New Roman"/>
                <w:color w:val="000000"/>
                <w:lang w:eastAsia="ru-RU"/>
              </w:rPr>
              <w:br/>
              <w:t>взаимодействии</w:t>
            </w:r>
            <w:r>
              <w:rPr>
                <w:rFonts w:ascii="Times New Roman" w:eastAsia="Times New Roman" w:hAnsi="Times New Roman" w:cs="Times New Roman"/>
                <w:color w:val="000000"/>
                <w:lang w:eastAsia="ru-RU"/>
              </w:rPr>
              <w:br/>
              <w:t>Противодействие коррупции</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Проведение конкурсных закупок</w:t>
            </w:r>
            <w:r>
              <w:rPr>
                <w:rFonts w:ascii="Times New Roman" w:eastAsia="Times New Roman" w:hAnsi="Times New Roman" w:cs="Times New Roman"/>
                <w:color w:val="000000"/>
                <w:lang w:eastAsia="ru-RU"/>
              </w:rPr>
              <w:br/>
              <w:t>Подписание соглашений с российскими и</w:t>
            </w:r>
            <w:r>
              <w:rPr>
                <w:rFonts w:ascii="Times New Roman" w:eastAsia="Times New Roman" w:hAnsi="Times New Roman" w:cs="Times New Roman"/>
                <w:color w:val="000000"/>
                <w:lang w:eastAsia="ru-RU"/>
              </w:rPr>
              <w:br/>
              <w:t>зарубежными производителями</w:t>
            </w:r>
            <w:r>
              <w:rPr>
                <w:rFonts w:ascii="Times New Roman" w:eastAsia="Times New Roman" w:hAnsi="Times New Roman" w:cs="Times New Roman"/>
                <w:color w:val="000000"/>
                <w:lang w:eastAsia="ru-RU"/>
              </w:rPr>
              <w:br/>
              <w:t>Поддержка субъектов МСП</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В 2024 году Компанией проведена 1 689 закупочных</w:t>
            </w:r>
            <w:r>
              <w:rPr>
                <w:rFonts w:ascii="Times New Roman" w:eastAsia="Times New Roman" w:hAnsi="Times New Roman" w:cs="Times New Roman"/>
                <w:color w:val="000000"/>
                <w:lang w:eastAsia="ru-RU"/>
              </w:rPr>
              <w:br/>
              <w:t>процедур на общую стоимость 80,3 млрд руб.</w:t>
            </w:r>
          </w:p>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Подробная информация приведена в разделе 4.10. Закупочная деятельность</w:t>
            </w:r>
          </w:p>
        </w:tc>
      </w:tr>
      <w:tr w:rsidR="00D602D4">
        <w:trPr>
          <w:trHeight w:val="1417"/>
        </w:trPr>
        <w:tc>
          <w:tcPr>
            <w:tcW w:w="2047" w:type="dxa"/>
            <w:tcBorders>
              <w:top w:val="none" w:sz="4" w:space="0" w:color="000000"/>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Профессиональные</w:t>
            </w:r>
            <w:r>
              <w:rPr>
                <w:rFonts w:ascii="Times New Roman" w:eastAsia="Times New Roman" w:hAnsi="Times New Roman" w:cs="Times New Roman"/>
                <w:color w:val="000000"/>
                <w:lang w:eastAsia="ru-RU"/>
              </w:rPr>
              <w:br/>
              <w:t>ассоциации и</w:t>
            </w:r>
            <w:r>
              <w:rPr>
                <w:rFonts w:ascii="Times New Roman" w:eastAsia="Times New Roman" w:hAnsi="Times New Roman" w:cs="Times New Roman"/>
                <w:color w:val="000000"/>
                <w:lang w:eastAsia="ru-RU"/>
              </w:rPr>
              <w:br/>
              <w:t>отраслевые</w:t>
            </w:r>
            <w:r>
              <w:rPr>
                <w:rFonts w:ascii="Times New Roman" w:eastAsia="Times New Roman" w:hAnsi="Times New Roman" w:cs="Times New Roman"/>
                <w:color w:val="000000"/>
                <w:lang w:eastAsia="ru-RU"/>
              </w:rPr>
              <w:br/>
              <w:t>организации</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Получение информации о</w:t>
            </w:r>
            <w:r>
              <w:rPr>
                <w:rFonts w:ascii="Times New Roman" w:eastAsia="Times New Roman" w:hAnsi="Times New Roman" w:cs="Times New Roman"/>
                <w:color w:val="000000"/>
                <w:lang w:eastAsia="ru-RU"/>
              </w:rPr>
              <w:br/>
              <w:t>перспективах развития Общества</w:t>
            </w:r>
            <w:r>
              <w:rPr>
                <w:rFonts w:ascii="Times New Roman" w:eastAsia="Times New Roman" w:hAnsi="Times New Roman" w:cs="Times New Roman"/>
                <w:color w:val="000000"/>
                <w:lang w:eastAsia="ru-RU"/>
              </w:rPr>
              <w:br/>
              <w:t>Сотрудничество</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Проведение регулярных встреч</w:t>
            </w:r>
            <w:r>
              <w:rPr>
                <w:rFonts w:ascii="Times New Roman" w:eastAsia="Times New Roman" w:hAnsi="Times New Roman" w:cs="Times New Roman"/>
                <w:color w:val="000000"/>
                <w:lang w:eastAsia="ru-RU"/>
              </w:rPr>
              <w:br/>
              <w:t xml:space="preserve">Раскрытие информации на </w:t>
            </w:r>
            <w:r>
              <w:rPr>
                <w:rFonts w:ascii="Times New Roman" w:eastAsia="Times New Roman" w:hAnsi="Times New Roman" w:cs="Times New Roman"/>
                <w:color w:val="000000"/>
                <w:lang w:eastAsia="ru-RU"/>
              </w:rPr>
              <w:br/>
              <w:t>сайте Общества.</w:t>
            </w:r>
            <w:r>
              <w:rPr>
                <w:rFonts w:ascii="Times New Roman" w:eastAsia="Times New Roman" w:hAnsi="Times New Roman" w:cs="Times New Roman"/>
                <w:color w:val="000000"/>
                <w:lang w:eastAsia="ru-RU"/>
              </w:rPr>
              <w:br/>
              <w:t>Взаимодействие в рамках деловых сообществ</w:t>
            </w:r>
            <w:r>
              <w:rPr>
                <w:rFonts w:ascii="Times New Roman" w:eastAsia="Times New Roman" w:hAnsi="Times New Roman" w:cs="Times New Roman"/>
                <w:color w:val="000000"/>
                <w:lang w:eastAsia="ru-RU"/>
              </w:rPr>
              <w:br/>
              <w:t>регионов присутствия</w:t>
            </w:r>
            <w:r>
              <w:rPr>
                <w:rFonts w:ascii="Times New Roman" w:eastAsia="Times New Roman" w:hAnsi="Times New Roman" w:cs="Times New Roman"/>
                <w:color w:val="000000"/>
                <w:lang w:eastAsia="ru-RU"/>
              </w:rPr>
              <w:br/>
              <w:t>Участие в совместных встречах, форумах,</w:t>
            </w:r>
            <w:r>
              <w:rPr>
                <w:rFonts w:ascii="Times New Roman" w:eastAsia="Times New Roman" w:hAnsi="Times New Roman" w:cs="Times New Roman"/>
                <w:color w:val="000000"/>
                <w:lang w:eastAsia="ru-RU"/>
              </w:rPr>
              <w:br/>
              <w:t>выставках, конференциях</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Участие в онлайн форумах, конференциях. Раскрытие актуальной информации на сайте и на страницах в социальных сетях</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Органы</w:t>
            </w:r>
            <w:r>
              <w:rPr>
                <w:rFonts w:ascii="Times New Roman" w:eastAsia="Times New Roman" w:hAnsi="Times New Roman" w:cs="Times New Roman"/>
                <w:color w:val="000000"/>
                <w:lang w:eastAsia="ru-RU"/>
              </w:rPr>
              <w:br/>
              <w:t>государственной</w:t>
            </w:r>
            <w:r>
              <w:rPr>
                <w:rFonts w:ascii="Times New Roman" w:eastAsia="Times New Roman" w:hAnsi="Times New Roman" w:cs="Times New Roman"/>
                <w:color w:val="000000"/>
                <w:lang w:eastAsia="ru-RU"/>
              </w:rPr>
              <w:br/>
              <w:t>власти</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Обеспечение надежного и</w:t>
            </w:r>
            <w:r>
              <w:rPr>
                <w:rFonts w:ascii="Times New Roman" w:eastAsia="Times New Roman" w:hAnsi="Times New Roman" w:cs="Times New Roman"/>
                <w:color w:val="000000"/>
                <w:lang w:eastAsia="ru-RU"/>
              </w:rPr>
              <w:br/>
              <w:t>бесперебойного электроснабжения</w:t>
            </w:r>
            <w:r>
              <w:rPr>
                <w:rFonts w:ascii="Times New Roman" w:eastAsia="Times New Roman" w:hAnsi="Times New Roman" w:cs="Times New Roman"/>
                <w:color w:val="000000"/>
                <w:lang w:eastAsia="ru-RU"/>
              </w:rPr>
              <w:br/>
              <w:t>Поддержка отечественного</w:t>
            </w:r>
            <w:r>
              <w:rPr>
                <w:rFonts w:ascii="Times New Roman" w:eastAsia="Times New Roman" w:hAnsi="Times New Roman" w:cs="Times New Roman"/>
                <w:color w:val="000000"/>
                <w:lang w:eastAsia="ru-RU"/>
              </w:rPr>
              <w:br/>
              <w:t>энергомашиностроения и импортозамещения</w:t>
            </w:r>
            <w:r>
              <w:rPr>
                <w:rFonts w:ascii="Times New Roman" w:eastAsia="Times New Roman" w:hAnsi="Times New Roman" w:cs="Times New Roman"/>
                <w:color w:val="000000"/>
                <w:lang w:eastAsia="ru-RU"/>
              </w:rPr>
              <w:br/>
              <w:t>Участие в реализации</w:t>
            </w:r>
            <w:r>
              <w:rPr>
                <w:rFonts w:ascii="Times New Roman" w:eastAsia="Times New Roman" w:hAnsi="Times New Roman" w:cs="Times New Roman"/>
                <w:color w:val="000000"/>
                <w:lang w:eastAsia="ru-RU"/>
              </w:rPr>
              <w:br/>
              <w:t>государственных проектов</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Исполнение обязательств в рамках</w:t>
            </w:r>
            <w:r>
              <w:rPr>
                <w:rFonts w:ascii="Times New Roman" w:eastAsia="Times New Roman" w:hAnsi="Times New Roman" w:cs="Times New Roman"/>
                <w:color w:val="000000"/>
                <w:lang w:eastAsia="ru-RU"/>
              </w:rPr>
              <w:br/>
              <w:t>инвестиционной политики</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Исполнено 79 договоров по технологическому присоединению социально-значимых объектов.</w:t>
            </w:r>
            <w:r>
              <w:rPr>
                <w:rFonts w:ascii="Times New Roman" w:eastAsia="Times New Roman" w:hAnsi="Times New Roman" w:cs="Times New Roman"/>
                <w:color w:val="000000"/>
                <w:lang w:eastAsia="ru-RU"/>
              </w:rPr>
              <w:br/>
              <w:t>Подробная информация приведена в разделе</w:t>
            </w:r>
            <w:r>
              <w:rPr>
                <w:rFonts w:ascii="Times New Roman" w:eastAsia="Times New Roman" w:hAnsi="Times New Roman" w:cs="Times New Roman"/>
                <w:color w:val="000000"/>
                <w:lang w:eastAsia="ru-RU"/>
              </w:rPr>
              <w:br/>
              <w:t>3.1.4. Технологическое присоединение.</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lastRenderedPageBreak/>
              <w:t>Органы местного</w:t>
            </w:r>
            <w:r>
              <w:rPr>
                <w:rFonts w:ascii="Times New Roman" w:eastAsia="Times New Roman" w:hAnsi="Times New Roman" w:cs="Times New Roman"/>
                <w:color w:val="000000"/>
                <w:lang w:eastAsia="ru-RU"/>
              </w:rPr>
              <w:br/>
              <w:t>самоуправления</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Развитие инфраструктуры</w:t>
            </w:r>
            <w:r>
              <w:rPr>
                <w:rFonts w:ascii="Times New Roman" w:eastAsia="Times New Roman" w:hAnsi="Times New Roman" w:cs="Times New Roman"/>
                <w:color w:val="000000"/>
                <w:lang w:eastAsia="ru-RU"/>
              </w:rPr>
              <w:br/>
              <w:t>Участие в социальных программах и</w:t>
            </w:r>
            <w:r>
              <w:rPr>
                <w:rFonts w:ascii="Times New Roman" w:eastAsia="Times New Roman" w:hAnsi="Times New Roman" w:cs="Times New Roman"/>
                <w:color w:val="000000"/>
                <w:lang w:eastAsia="ru-RU"/>
              </w:rPr>
              <w:br/>
              <w:t>благотворительность</w:t>
            </w:r>
            <w:r>
              <w:rPr>
                <w:rFonts w:ascii="Times New Roman" w:eastAsia="Times New Roman" w:hAnsi="Times New Roman" w:cs="Times New Roman"/>
                <w:color w:val="000000"/>
                <w:lang w:eastAsia="ru-RU"/>
              </w:rPr>
              <w:br/>
              <w:t>Налоговые отчисления</w:t>
            </w:r>
            <w:r>
              <w:rPr>
                <w:rFonts w:ascii="Times New Roman" w:eastAsia="Times New Roman" w:hAnsi="Times New Roman" w:cs="Times New Roman"/>
                <w:color w:val="000000"/>
                <w:lang w:eastAsia="ru-RU"/>
              </w:rPr>
              <w:br/>
              <w:t>Создание рабочих мест</w:t>
            </w:r>
            <w:r>
              <w:rPr>
                <w:rFonts w:ascii="Times New Roman" w:eastAsia="Times New Roman" w:hAnsi="Times New Roman" w:cs="Times New Roman"/>
                <w:color w:val="000000"/>
                <w:lang w:eastAsia="ru-RU"/>
              </w:rPr>
              <w:br/>
              <w:t>Получение информации о</w:t>
            </w:r>
            <w:r>
              <w:rPr>
                <w:rFonts w:ascii="Times New Roman" w:eastAsia="Times New Roman" w:hAnsi="Times New Roman" w:cs="Times New Roman"/>
                <w:color w:val="000000"/>
                <w:lang w:eastAsia="ru-RU"/>
              </w:rPr>
              <w:br/>
              <w:t>перспективах развития Общества</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Соглашения о сотрудничестве</w:t>
            </w:r>
            <w:r>
              <w:rPr>
                <w:rFonts w:ascii="Times New Roman" w:eastAsia="Times New Roman" w:hAnsi="Times New Roman" w:cs="Times New Roman"/>
                <w:color w:val="000000"/>
                <w:lang w:eastAsia="ru-RU"/>
              </w:rPr>
              <w:br/>
              <w:t>Социальные и благотворительные программы</w:t>
            </w:r>
            <w:r>
              <w:rPr>
                <w:rFonts w:ascii="Times New Roman" w:eastAsia="Times New Roman" w:hAnsi="Times New Roman" w:cs="Times New Roman"/>
                <w:color w:val="000000"/>
                <w:lang w:eastAsia="ru-RU"/>
              </w:rPr>
              <w:br/>
              <w:t>Публичная отчетность</w:t>
            </w:r>
            <w:r>
              <w:rPr>
                <w:rFonts w:ascii="Times New Roman" w:eastAsia="Times New Roman" w:hAnsi="Times New Roman" w:cs="Times New Roman"/>
                <w:color w:val="000000"/>
                <w:lang w:eastAsia="ru-RU"/>
              </w:rPr>
              <w:br/>
              <w:t>Проведение профилактических мероприятий</w:t>
            </w:r>
            <w:r>
              <w:rPr>
                <w:rFonts w:ascii="Times New Roman" w:eastAsia="Times New Roman" w:hAnsi="Times New Roman" w:cs="Times New Roman"/>
                <w:color w:val="000000"/>
                <w:lang w:eastAsia="ru-RU"/>
              </w:rPr>
              <w:br/>
              <w:t>для безопасности населения</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Исполнено 79 договоров по технологическому присоединению социально-значимых объектов.</w:t>
            </w:r>
            <w:r>
              <w:rPr>
                <w:rFonts w:ascii="Times New Roman" w:eastAsia="Times New Roman" w:hAnsi="Times New Roman" w:cs="Times New Roman"/>
                <w:color w:val="000000"/>
                <w:lang w:eastAsia="ru-RU"/>
              </w:rPr>
              <w:br/>
              <w:t>Подробная информация приведена в разделе</w:t>
            </w:r>
            <w:r>
              <w:rPr>
                <w:rFonts w:ascii="Times New Roman" w:eastAsia="Times New Roman" w:hAnsi="Times New Roman" w:cs="Times New Roman"/>
                <w:color w:val="000000"/>
                <w:lang w:eastAsia="ru-RU"/>
              </w:rPr>
              <w:br/>
              <w:t>3.1.4. Технологическое присоединение.</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Местные</w:t>
            </w:r>
            <w:r>
              <w:rPr>
                <w:rFonts w:ascii="Times New Roman" w:eastAsia="Times New Roman" w:hAnsi="Times New Roman" w:cs="Times New Roman"/>
                <w:color w:val="000000"/>
                <w:lang w:eastAsia="ru-RU"/>
              </w:rPr>
              <w:br/>
              <w:t>сообщества и</w:t>
            </w:r>
            <w:r>
              <w:rPr>
                <w:rFonts w:ascii="Times New Roman" w:eastAsia="Times New Roman" w:hAnsi="Times New Roman" w:cs="Times New Roman"/>
                <w:color w:val="000000"/>
                <w:lang w:eastAsia="ru-RU"/>
              </w:rPr>
              <w:br/>
              <w:t>население регионов</w:t>
            </w:r>
            <w:r>
              <w:rPr>
                <w:rFonts w:ascii="Times New Roman" w:eastAsia="Times New Roman" w:hAnsi="Times New Roman" w:cs="Times New Roman"/>
                <w:color w:val="000000"/>
                <w:lang w:eastAsia="ru-RU"/>
              </w:rPr>
              <w:br/>
              <w:t>присутствия</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Развитие социальной инфраструктуры</w:t>
            </w:r>
            <w:r>
              <w:rPr>
                <w:rFonts w:ascii="Times New Roman" w:eastAsia="Times New Roman" w:hAnsi="Times New Roman" w:cs="Times New Roman"/>
                <w:color w:val="000000"/>
                <w:lang w:eastAsia="ru-RU"/>
              </w:rPr>
              <w:br/>
              <w:t>Создание рабочих мест</w:t>
            </w:r>
            <w:r>
              <w:rPr>
                <w:rFonts w:ascii="Times New Roman" w:eastAsia="Times New Roman" w:hAnsi="Times New Roman" w:cs="Times New Roman"/>
                <w:color w:val="000000"/>
                <w:lang w:eastAsia="ru-RU"/>
              </w:rPr>
              <w:br/>
              <w:t>Реализация социальных программ и</w:t>
            </w:r>
            <w:r>
              <w:rPr>
                <w:rFonts w:ascii="Times New Roman" w:eastAsia="Times New Roman" w:hAnsi="Times New Roman" w:cs="Times New Roman"/>
                <w:color w:val="000000"/>
                <w:lang w:eastAsia="ru-RU"/>
              </w:rPr>
              <w:br/>
              <w:t>благотворительность</w:t>
            </w:r>
            <w:r>
              <w:rPr>
                <w:rFonts w:ascii="Times New Roman" w:eastAsia="Times New Roman" w:hAnsi="Times New Roman" w:cs="Times New Roman"/>
                <w:color w:val="000000"/>
                <w:lang w:eastAsia="ru-RU"/>
              </w:rPr>
              <w:br/>
              <w:t>Минимизация негативного</w:t>
            </w:r>
            <w:r>
              <w:rPr>
                <w:rFonts w:ascii="Times New Roman" w:eastAsia="Times New Roman" w:hAnsi="Times New Roman" w:cs="Times New Roman"/>
                <w:color w:val="000000"/>
                <w:lang w:eastAsia="ru-RU"/>
              </w:rPr>
              <w:br/>
              <w:t>воздействия на население и</w:t>
            </w:r>
            <w:r>
              <w:rPr>
                <w:rFonts w:ascii="Times New Roman" w:eastAsia="Times New Roman" w:hAnsi="Times New Roman" w:cs="Times New Roman"/>
                <w:color w:val="000000"/>
                <w:lang w:eastAsia="ru-RU"/>
              </w:rPr>
              <w:br/>
              <w:t>окружающую среду</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Публикации в СМИ о технологическом</w:t>
            </w:r>
            <w:r>
              <w:rPr>
                <w:rFonts w:ascii="Times New Roman" w:eastAsia="Times New Roman" w:hAnsi="Times New Roman" w:cs="Times New Roman"/>
                <w:color w:val="000000"/>
                <w:lang w:eastAsia="ru-RU"/>
              </w:rPr>
              <w:br/>
              <w:t>присоединении, о работе энергетиков, о</w:t>
            </w:r>
            <w:r>
              <w:rPr>
                <w:rFonts w:ascii="Times New Roman" w:eastAsia="Times New Roman" w:hAnsi="Times New Roman" w:cs="Times New Roman"/>
                <w:color w:val="000000"/>
                <w:lang w:eastAsia="ru-RU"/>
              </w:rPr>
              <w:br/>
              <w:t>важных изменениях в действующем</w:t>
            </w:r>
            <w:r>
              <w:rPr>
                <w:rFonts w:ascii="Times New Roman" w:eastAsia="Times New Roman" w:hAnsi="Times New Roman" w:cs="Times New Roman"/>
                <w:color w:val="000000"/>
                <w:lang w:eastAsia="ru-RU"/>
              </w:rPr>
              <w:br/>
              <w:t>законодательстве в сфере электроэнергетики</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Размещение более 2,9 тыс. сообщений в социальных сетях</w:t>
            </w:r>
            <w:r>
              <w:rPr>
                <w:rFonts w:ascii="Times New Roman" w:eastAsia="Times New Roman" w:hAnsi="Times New Roman" w:cs="Times New Roman"/>
                <w:color w:val="000000"/>
                <w:lang w:eastAsia="ru-RU"/>
              </w:rPr>
              <w:br/>
              <w:t>В региональных и федеральных СМИ вышло 53,0 тыс. публикаций.</w:t>
            </w:r>
          </w:p>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Подробная информация приведена в разделе</w:t>
            </w:r>
            <w:r>
              <w:rPr>
                <w:rFonts w:ascii="Times New Roman" w:eastAsia="Times New Roman" w:hAnsi="Times New Roman" w:cs="Times New Roman"/>
                <w:color w:val="000000"/>
                <w:lang w:eastAsia="ru-RU"/>
              </w:rPr>
              <w:br/>
              <w:t>4.12. Раскрытие информации</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Общественные и</w:t>
            </w:r>
            <w:r>
              <w:rPr>
                <w:rFonts w:ascii="Times New Roman" w:eastAsia="Times New Roman" w:hAnsi="Times New Roman" w:cs="Times New Roman"/>
                <w:color w:val="000000"/>
                <w:lang w:eastAsia="ru-RU"/>
              </w:rPr>
              <w:br/>
              <w:t>экологические</w:t>
            </w:r>
            <w:r>
              <w:rPr>
                <w:rFonts w:ascii="Times New Roman" w:eastAsia="Times New Roman" w:hAnsi="Times New Roman" w:cs="Times New Roman"/>
                <w:color w:val="000000"/>
                <w:lang w:eastAsia="ru-RU"/>
              </w:rPr>
              <w:br/>
              <w:t>организации</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Соблюдение установленных</w:t>
            </w:r>
            <w:r>
              <w:rPr>
                <w:rFonts w:ascii="Times New Roman" w:eastAsia="Times New Roman" w:hAnsi="Times New Roman" w:cs="Times New Roman"/>
                <w:color w:val="000000"/>
                <w:lang w:eastAsia="ru-RU"/>
              </w:rPr>
              <w:br/>
              <w:t>требований природоохранного</w:t>
            </w:r>
            <w:r>
              <w:rPr>
                <w:rFonts w:ascii="Times New Roman" w:eastAsia="Times New Roman" w:hAnsi="Times New Roman" w:cs="Times New Roman"/>
                <w:color w:val="000000"/>
                <w:lang w:eastAsia="ru-RU"/>
              </w:rPr>
              <w:br/>
              <w:t>законодательства</w:t>
            </w:r>
            <w:r>
              <w:rPr>
                <w:rFonts w:ascii="Times New Roman" w:eastAsia="Times New Roman" w:hAnsi="Times New Roman" w:cs="Times New Roman"/>
                <w:color w:val="000000"/>
                <w:lang w:eastAsia="ru-RU"/>
              </w:rPr>
              <w:br/>
              <w:t>Соблюдение установленных</w:t>
            </w:r>
            <w:r>
              <w:rPr>
                <w:rFonts w:ascii="Times New Roman" w:eastAsia="Times New Roman" w:hAnsi="Times New Roman" w:cs="Times New Roman"/>
                <w:color w:val="000000"/>
                <w:lang w:eastAsia="ru-RU"/>
              </w:rPr>
              <w:br/>
              <w:t>нормативов воздействия на</w:t>
            </w:r>
            <w:r>
              <w:rPr>
                <w:rFonts w:ascii="Times New Roman" w:eastAsia="Times New Roman" w:hAnsi="Times New Roman" w:cs="Times New Roman"/>
                <w:color w:val="000000"/>
                <w:lang w:eastAsia="ru-RU"/>
              </w:rPr>
              <w:br/>
              <w:t>окружающую среду</w:t>
            </w:r>
            <w:r>
              <w:rPr>
                <w:rFonts w:ascii="Times New Roman" w:eastAsia="Times New Roman" w:hAnsi="Times New Roman" w:cs="Times New Roman"/>
                <w:color w:val="000000"/>
                <w:lang w:eastAsia="ru-RU"/>
              </w:rPr>
              <w:br/>
              <w:t>Снижение техногенного воздействия</w:t>
            </w:r>
            <w:r>
              <w:rPr>
                <w:rFonts w:ascii="Times New Roman" w:eastAsia="Times New Roman" w:hAnsi="Times New Roman" w:cs="Times New Roman"/>
                <w:color w:val="000000"/>
                <w:lang w:eastAsia="ru-RU"/>
              </w:rPr>
              <w:br/>
              <w:t>на окружающую среду</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Консультации, разъяснения</w:t>
            </w:r>
            <w:r>
              <w:rPr>
                <w:rFonts w:ascii="Times New Roman" w:eastAsia="Times New Roman" w:hAnsi="Times New Roman" w:cs="Times New Roman"/>
                <w:color w:val="000000"/>
                <w:lang w:eastAsia="ru-RU"/>
              </w:rPr>
              <w:br/>
              <w:t>Общественные слушания</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Затраты на охрану окружающей среды</w:t>
            </w:r>
            <w:r>
              <w:rPr>
                <w:rFonts w:ascii="Times New Roman" w:eastAsia="Times New Roman" w:hAnsi="Times New Roman" w:cs="Times New Roman"/>
                <w:color w:val="000000"/>
                <w:lang w:eastAsia="ru-RU"/>
              </w:rPr>
              <w:br/>
              <w:t>составили 30,6 млн руб.</w:t>
            </w:r>
          </w:p>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Подробная информация приведена в разделе</w:t>
            </w:r>
            <w:r>
              <w:rPr>
                <w:rFonts w:ascii="Times New Roman" w:eastAsia="Times New Roman" w:hAnsi="Times New Roman" w:cs="Times New Roman"/>
                <w:color w:val="000000"/>
                <w:lang w:eastAsia="ru-RU"/>
              </w:rPr>
              <w:br/>
              <w:t>4.6. Охрана окружающей среды</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СМИ</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Транспарентность бизнес-процессов</w:t>
            </w:r>
            <w:r>
              <w:rPr>
                <w:rFonts w:ascii="Times New Roman" w:eastAsia="Times New Roman" w:hAnsi="Times New Roman" w:cs="Times New Roman"/>
                <w:color w:val="000000"/>
                <w:lang w:eastAsia="ru-RU"/>
              </w:rPr>
              <w:br/>
              <w:t>Обеспечение оперативного доступа к</w:t>
            </w:r>
            <w:r>
              <w:rPr>
                <w:rFonts w:ascii="Times New Roman" w:eastAsia="Times New Roman" w:hAnsi="Times New Roman" w:cs="Times New Roman"/>
                <w:color w:val="000000"/>
                <w:lang w:eastAsia="ru-RU"/>
              </w:rPr>
              <w:br/>
              <w:t>информации о деятельности</w:t>
            </w:r>
            <w:r>
              <w:rPr>
                <w:rFonts w:ascii="Times New Roman" w:eastAsia="Times New Roman" w:hAnsi="Times New Roman" w:cs="Times New Roman"/>
                <w:color w:val="000000"/>
                <w:lang w:eastAsia="ru-RU"/>
              </w:rPr>
              <w:br/>
              <w:t>Компании</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Проведение пресс-мероприятий</w:t>
            </w:r>
            <w:r>
              <w:rPr>
                <w:rFonts w:ascii="Times New Roman" w:eastAsia="Times New Roman" w:hAnsi="Times New Roman" w:cs="Times New Roman"/>
                <w:color w:val="000000"/>
                <w:lang w:eastAsia="ru-RU"/>
              </w:rPr>
              <w:br/>
              <w:t>Оперативное распространение</w:t>
            </w:r>
            <w:r>
              <w:rPr>
                <w:rFonts w:ascii="Times New Roman" w:eastAsia="Times New Roman" w:hAnsi="Times New Roman" w:cs="Times New Roman"/>
                <w:color w:val="000000"/>
                <w:lang w:eastAsia="ru-RU"/>
              </w:rPr>
              <w:br/>
              <w:t>информационных сообщений</w:t>
            </w:r>
            <w:r>
              <w:rPr>
                <w:rFonts w:ascii="Times New Roman" w:eastAsia="Times New Roman" w:hAnsi="Times New Roman" w:cs="Times New Roman"/>
                <w:color w:val="000000"/>
                <w:lang w:eastAsia="ru-RU"/>
              </w:rPr>
              <w:br/>
              <w:t>Работа с обращениями и запросами СМИ</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Размещение более 2,9 тыс. сообщений в социальных сетях</w:t>
            </w:r>
            <w:r>
              <w:rPr>
                <w:rFonts w:ascii="Times New Roman" w:eastAsia="Times New Roman" w:hAnsi="Times New Roman" w:cs="Times New Roman"/>
                <w:color w:val="000000"/>
                <w:lang w:eastAsia="ru-RU"/>
              </w:rPr>
              <w:br/>
              <w:t>В региональных и федеральных СМИ вышло 53,0 тыс. публикаций.</w:t>
            </w:r>
          </w:p>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Подробная информация приведена в разделе</w:t>
            </w:r>
            <w:r>
              <w:rPr>
                <w:rFonts w:ascii="Times New Roman" w:eastAsia="Times New Roman" w:hAnsi="Times New Roman" w:cs="Times New Roman"/>
                <w:color w:val="000000"/>
                <w:lang w:eastAsia="ru-RU"/>
              </w:rPr>
              <w:br/>
              <w:t>4.12. Раскрытие информации</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Образовательные</w:t>
            </w:r>
            <w:r>
              <w:rPr>
                <w:rFonts w:ascii="Times New Roman" w:eastAsia="Times New Roman" w:hAnsi="Times New Roman" w:cs="Times New Roman"/>
                <w:color w:val="000000"/>
                <w:lang w:eastAsia="ru-RU"/>
              </w:rPr>
              <w:br/>
              <w:t>учреждения</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Содействие развитию отраслевого</w:t>
            </w:r>
            <w:r>
              <w:rPr>
                <w:rFonts w:ascii="Times New Roman" w:eastAsia="Times New Roman" w:hAnsi="Times New Roman" w:cs="Times New Roman"/>
                <w:color w:val="000000"/>
                <w:lang w:eastAsia="ru-RU"/>
              </w:rPr>
              <w:br/>
              <w:t>образования</w:t>
            </w:r>
            <w:r>
              <w:rPr>
                <w:rFonts w:ascii="Times New Roman" w:eastAsia="Times New Roman" w:hAnsi="Times New Roman" w:cs="Times New Roman"/>
                <w:color w:val="000000"/>
                <w:lang w:eastAsia="ru-RU"/>
              </w:rPr>
              <w:br/>
            </w:r>
            <w:r>
              <w:rPr>
                <w:rFonts w:ascii="Times New Roman" w:eastAsia="Times New Roman" w:hAnsi="Times New Roman" w:cs="Times New Roman"/>
                <w:color w:val="000000"/>
                <w:lang w:eastAsia="ru-RU"/>
              </w:rPr>
              <w:lastRenderedPageBreak/>
              <w:t>Подготовка перспективных кадров и</w:t>
            </w:r>
            <w:r>
              <w:rPr>
                <w:rFonts w:ascii="Times New Roman" w:eastAsia="Times New Roman" w:hAnsi="Times New Roman" w:cs="Times New Roman"/>
                <w:color w:val="000000"/>
                <w:lang w:eastAsia="ru-RU"/>
              </w:rPr>
              <w:br/>
              <w:t>обеспечение преемственности</w:t>
            </w:r>
            <w:r>
              <w:rPr>
                <w:rFonts w:ascii="Times New Roman" w:eastAsia="Times New Roman" w:hAnsi="Times New Roman" w:cs="Times New Roman"/>
                <w:color w:val="000000"/>
                <w:lang w:eastAsia="ru-RU"/>
              </w:rPr>
              <w:br/>
              <w:t>поколений</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lastRenderedPageBreak/>
              <w:t>Подписание соглашений с вузами</w:t>
            </w:r>
            <w:r>
              <w:rPr>
                <w:rFonts w:ascii="Times New Roman" w:eastAsia="Times New Roman" w:hAnsi="Times New Roman" w:cs="Times New Roman"/>
                <w:color w:val="000000"/>
                <w:lang w:eastAsia="ru-RU"/>
              </w:rPr>
              <w:br/>
              <w:t xml:space="preserve">Организация </w:t>
            </w:r>
            <w:r>
              <w:rPr>
                <w:rFonts w:ascii="Times New Roman" w:eastAsia="Times New Roman" w:hAnsi="Times New Roman" w:cs="Times New Roman"/>
                <w:color w:val="000000"/>
                <w:lang w:eastAsia="ru-RU"/>
              </w:rPr>
              <w:lastRenderedPageBreak/>
              <w:t>студенческих отрядов</w:t>
            </w:r>
            <w:r>
              <w:rPr>
                <w:rFonts w:ascii="Times New Roman" w:eastAsia="Times New Roman" w:hAnsi="Times New Roman" w:cs="Times New Roman"/>
                <w:color w:val="000000"/>
                <w:lang w:eastAsia="ru-RU"/>
              </w:rPr>
              <w:br/>
              <w:t>Программы по подготовке молодых</w:t>
            </w:r>
            <w:r>
              <w:rPr>
                <w:rFonts w:ascii="Times New Roman" w:eastAsia="Times New Roman" w:hAnsi="Times New Roman" w:cs="Times New Roman"/>
                <w:color w:val="000000"/>
                <w:lang w:eastAsia="ru-RU"/>
              </w:rPr>
              <w:br/>
              <w:t>специалистов</w:t>
            </w:r>
            <w:r>
              <w:rPr>
                <w:rFonts w:ascii="Times New Roman" w:eastAsia="Times New Roman" w:hAnsi="Times New Roman" w:cs="Times New Roman"/>
                <w:color w:val="000000"/>
                <w:lang w:eastAsia="ru-RU"/>
              </w:rPr>
              <w:br/>
              <w:t>Создание кадрового резерва</w:t>
            </w:r>
            <w:r>
              <w:rPr>
                <w:rFonts w:ascii="Times New Roman" w:eastAsia="Times New Roman" w:hAnsi="Times New Roman" w:cs="Times New Roman"/>
                <w:color w:val="000000"/>
                <w:lang w:eastAsia="ru-RU"/>
              </w:rPr>
              <w:br/>
              <w:t>Предоставление мест для прохождения</w:t>
            </w:r>
            <w:r>
              <w:rPr>
                <w:rFonts w:ascii="Times New Roman" w:eastAsia="Times New Roman" w:hAnsi="Times New Roman" w:cs="Times New Roman"/>
                <w:color w:val="000000"/>
                <w:lang w:eastAsia="ru-RU"/>
              </w:rPr>
              <w:br/>
              <w:t>практики и стажировки</w:t>
            </w:r>
            <w:r>
              <w:rPr>
                <w:rFonts w:ascii="Times New Roman" w:eastAsia="Times New Roman" w:hAnsi="Times New Roman" w:cs="Times New Roman"/>
                <w:color w:val="000000"/>
                <w:lang w:eastAsia="ru-RU"/>
              </w:rPr>
              <w:br/>
              <w:t>Обучение и подготовка персонала</w:t>
            </w:r>
            <w:r>
              <w:rPr>
                <w:rFonts w:ascii="Times New Roman" w:eastAsia="Times New Roman" w:hAnsi="Times New Roman" w:cs="Times New Roman"/>
                <w:color w:val="000000"/>
                <w:lang w:eastAsia="ru-RU"/>
              </w:rPr>
              <w:br/>
              <w:t>Проведение дней открытых дверей и ярмарок</w:t>
            </w:r>
            <w:r>
              <w:rPr>
                <w:rFonts w:ascii="Times New Roman" w:eastAsia="Times New Roman" w:hAnsi="Times New Roman" w:cs="Times New Roman"/>
                <w:color w:val="000000"/>
                <w:lang w:eastAsia="ru-RU"/>
              </w:rPr>
              <w:br/>
              <w:t>вакансий</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widowControl w:val="0"/>
              <w:spacing w:after="0" w:line="240" w:lineRule="auto"/>
              <w:jc w:val="both"/>
              <w:rPr>
                <w:rFonts w:ascii="Times New Roman" w:hAnsi="Times New Roman" w:cs="Times New Roman"/>
              </w:rPr>
            </w:pPr>
            <w:r>
              <w:rPr>
                <w:rFonts w:ascii="Times New Roman" w:eastAsia="Times New Roman" w:hAnsi="Times New Roman" w:cs="Times New Roman"/>
              </w:rPr>
              <w:lastRenderedPageBreak/>
              <w:t xml:space="preserve">Коэффициент обеспеченности управленческим кадровым </w:t>
            </w:r>
            <w:r>
              <w:rPr>
                <w:rFonts w:ascii="Times New Roman" w:eastAsia="Times New Roman" w:hAnsi="Times New Roman" w:cs="Times New Roman"/>
              </w:rPr>
              <w:lastRenderedPageBreak/>
              <w:t xml:space="preserve">резервом всех штатных должностей руководителей составил 88,7%, всего в отчетном периоде внутренними кандидатами укомплектовано 29,9% вакантных руководящих должностей. </w:t>
            </w:r>
          </w:p>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Подробная информация приведена в разделе 4.3. Управление персоналом</w:t>
            </w:r>
          </w:p>
        </w:tc>
      </w:tr>
      <w:tr w:rsidR="00D602D4">
        <w:trPr>
          <w:trHeight w:val="170"/>
        </w:trPr>
        <w:tc>
          <w:tcPr>
            <w:tcW w:w="2047" w:type="dxa"/>
            <w:tcBorders>
              <w:top w:val="none" w:sz="4" w:space="0" w:color="000000"/>
              <w:left w:val="single" w:sz="4" w:space="0" w:color="auto"/>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lastRenderedPageBreak/>
              <w:t>Научное сообщество</w:t>
            </w:r>
          </w:p>
        </w:tc>
        <w:tc>
          <w:tcPr>
            <w:tcW w:w="2343"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Содействие развитию отраслевой науки</w:t>
            </w:r>
            <w:r>
              <w:rPr>
                <w:rFonts w:ascii="Times New Roman" w:eastAsia="Times New Roman" w:hAnsi="Times New Roman" w:cs="Times New Roman"/>
                <w:color w:val="000000"/>
                <w:lang w:eastAsia="ru-RU"/>
              </w:rPr>
              <w:br/>
              <w:t>Применение инновационных технологий</w:t>
            </w:r>
          </w:p>
        </w:tc>
        <w:tc>
          <w:tcPr>
            <w:tcW w:w="2517"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Взаимодействие с научными организациями и</w:t>
            </w:r>
            <w:r>
              <w:rPr>
                <w:rFonts w:ascii="Times New Roman" w:eastAsia="Times New Roman" w:hAnsi="Times New Roman" w:cs="Times New Roman"/>
                <w:color w:val="000000"/>
                <w:lang w:eastAsia="ru-RU"/>
              </w:rPr>
              <w:br/>
              <w:t>размещение заказов на НИОКР</w:t>
            </w:r>
            <w:r>
              <w:rPr>
                <w:rFonts w:ascii="Times New Roman" w:eastAsia="Times New Roman" w:hAnsi="Times New Roman" w:cs="Times New Roman"/>
                <w:color w:val="000000"/>
                <w:lang w:eastAsia="ru-RU"/>
              </w:rPr>
              <w:br/>
              <w:t>Участие в форумах, выставках</w:t>
            </w:r>
            <w:r>
              <w:rPr>
                <w:rFonts w:ascii="Times New Roman" w:eastAsia="Times New Roman" w:hAnsi="Times New Roman" w:cs="Times New Roman"/>
                <w:color w:val="000000"/>
                <w:lang w:eastAsia="ru-RU"/>
              </w:rPr>
              <w:br/>
              <w:t>Подписание соглашений</w:t>
            </w:r>
          </w:p>
        </w:tc>
        <w:tc>
          <w:tcPr>
            <w:tcW w:w="2835" w:type="dxa"/>
            <w:tcBorders>
              <w:top w:val="none" w:sz="4" w:space="0" w:color="000000"/>
              <w:left w:val="none" w:sz="4" w:space="0" w:color="000000"/>
              <w:bottom w:val="single" w:sz="4" w:space="0" w:color="auto"/>
              <w:right w:val="single" w:sz="4" w:space="0" w:color="auto"/>
            </w:tcBorders>
            <w:shd w:val="clear" w:color="auto" w:fill="auto"/>
          </w:tcPr>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15,1 млн руб. — объем выполнения НИОКР.</w:t>
            </w:r>
          </w:p>
          <w:p w:rsidR="00D602D4" w:rsidRDefault="000B4C86">
            <w:pPr>
              <w:spacing w:after="0" w:line="240" w:lineRule="auto"/>
              <w:rPr>
                <w:rFonts w:ascii="Times New Roman" w:hAnsi="Times New Roman" w:cs="Times New Roman"/>
                <w:color w:val="000000"/>
              </w:rPr>
            </w:pPr>
            <w:r>
              <w:rPr>
                <w:rFonts w:ascii="Times New Roman" w:eastAsia="Times New Roman" w:hAnsi="Times New Roman" w:cs="Times New Roman"/>
                <w:color w:val="000000"/>
                <w:lang w:eastAsia="ru-RU"/>
              </w:rPr>
              <w:t>Подробная информация приведена в разделе 3.1.9. Инновационная деятельность.</w:t>
            </w:r>
          </w:p>
        </w:tc>
      </w:tr>
    </w:tbl>
    <w:p w:rsidR="00D602D4" w:rsidRDefault="00D602D4">
      <w:pPr>
        <w:spacing w:after="0" w:line="240" w:lineRule="auto"/>
        <w:rPr>
          <w:rFonts w:ascii="Times New Roman" w:hAnsi="Times New Roman" w:cs="Times New Roman"/>
        </w:rPr>
      </w:pPr>
    </w:p>
    <w:p w:rsidR="00D602D4" w:rsidRDefault="000B4C86">
      <w:pPr>
        <w:pStyle w:val="13"/>
        <w:spacing w:before="0" w:line="240" w:lineRule="auto"/>
        <w:jc w:val="both"/>
        <w:rPr>
          <w:rFonts w:ascii="Times New Roman" w:hAnsi="Times New Roman" w:cs="Times New Roman"/>
          <w:b/>
          <w:bCs/>
          <w:color w:val="auto"/>
          <w:sz w:val="26"/>
          <w:szCs w:val="26"/>
        </w:rPr>
      </w:pPr>
      <w:bookmarkStart w:id="78" w:name="_Toc111"/>
      <w:r>
        <w:rPr>
          <w:rFonts w:ascii="Times New Roman" w:eastAsia="Times New Roman" w:hAnsi="Times New Roman" w:cs="Times New Roman"/>
          <w:b/>
          <w:color w:val="auto"/>
          <w:sz w:val="26"/>
          <w:szCs w:val="26"/>
        </w:rPr>
        <w:t>4.9. Системы менеджмента</w:t>
      </w:r>
      <w:bookmarkEnd w:id="78"/>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sz w:val="24"/>
          <w:szCs w:val="24"/>
        </w:rPr>
        <w:t>В Обществе внедрена и действует интегрированная система менеджмента, которая включает следующие системы менеджмента:</w:t>
      </w: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b/>
          <w:bCs/>
          <w:sz w:val="24"/>
          <w:szCs w:val="24"/>
        </w:rPr>
        <w:t>Система менеджмента качества (СМК).</w:t>
      </w: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sz w:val="24"/>
          <w:szCs w:val="24"/>
        </w:rPr>
        <w:t>СМК –  это часть общей системы управления Общества, которая предназначена для обеспечения высокого качества предоставляемых услуг в соответствии с требованиями нормативных документов, потребностями и ожиданиями потребителей и удовлетворения всех заинтересованных сторон, включая работников, акционеров, инвесторов и партнеров Общества.</w:t>
      </w:r>
    </w:p>
    <w:p w:rsidR="00D602D4" w:rsidRDefault="000B4C86">
      <w:pPr>
        <w:tabs>
          <w:tab w:val="left" w:pos="142"/>
          <w:tab w:val="center" w:pos="4677"/>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sz w:val="24"/>
          <w:szCs w:val="24"/>
        </w:rPr>
        <w:t>В 2024 году в рамках второго инспекционного аудита органом по сертификации АС</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«Русский регистр» подтверждено соответствие СМК Общества требованиям стандартов ИСО 9001-2015 (ISO 9001:2015). Выданный по итогам независимой проверки в 2022 году сертификат действует до 30.08.2025.</w:t>
      </w:r>
      <w:r>
        <w:rPr>
          <w:rFonts w:ascii="Times New Roman" w:eastAsia="Times New Roman" w:hAnsi="Times New Roman" w:cs="Times New Roman"/>
          <w:sz w:val="24"/>
          <w:szCs w:val="24"/>
        </w:rPr>
        <w:tab/>
      </w:r>
    </w:p>
    <w:p w:rsidR="00D602D4" w:rsidRDefault="00D602D4">
      <w:pPr>
        <w:tabs>
          <w:tab w:val="left" w:pos="142"/>
        </w:tabs>
        <w:spacing w:after="0" w:line="240" w:lineRule="auto"/>
        <w:ind w:firstLine="709"/>
        <w:contextualSpacing/>
        <w:jc w:val="both"/>
        <w:rPr>
          <w:rFonts w:ascii="Times New Roman" w:hAnsi="Times New Roman" w:cs="Times New Roman"/>
          <w:sz w:val="24"/>
          <w:szCs w:val="24"/>
        </w:rPr>
      </w:pP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b/>
          <w:bCs/>
          <w:sz w:val="24"/>
          <w:szCs w:val="24"/>
        </w:rPr>
        <w:t>Система экологического менеджмента (СЭМ).</w:t>
      </w: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sz w:val="24"/>
          <w:szCs w:val="24"/>
        </w:rPr>
        <w:t>СЭМ - это часть общей системы управления Общества со своей организационной структурой, механизмами, процедурами и ресурсами, необходимыми для управления экологическими аспектами деятельности путем разработки и достижения целей экологической политики.</w:t>
      </w:r>
    </w:p>
    <w:p w:rsidR="00D602D4" w:rsidRDefault="000B4C86">
      <w:pPr>
        <w:tabs>
          <w:tab w:val="left" w:pos="-426"/>
          <w:tab w:val="left" w:pos="-284"/>
          <w:tab w:val="left" w:pos="142"/>
        </w:tabs>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В 2024 году в рамках второго инспекционного аудита органом по сертификации АС</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«Русский регистр» подтверждено соответствие СЭМ Общества требованиям стандарта ИСО 14001:2015 (ISO 14001-2016). Выданный по итогам независимой проверки в 2022 году сертификат действует до 30.08.2025.</w:t>
      </w:r>
    </w:p>
    <w:p w:rsidR="00D602D4" w:rsidRDefault="00D602D4">
      <w:pPr>
        <w:tabs>
          <w:tab w:val="left" w:pos="142"/>
        </w:tabs>
        <w:spacing w:after="0" w:line="240" w:lineRule="auto"/>
        <w:ind w:firstLine="709"/>
        <w:contextualSpacing/>
        <w:jc w:val="both"/>
        <w:rPr>
          <w:rFonts w:ascii="Times New Roman" w:hAnsi="Times New Roman" w:cs="Times New Roman"/>
          <w:sz w:val="24"/>
          <w:szCs w:val="24"/>
        </w:rPr>
      </w:pPr>
    </w:p>
    <w:p w:rsidR="00D602D4" w:rsidRDefault="00D602D4">
      <w:pPr>
        <w:tabs>
          <w:tab w:val="left" w:pos="142"/>
        </w:tabs>
        <w:spacing w:after="0" w:line="240" w:lineRule="auto"/>
        <w:ind w:firstLine="709"/>
        <w:contextualSpacing/>
        <w:jc w:val="both"/>
        <w:rPr>
          <w:rFonts w:ascii="Times New Roman" w:hAnsi="Times New Roman" w:cs="Times New Roman"/>
          <w:sz w:val="24"/>
          <w:szCs w:val="24"/>
        </w:rPr>
      </w:pPr>
    </w:p>
    <w:p w:rsidR="00D602D4" w:rsidRDefault="00D602D4">
      <w:pPr>
        <w:tabs>
          <w:tab w:val="left" w:pos="142"/>
        </w:tabs>
        <w:spacing w:after="0" w:line="240" w:lineRule="auto"/>
        <w:ind w:firstLine="709"/>
        <w:contextualSpacing/>
        <w:jc w:val="both"/>
        <w:rPr>
          <w:rFonts w:ascii="Times New Roman" w:eastAsia="Times New Roman" w:hAnsi="Times New Roman" w:cs="Times New Roman"/>
          <w:b/>
          <w:bCs/>
          <w:sz w:val="24"/>
          <w:szCs w:val="24"/>
        </w:rPr>
      </w:pPr>
    </w:p>
    <w:p w:rsidR="00D602D4" w:rsidRDefault="000B4C86">
      <w:pPr>
        <w:tabs>
          <w:tab w:val="left" w:pos="142"/>
        </w:tabs>
        <w:spacing w:after="0" w:line="240" w:lineRule="auto"/>
        <w:ind w:firstLine="709"/>
        <w:contextualSpacing/>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Система энергетического менеджмента (СЭнМ)</w:t>
      </w: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sz w:val="24"/>
          <w:szCs w:val="24"/>
        </w:rPr>
        <w:t>СЭнМ - это часть общей системы управления Общества, которая обладает четкой организационной структурой и ставит целью достижение положений, указанных в энергетической политике посредством реализации программ по энергосбережению и повышению энергоэффективности.</w:t>
      </w:r>
    </w:p>
    <w:p w:rsidR="00D602D4" w:rsidRDefault="000B4C86">
      <w:pPr>
        <w:tabs>
          <w:tab w:val="left" w:pos="-426"/>
          <w:tab w:val="left" w:pos="-284"/>
          <w:tab w:val="left" w:pos="142"/>
        </w:tabs>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В 2024 году в рамках второго инспекционного аудита органом по сертификации АС</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«Русский регистр» подтверждено соответствие СЭнМ Общества требованиям стандарта ISO 50001:2018. Выданный по итогам независимой проверки в 2022 году сертификат действует до 30.08.2025.</w:t>
      </w:r>
    </w:p>
    <w:p w:rsidR="00D602D4" w:rsidRDefault="00D602D4">
      <w:pPr>
        <w:tabs>
          <w:tab w:val="left" w:pos="-426"/>
          <w:tab w:val="left" w:pos="-284"/>
          <w:tab w:val="left" w:pos="142"/>
        </w:tabs>
        <w:spacing w:after="0" w:line="240" w:lineRule="auto"/>
        <w:ind w:firstLine="709"/>
        <w:jc w:val="both"/>
        <w:rPr>
          <w:rFonts w:ascii="Times New Roman" w:hAnsi="Times New Roman" w:cs="Times New Roman"/>
          <w:sz w:val="24"/>
          <w:szCs w:val="24"/>
        </w:rPr>
      </w:pP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b/>
          <w:bCs/>
          <w:sz w:val="24"/>
          <w:szCs w:val="24"/>
        </w:rPr>
        <w:t>Система менеджмента безопасности труда и охраны здоровья (СМБТиОЗ)</w:t>
      </w: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sz w:val="24"/>
          <w:szCs w:val="24"/>
        </w:rPr>
        <w:t>СМБТиОЗ - это часть общей системы управления Общества, которая позволяет управлять рисками и улучшать показатели деятельности в области безопасности труда и охраны здоровья.</w:t>
      </w:r>
    </w:p>
    <w:p w:rsidR="00D602D4" w:rsidRDefault="000B4C86">
      <w:pPr>
        <w:tabs>
          <w:tab w:val="left" w:pos="-426"/>
          <w:tab w:val="left" w:pos="-284"/>
          <w:tab w:val="left" w:pos="142"/>
        </w:tabs>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В 2024 году в рамках второго инспекционного аудита органом по сертификации АС</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«Русский регистр» подтверждено соответствие СМБТиОЗ Общества требованиям стандартов ИСО 45001-2020 (ISO 45001:2018). Выданный по итогам независимой проверки в 2022 году сертификат действует до 30.08.2025.</w:t>
      </w:r>
    </w:p>
    <w:p w:rsidR="00D602D4" w:rsidRDefault="00D602D4">
      <w:pPr>
        <w:tabs>
          <w:tab w:val="left" w:pos="142"/>
        </w:tabs>
        <w:spacing w:after="0" w:line="240" w:lineRule="auto"/>
        <w:ind w:firstLine="709"/>
        <w:contextualSpacing/>
        <w:jc w:val="both"/>
        <w:rPr>
          <w:rFonts w:ascii="Times New Roman" w:hAnsi="Times New Roman" w:cs="Times New Roman"/>
          <w:sz w:val="24"/>
          <w:szCs w:val="24"/>
        </w:rPr>
      </w:pP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b/>
          <w:bCs/>
          <w:sz w:val="24"/>
          <w:szCs w:val="24"/>
        </w:rPr>
        <w:t>Система инновационного менеджмента (СИМ)</w:t>
      </w: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sz w:val="24"/>
          <w:szCs w:val="24"/>
        </w:rPr>
        <w:t>СИМ - это часть общей системы управления Общества, которая обладает множеством взаимосвязанных или взаимодействующих элементов, необходимых для выработки политик и целей в области инноваций, а также процессов достижения поставленных целей.</w:t>
      </w: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sz w:val="24"/>
          <w:szCs w:val="24"/>
        </w:rPr>
        <w:t xml:space="preserve">СИМ Общества внедрена и успешно прошла в 2021-2023 годах сертификационный и инспекционные аудиты на соответствие требованиям стандартов ИСО 56273.1-2014/CEN/TS 16555-1:2013 (ISO 56002:2019) органом по сертификации АС «Руссикий регистр». </w:t>
      </w: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sz w:val="24"/>
          <w:szCs w:val="24"/>
        </w:rPr>
        <w:t>В 2024 году СИМ общества ресертифицирована органом по сертификации АС «Русский регистр», получен сертификат сроком действия до 2027 года.</w:t>
      </w:r>
    </w:p>
    <w:p w:rsidR="00D602D4" w:rsidRDefault="00D602D4">
      <w:pPr>
        <w:tabs>
          <w:tab w:val="left" w:pos="142"/>
        </w:tabs>
        <w:spacing w:after="0" w:line="240" w:lineRule="auto"/>
        <w:ind w:firstLine="709"/>
        <w:contextualSpacing/>
        <w:jc w:val="both"/>
        <w:rPr>
          <w:rFonts w:ascii="Times New Roman" w:hAnsi="Times New Roman" w:cs="Times New Roman"/>
          <w:sz w:val="24"/>
          <w:szCs w:val="24"/>
        </w:rPr>
      </w:pPr>
    </w:p>
    <w:p w:rsidR="00D602D4" w:rsidRDefault="000B4C86">
      <w:pPr>
        <w:tabs>
          <w:tab w:val="left" w:pos="142"/>
        </w:tabs>
        <w:spacing w:after="0" w:line="240" w:lineRule="auto"/>
        <w:ind w:firstLine="709"/>
        <w:contextualSpacing/>
        <w:jc w:val="both"/>
        <w:rPr>
          <w:rFonts w:ascii="Times New Roman" w:hAnsi="Times New Roman" w:cs="Times New Roman"/>
          <w:sz w:val="24"/>
          <w:szCs w:val="24"/>
        </w:rPr>
      </w:pPr>
      <w:r>
        <w:rPr>
          <w:rFonts w:ascii="Times New Roman" w:eastAsia="Times New Roman" w:hAnsi="Times New Roman" w:cs="Times New Roman"/>
          <w:sz w:val="24"/>
          <w:szCs w:val="24"/>
        </w:rPr>
        <w:t>Системы менеджмента Общества соответствуют требованиям стандартов ИСО 9001 (ISO 9001), ИСО 50001 (ISO 50001), ИСО 14001 (ISO 14001), ИСО 45001 (ISO 45001), ГОСТ Р 56273.1 (ISO 56002)(табл. ___).</w:t>
      </w:r>
    </w:p>
    <w:p w:rsidR="00D602D4" w:rsidRDefault="000B4C86">
      <w:pPr>
        <w:tabs>
          <w:tab w:val="left" w:pos="1276"/>
        </w:tabs>
        <w:spacing w:after="0" w:line="240" w:lineRule="auto"/>
        <w:contextualSpacing/>
        <w:jc w:val="right"/>
        <w:rPr>
          <w:rFonts w:ascii="Times New Roman" w:hAnsi="Times New Roman" w:cs="Times New Roman"/>
          <w:sz w:val="24"/>
          <w:szCs w:val="24"/>
        </w:rPr>
      </w:pPr>
      <w:r>
        <w:rPr>
          <w:rFonts w:ascii="Times New Roman" w:eastAsia="Times New Roman" w:hAnsi="Times New Roman" w:cs="Times New Roman"/>
          <w:sz w:val="24"/>
          <w:szCs w:val="24"/>
        </w:rPr>
        <w:t xml:space="preserve">                                                                                                                   Таблица 55</w:t>
      </w:r>
    </w:p>
    <w:p w:rsidR="00D602D4" w:rsidRDefault="000B4C86">
      <w:pPr>
        <w:tabs>
          <w:tab w:val="left" w:pos="1276"/>
        </w:tabs>
        <w:spacing w:after="0" w:line="240" w:lineRule="auto"/>
        <w:ind w:firstLine="709"/>
        <w:contextualSpacing/>
        <w:jc w:val="center"/>
        <w:rPr>
          <w:rFonts w:ascii="Times New Roman" w:hAnsi="Times New Roman" w:cs="Times New Roman"/>
          <w:b/>
          <w:sz w:val="24"/>
          <w:szCs w:val="24"/>
        </w:rPr>
      </w:pPr>
      <w:r>
        <w:rPr>
          <w:rFonts w:ascii="Times New Roman" w:eastAsia="Times New Roman" w:hAnsi="Times New Roman" w:cs="Times New Roman"/>
          <w:b/>
          <w:sz w:val="24"/>
          <w:szCs w:val="24"/>
        </w:rPr>
        <w:t>Информация о наличии сертификатов Общества</w:t>
      </w:r>
    </w:p>
    <w:tbl>
      <w:tblPr>
        <w:tblpPr w:leftFromText="180" w:rightFromText="180" w:vertAnchor="text" w:horzAnchor="margin" w:tblpY="111"/>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04"/>
        <w:gridCol w:w="1417"/>
        <w:gridCol w:w="1418"/>
        <w:gridCol w:w="1417"/>
        <w:gridCol w:w="1418"/>
        <w:gridCol w:w="1559"/>
        <w:gridCol w:w="1485"/>
      </w:tblGrid>
      <w:tr w:rsidR="00D602D4">
        <w:tc>
          <w:tcPr>
            <w:tcW w:w="1204"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4"/>
                <w:szCs w:val="24"/>
              </w:rPr>
            </w:pPr>
            <w:r>
              <w:rPr>
                <w:rFonts w:ascii="Times New Roman" w:hAnsi="Times New Roman"/>
                <w:b/>
                <w:sz w:val="20"/>
                <w:szCs w:val="20"/>
              </w:rPr>
              <w:t>Россети Сибирь</w:t>
            </w:r>
          </w:p>
        </w:tc>
        <w:tc>
          <w:tcPr>
            <w:tcW w:w="7229" w:type="dxa"/>
            <w:gridSpan w:val="5"/>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b/>
                <w:sz w:val="24"/>
                <w:szCs w:val="24"/>
              </w:rPr>
            </w:pPr>
            <w:r>
              <w:rPr>
                <w:rFonts w:ascii="Times New Roman" w:hAnsi="Times New Roman"/>
                <w:b/>
                <w:sz w:val="20"/>
                <w:szCs w:val="20"/>
              </w:rPr>
              <w:t>Системы менеджмента/</w:t>
            </w:r>
          </w:p>
          <w:p w:rsidR="00D602D4" w:rsidRDefault="000B4C86">
            <w:pPr>
              <w:pStyle w:val="ac"/>
              <w:tabs>
                <w:tab w:val="left" w:pos="1134"/>
                <w:tab w:val="left" w:pos="9356"/>
              </w:tabs>
              <w:spacing w:after="0" w:line="240" w:lineRule="auto"/>
              <w:ind w:left="-108" w:right="-108"/>
              <w:jc w:val="center"/>
              <w:rPr>
                <w:rFonts w:ascii="Times New Roman" w:hAnsi="Times New Roman"/>
                <w:b/>
                <w:sz w:val="24"/>
                <w:szCs w:val="24"/>
              </w:rPr>
            </w:pPr>
            <w:r>
              <w:rPr>
                <w:rFonts w:ascii="Times New Roman" w:hAnsi="Times New Roman"/>
                <w:b/>
                <w:sz w:val="20"/>
                <w:szCs w:val="20"/>
              </w:rPr>
              <w:t>Срок действия сертификата</w:t>
            </w:r>
          </w:p>
        </w:tc>
        <w:tc>
          <w:tcPr>
            <w:tcW w:w="1485"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108" w:right="-108"/>
              <w:jc w:val="center"/>
              <w:rPr>
                <w:rFonts w:ascii="Times New Roman" w:hAnsi="Times New Roman"/>
                <w:sz w:val="24"/>
                <w:szCs w:val="24"/>
              </w:rPr>
            </w:pPr>
            <w:r>
              <w:rPr>
                <w:rFonts w:ascii="Times New Roman" w:hAnsi="Times New Roman"/>
                <w:b/>
                <w:sz w:val="20"/>
                <w:szCs w:val="20"/>
              </w:rPr>
              <w:t>Орган по сертификации</w:t>
            </w:r>
          </w:p>
        </w:tc>
      </w:tr>
      <w:tr w:rsidR="00D602D4">
        <w:tc>
          <w:tcPr>
            <w:tcW w:w="1204"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rPr>
                <w:rFonts w:ascii="Times New Roman" w:eastAsiaTheme="minorEastAsia" w:hAnsi="Times New Roman"/>
                <w:sz w:val="24"/>
                <w:szCs w:val="24"/>
              </w:rPr>
            </w:pPr>
          </w:p>
        </w:tc>
        <w:tc>
          <w:tcPr>
            <w:tcW w:w="141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4"/>
                <w:szCs w:val="24"/>
              </w:rPr>
            </w:pPr>
            <w:r>
              <w:rPr>
                <w:rFonts w:ascii="Times New Roman" w:hAnsi="Times New Roman"/>
                <w:sz w:val="20"/>
                <w:szCs w:val="20"/>
              </w:rPr>
              <w:t>ИСО 9001 / ISO 9</w:t>
            </w:r>
            <w:r>
              <w:rPr>
                <w:rFonts w:ascii="Times New Roman" w:hAnsi="Times New Roman"/>
                <w:sz w:val="20"/>
                <w:szCs w:val="20"/>
                <w:lang w:val="en-US"/>
              </w:rPr>
              <w:t>0</w:t>
            </w:r>
            <w:r>
              <w:rPr>
                <w:rFonts w:ascii="Times New Roman" w:hAnsi="Times New Roman"/>
                <w:sz w:val="20"/>
                <w:szCs w:val="20"/>
              </w:rPr>
              <w:t>01</w:t>
            </w:r>
          </w:p>
        </w:tc>
        <w:tc>
          <w:tcPr>
            <w:tcW w:w="141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4"/>
                <w:szCs w:val="24"/>
              </w:rPr>
            </w:pPr>
            <w:r>
              <w:rPr>
                <w:rFonts w:ascii="Times New Roman" w:hAnsi="Times New Roman"/>
                <w:sz w:val="20"/>
                <w:szCs w:val="20"/>
              </w:rPr>
              <w:t>ИСО 14001 /  ISO 14</w:t>
            </w:r>
            <w:r>
              <w:rPr>
                <w:rFonts w:ascii="Times New Roman" w:hAnsi="Times New Roman"/>
                <w:sz w:val="20"/>
                <w:szCs w:val="20"/>
                <w:lang w:val="en-US"/>
              </w:rPr>
              <w:t>0</w:t>
            </w:r>
            <w:r>
              <w:rPr>
                <w:rFonts w:ascii="Times New Roman" w:hAnsi="Times New Roman"/>
                <w:sz w:val="20"/>
                <w:szCs w:val="20"/>
              </w:rPr>
              <w:t>01</w:t>
            </w:r>
          </w:p>
        </w:tc>
        <w:tc>
          <w:tcPr>
            <w:tcW w:w="141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4"/>
                <w:szCs w:val="24"/>
              </w:rPr>
            </w:pPr>
            <w:r>
              <w:rPr>
                <w:rFonts w:ascii="Times New Roman" w:hAnsi="Times New Roman"/>
                <w:sz w:val="20"/>
                <w:szCs w:val="20"/>
              </w:rPr>
              <w:t>ИСО 45001 /</w:t>
            </w:r>
            <w:r>
              <w:rPr>
                <w:rFonts w:ascii="Times New Roman" w:hAnsi="Times New Roman"/>
                <w:sz w:val="20"/>
                <w:szCs w:val="20"/>
                <w:lang w:val="en-US"/>
              </w:rPr>
              <w:t xml:space="preserve"> ISO 45001</w:t>
            </w:r>
          </w:p>
        </w:tc>
        <w:tc>
          <w:tcPr>
            <w:tcW w:w="141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4"/>
                <w:szCs w:val="24"/>
              </w:rPr>
            </w:pPr>
            <w:r>
              <w:rPr>
                <w:rFonts w:ascii="Times New Roman" w:hAnsi="Times New Roman"/>
                <w:sz w:val="20"/>
                <w:szCs w:val="20"/>
              </w:rPr>
              <w:t>ISO 50</w:t>
            </w:r>
            <w:r>
              <w:rPr>
                <w:rFonts w:ascii="Times New Roman" w:hAnsi="Times New Roman"/>
                <w:sz w:val="20"/>
                <w:szCs w:val="20"/>
                <w:lang w:val="en-US"/>
              </w:rPr>
              <w:t>0</w:t>
            </w:r>
            <w:r>
              <w:rPr>
                <w:rFonts w:ascii="Times New Roman" w:hAnsi="Times New Roman"/>
                <w:sz w:val="20"/>
                <w:szCs w:val="20"/>
              </w:rPr>
              <w:t>01</w:t>
            </w:r>
          </w:p>
        </w:tc>
        <w:tc>
          <w:tcPr>
            <w:tcW w:w="1559"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4"/>
                <w:szCs w:val="24"/>
              </w:rPr>
            </w:pPr>
            <w:r>
              <w:rPr>
                <w:rFonts w:ascii="Times New Roman" w:hAnsi="Times New Roman"/>
                <w:sz w:val="20"/>
                <w:szCs w:val="20"/>
              </w:rPr>
              <w:t>ГОСТ Р 56273.1/</w:t>
            </w:r>
            <w:r>
              <w:rPr>
                <w:rFonts w:ascii="Times New Roman" w:hAnsi="Times New Roman"/>
                <w:sz w:val="20"/>
                <w:szCs w:val="20"/>
                <w:lang w:val="en-US"/>
              </w:rPr>
              <w:t xml:space="preserve"> ISO 56002</w:t>
            </w:r>
          </w:p>
        </w:tc>
        <w:tc>
          <w:tcPr>
            <w:tcW w:w="1485"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rPr>
                <w:rFonts w:ascii="Times New Roman" w:eastAsiaTheme="minorEastAsia" w:hAnsi="Times New Roman"/>
                <w:sz w:val="24"/>
                <w:szCs w:val="24"/>
              </w:rPr>
            </w:pPr>
          </w:p>
        </w:tc>
      </w:tr>
      <w:tr w:rsidR="00D602D4">
        <w:tc>
          <w:tcPr>
            <w:tcW w:w="1204"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4"/>
                <w:szCs w:val="24"/>
              </w:rPr>
            </w:pPr>
            <w:r>
              <w:rPr>
                <w:rFonts w:ascii="Times New Roman" w:hAnsi="Times New Roman"/>
                <w:sz w:val="20"/>
                <w:szCs w:val="20"/>
              </w:rPr>
              <w:t>ПАО «Россети Сибирь»</w:t>
            </w:r>
          </w:p>
        </w:tc>
        <w:tc>
          <w:tcPr>
            <w:tcW w:w="141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0"/>
                <w:szCs w:val="24"/>
              </w:rPr>
            </w:pPr>
            <w:r>
              <w:rPr>
                <w:rFonts w:ascii="Times New Roman" w:hAnsi="Times New Roman"/>
                <w:sz w:val="20"/>
                <w:szCs w:val="20"/>
              </w:rPr>
              <w:t>22.1301.026/</w:t>
            </w:r>
          </w:p>
          <w:p w:rsidR="00D602D4" w:rsidRDefault="000B4C86">
            <w:pPr>
              <w:pStyle w:val="ac"/>
              <w:tabs>
                <w:tab w:val="left" w:pos="1134"/>
                <w:tab w:val="left" w:pos="9356"/>
              </w:tabs>
              <w:spacing w:after="0" w:line="240" w:lineRule="auto"/>
              <w:ind w:left="0"/>
              <w:jc w:val="center"/>
              <w:rPr>
                <w:rFonts w:ascii="Times New Roman" w:hAnsi="Times New Roman"/>
                <w:sz w:val="20"/>
                <w:szCs w:val="24"/>
              </w:rPr>
            </w:pPr>
            <w:r>
              <w:rPr>
                <w:rFonts w:ascii="Times New Roman" w:hAnsi="Times New Roman"/>
                <w:sz w:val="20"/>
                <w:szCs w:val="20"/>
              </w:rPr>
              <w:t>22.1302.026</w:t>
            </w:r>
          </w:p>
          <w:p w:rsidR="00D602D4" w:rsidRDefault="000B4C86">
            <w:pPr>
              <w:pStyle w:val="ac"/>
              <w:tabs>
                <w:tab w:val="left" w:pos="1134"/>
                <w:tab w:val="left" w:pos="9356"/>
              </w:tabs>
              <w:spacing w:after="0" w:line="240" w:lineRule="auto"/>
              <w:ind w:left="0"/>
              <w:jc w:val="center"/>
              <w:rPr>
                <w:rFonts w:ascii="Times New Roman" w:hAnsi="Times New Roman"/>
                <w:sz w:val="20"/>
                <w:szCs w:val="24"/>
              </w:rPr>
            </w:pPr>
            <w:r>
              <w:rPr>
                <w:rFonts w:ascii="Times New Roman" w:hAnsi="Times New Roman"/>
                <w:sz w:val="20"/>
                <w:szCs w:val="20"/>
              </w:rPr>
              <w:t>до 30.08.2025</w:t>
            </w:r>
          </w:p>
        </w:tc>
        <w:tc>
          <w:tcPr>
            <w:tcW w:w="141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0"/>
                <w:szCs w:val="24"/>
              </w:rPr>
            </w:pPr>
            <w:r>
              <w:rPr>
                <w:rFonts w:ascii="Times New Roman" w:hAnsi="Times New Roman"/>
                <w:sz w:val="20"/>
                <w:szCs w:val="20"/>
              </w:rPr>
              <w:t>22.1303.026</w:t>
            </w:r>
          </w:p>
          <w:p w:rsidR="00D602D4" w:rsidRDefault="000B4C86">
            <w:pPr>
              <w:pStyle w:val="ac"/>
              <w:tabs>
                <w:tab w:val="left" w:pos="1134"/>
                <w:tab w:val="left" w:pos="9356"/>
              </w:tabs>
              <w:spacing w:after="0" w:line="240" w:lineRule="auto"/>
              <w:ind w:left="0"/>
              <w:jc w:val="center"/>
              <w:rPr>
                <w:rFonts w:ascii="Times New Roman" w:hAnsi="Times New Roman"/>
                <w:sz w:val="20"/>
                <w:szCs w:val="24"/>
              </w:rPr>
            </w:pPr>
            <w:r>
              <w:rPr>
                <w:rFonts w:ascii="Times New Roman" w:hAnsi="Times New Roman"/>
                <w:sz w:val="20"/>
                <w:szCs w:val="20"/>
              </w:rPr>
              <w:t>22.1304.026</w:t>
            </w:r>
          </w:p>
          <w:p w:rsidR="00D602D4" w:rsidRDefault="000B4C86">
            <w:pPr>
              <w:pStyle w:val="ac"/>
              <w:tabs>
                <w:tab w:val="left" w:pos="1134"/>
                <w:tab w:val="left" w:pos="9356"/>
              </w:tabs>
              <w:spacing w:after="0" w:line="240" w:lineRule="auto"/>
              <w:ind w:left="0"/>
              <w:jc w:val="center"/>
              <w:rPr>
                <w:rFonts w:ascii="Times New Roman" w:hAnsi="Times New Roman"/>
                <w:sz w:val="20"/>
                <w:szCs w:val="24"/>
              </w:rPr>
            </w:pPr>
            <w:r>
              <w:rPr>
                <w:rFonts w:ascii="Times New Roman" w:hAnsi="Times New Roman"/>
                <w:sz w:val="20"/>
                <w:szCs w:val="20"/>
              </w:rPr>
              <w:t>до 30.08.2025</w:t>
            </w:r>
          </w:p>
        </w:tc>
        <w:tc>
          <w:tcPr>
            <w:tcW w:w="141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0"/>
                <w:szCs w:val="24"/>
              </w:rPr>
            </w:pPr>
            <w:r>
              <w:rPr>
                <w:rFonts w:ascii="Times New Roman" w:hAnsi="Times New Roman"/>
                <w:sz w:val="20"/>
                <w:szCs w:val="20"/>
              </w:rPr>
              <w:t>22.1305.026/</w:t>
            </w:r>
          </w:p>
          <w:p w:rsidR="00D602D4" w:rsidRDefault="000B4C86">
            <w:pPr>
              <w:pStyle w:val="ac"/>
              <w:tabs>
                <w:tab w:val="left" w:pos="1134"/>
                <w:tab w:val="left" w:pos="9356"/>
              </w:tabs>
              <w:spacing w:after="0" w:line="240" w:lineRule="auto"/>
              <w:ind w:left="0"/>
              <w:jc w:val="center"/>
              <w:rPr>
                <w:rFonts w:ascii="Times New Roman" w:hAnsi="Times New Roman"/>
                <w:sz w:val="20"/>
                <w:szCs w:val="24"/>
              </w:rPr>
            </w:pPr>
            <w:r>
              <w:rPr>
                <w:rFonts w:ascii="Times New Roman" w:hAnsi="Times New Roman"/>
                <w:sz w:val="20"/>
                <w:szCs w:val="20"/>
              </w:rPr>
              <w:t>22.1306.026</w:t>
            </w:r>
          </w:p>
          <w:p w:rsidR="00D602D4" w:rsidRDefault="000B4C86">
            <w:pPr>
              <w:pStyle w:val="ac"/>
              <w:tabs>
                <w:tab w:val="left" w:pos="1134"/>
                <w:tab w:val="left" w:pos="9356"/>
              </w:tabs>
              <w:spacing w:after="0" w:line="240" w:lineRule="auto"/>
              <w:ind w:left="0"/>
              <w:jc w:val="center"/>
              <w:rPr>
                <w:rFonts w:ascii="Times New Roman" w:hAnsi="Times New Roman"/>
                <w:sz w:val="20"/>
                <w:szCs w:val="24"/>
              </w:rPr>
            </w:pPr>
            <w:r>
              <w:rPr>
                <w:rFonts w:ascii="Times New Roman" w:hAnsi="Times New Roman"/>
                <w:sz w:val="20"/>
                <w:szCs w:val="20"/>
              </w:rPr>
              <w:t>до 30.08.2025</w:t>
            </w:r>
          </w:p>
        </w:tc>
        <w:tc>
          <w:tcPr>
            <w:tcW w:w="141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0"/>
                <w:szCs w:val="24"/>
              </w:rPr>
            </w:pPr>
            <w:r>
              <w:rPr>
                <w:rFonts w:ascii="Times New Roman" w:hAnsi="Times New Roman"/>
                <w:sz w:val="20"/>
                <w:szCs w:val="20"/>
              </w:rPr>
              <w:t>22.1307.026</w:t>
            </w:r>
          </w:p>
          <w:p w:rsidR="00D602D4" w:rsidRDefault="000B4C86">
            <w:pPr>
              <w:pStyle w:val="ac"/>
              <w:tabs>
                <w:tab w:val="left" w:pos="1134"/>
                <w:tab w:val="left" w:pos="9356"/>
              </w:tabs>
              <w:spacing w:after="0" w:line="240" w:lineRule="auto"/>
              <w:ind w:left="0"/>
              <w:jc w:val="center"/>
              <w:rPr>
                <w:rFonts w:ascii="Times New Roman" w:hAnsi="Times New Roman"/>
                <w:sz w:val="20"/>
                <w:szCs w:val="24"/>
              </w:rPr>
            </w:pPr>
            <w:r>
              <w:rPr>
                <w:rFonts w:ascii="Times New Roman" w:hAnsi="Times New Roman"/>
                <w:sz w:val="20"/>
                <w:szCs w:val="20"/>
              </w:rPr>
              <w:t>до 30.08.2025</w:t>
            </w:r>
          </w:p>
        </w:tc>
        <w:tc>
          <w:tcPr>
            <w:tcW w:w="1559" w:type="dxa"/>
            <w:tcBorders>
              <w:top w:val="single" w:sz="4" w:space="0" w:color="000000"/>
              <w:left w:val="single" w:sz="4" w:space="0" w:color="000000"/>
              <w:bottom w:val="single" w:sz="4" w:space="0" w:color="000000"/>
              <w:right w:val="single" w:sz="4" w:space="0" w:color="000000"/>
            </w:tcBorders>
          </w:tcPr>
          <w:p w:rsidR="00D602D4" w:rsidRDefault="000B4C86">
            <w:pPr>
              <w:pStyle w:val="ac"/>
              <w:tabs>
                <w:tab w:val="left" w:pos="1134"/>
                <w:tab w:val="left" w:pos="9356"/>
              </w:tabs>
              <w:spacing w:after="0" w:line="240" w:lineRule="auto"/>
              <w:ind w:left="0"/>
              <w:jc w:val="center"/>
              <w:rPr>
                <w:rFonts w:ascii="Times New Roman" w:hAnsi="Times New Roman"/>
                <w:sz w:val="20"/>
                <w:szCs w:val="24"/>
                <w:highlight w:val="white"/>
              </w:rPr>
            </w:pPr>
            <w:r>
              <w:rPr>
                <w:rFonts w:ascii="Times New Roman" w:hAnsi="Times New Roman"/>
                <w:sz w:val="20"/>
                <w:szCs w:val="20"/>
                <w:highlight w:val="white"/>
              </w:rPr>
              <w:t>№</w:t>
            </w:r>
          </w:p>
          <w:p w:rsidR="00D602D4" w:rsidRDefault="000B4C86">
            <w:pPr>
              <w:pStyle w:val="ac"/>
              <w:tabs>
                <w:tab w:val="left" w:pos="1134"/>
                <w:tab w:val="left" w:pos="9356"/>
              </w:tabs>
              <w:spacing w:after="0" w:line="240" w:lineRule="auto"/>
              <w:ind w:left="0"/>
              <w:jc w:val="center"/>
              <w:rPr>
                <w:rFonts w:ascii="Times New Roman" w:hAnsi="Times New Roman"/>
                <w:sz w:val="20"/>
                <w:szCs w:val="24"/>
                <w:highlight w:val="white"/>
              </w:rPr>
            </w:pPr>
            <w:r>
              <w:rPr>
                <w:rFonts w:ascii="Times New Roman" w:hAnsi="Times New Roman"/>
                <w:sz w:val="20"/>
                <w:szCs w:val="20"/>
                <w:highlight w:val="white"/>
              </w:rPr>
              <w:t>24.1293.026/</w:t>
            </w:r>
          </w:p>
          <w:p w:rsidR="00D602D4" w:rsidRDefault="000B4C86">
            <w:pPr>
              <w:pStyle w:val="ac"/>
              <w:tabs>
                <w:tab w:val="left" w:pos="1134"/>
                <w:tab w:val="left" w:pos="9356"/>
              </w:tabs>
              <w:spacing w:after="0" w:line="240" w:lineRule="auto"/>
              <w:ind w:left="0"/>
              <w:jc w:val="center"/>
              <w:rPr>
                <w:rFonts w:ascii="Times New Roman" w:hAnsi="Times New Roman"/>
                <w:sz w:val="20"/>
                <w:szCs w:val="24"/>
                <w:highlight w:val="white"/>
              </w:rPr>
            </w:pPr>
            <w:r>
              <w:rPr>
                <w:rFonts w:ascii="Times New Roman" w:hAnsi="Times New Roman"/>
                <w:sz w:val="20"/>
                <w:szCs w:val="20"/>
                <w:highlight w:val="white"/>
              </w:rPr>
              <w:t xml:space="preserve">24.1294.026 </w:t>
            </w:r>
          </w:p>
          <w:p w:rsidR="00D602D4" w:rsidRDefault="000B4C86">
            <w:pPr>
              <w:pStyle w:val="ac"/>
              <w:tabs>
                <w:tab w:val="left" w:pos="1134"/>
                <w:tab w:val="left" w:pos="9356"/>
              </w:tabs>
              <w:spacing w:after="0" w:line="240" w:lineRule="auto"/>
              <w:ind w:left="0"/>
              <w:jc w:val="center"/>
              <w:rPr>
                <w:rFonts w:ascii="Times New Roman" w:hAnsi="Times New Roman"/>
                <w:sz w:val="20"/>
                <w:szCs w:val="24"/>
                <w:highlight w:val="white"/>
              </w:rPr>
            </w:pPr>
            <w:r>
              <w:rPr>
                <w:rFonts w:ascii="Times New Roman" w:hAnsi="Times New Roman"/>
                <w:sz w:val="20"/>
                <w:szCs w:val="20"/>
                <w:highlight w:val="white"/>
              </w:rPr>
              <w:t>до 25.11.2027</w:t>
            </w:r>
          </w:p>
        </w:tc>
        <w:tc>
          <w:tcPr>
            <w:tcW w:w="1485"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tabs>
                <w:tab w:val="left" w:pos="1134"/>
                <w:tab w:val="left" w:pos="9356"/>
              </w:tabs>
              <w:spacing w:after="0" w:line="240" w:lineRule="auto"/>
              <w:ind w:left="0"/>
              <w:jc w:val="center"/>
              <w:rPr>
                <w:rFonts w:ascii="Times New Roman" w:hAnsi="Times New Roman"/>
                <w:sz w:val="24"/>
                <w:szCs w:val="24"/>
              </w:rPr>
            </w:pPr>
            <w:r>
              <w:rPr>
                <w:rFonts w:ascii="Times New Roman" w:hAnsi="Times New Roman"/>
                <w:sz w:val="20"/>
                <w:szCs w:val="20"/>
              </w:rPr>
              <w:t>АС «Русский Регистр»</w:t>
            </w:r>
          </w:p>
        </w:tc>
      </w:tr>
    </w:tbl>
    <w:p w:rsidR="00D602D4" w:rsidRDefault="00D602D4">
      <w:pPr>
        <w:tabs>
          <w:tab w:val="left" w:pos="1276"/>
        </w:tabs>
        <w:spacing w:after="0" w:line="240" w:lineRule="auto"/>
        <w:ind w:firstLine="709"/>
        <w:contextualSpacing/>
        <w:jc w:val="both"/>
        <w:rPr>
          <w:rFonts w:ascii="Times New Roman" w:eastAsia="Calibri" w:hAnsi="Times New Roman" w:cs="Times New Roman"/>
          <w:b/>
          <w:sz w:val="24"/>
          <w:szCs w:val="24"/>
        </w:rPr>
      </w:pPr>
    </w:p>
    <w:p w:rsidR="00D602D4" w:rsidRDefault="000B4C86">
      <w:pPr>
        <w:tabs>
          <w:tab w:val="left" w:pos="142"/>
          <w:tab w:val="left" w:pos="9356"/>
        </w:tabs>
        <w:spacing w:after="0" w:line="240" w:lineRule="auto"/>
        <w:ind w:right="-143" w:firstLine="709"/>
        <w:contextualSpacing/>
        <w:jc w:val="both"/>
        <w:rPr>
          <w:rFonts w:ascii="Times New Roman" w:eastAsia="Calibri" w:hAnsi="Times New Roman" w:cs="Times New Roman"/>
          <w:bCs/>
          <w:i/>
          <w:sz w:val="24"/>
          <w:szCs w:val="24"/>
        </w:rPr>
      </w:pPr>
      <w:r>
        <w:rPr>
          <w:rFonts w:ascii="Times New Roman" w:eastAsia="Calibri" w:hAnsi="Times New Roman" w:cs="Times New Roman"/>
          <w:bCs/>
          <w:i/>
          <w:sz w:val="24"/>
          <w:szCs w:val="24"/>
        </w:rPr>
        <w:t>Примечание:</w:t>
      </w:r>
    </w:p>
    <w:p w:rsidR="00D602D4" w:rsidRDefault="000B4C86">
      <w:pPr>
        <w:tabs>
          <w:tab w:val="left" w:pos="142"/>
          <w:tab w:val="left" w:pos="9356"/>
        </w:tabs>
        <w:spacing w:after="0" w:line="240" w:lineRule="auto"/>
        <w:ind w:right="-143" w:firstLine="709"/>
        <w:contextualSpacing/>
        <w:jc w:val="both"/>
        <w:rPr>
          <w:rFonts w:ascii="Times New Roman" w:eastAsia="Calibri" w:hAnsi="Times New Roman" w:cs="Times New Roman"/>
          <w:bCs/>
          <w:i/>
          <w:sz w:val="24"/>
          <w:szCs w:val="24"/>
        </w:rPr>
      </w:pPr>
      <w:r>
        <w:rPr>
          <w:rFonts w:ascii="Times New Roman" w:eastAsia="Calibri" w:hAnsi="Times New Roman" w:cs="Times New Roman"/>
          <w:bCs/>
          <w:i/>
          <w:sz w:val="24"/>
          <w:szCs w:val="24"/>
        </w:rPr>
        <w:t>ИСО 9001-2015 (</w:t>
      </w:r>
      <w:r>
        <w:rPr>
          <w:rFonts w:ascii="Times New Roman" w:eastAsia="Calibri" w:hAnsi="Times New Roman" w:cs="Times New Roman"/>
          <w:bCs/>
          <w:i/>
          <w:sz w:val="24"/>
          <w:szCs w:val="24"/>
          <w:lang w:val="en-US"/>
        </w:rPr>
        <w:t>ISO</w:t>
      </w:r>
      <w:r>
        <w:rPr>
          <w:rFonts w:ascii="Times New Roman" w:eastAsia="Calibri" w:hAnsi="Times New Roman" w:cs="Times New Roman"/>
          <w:bCs/>
          <w:i/>
          <w:sz w:val="24"/>
          <w:szCs w:val="24"/>
        </w:rPr>
        <w:t xml:space="preserve"> 9001:2015)– система менеджмента качества</w:t>
      </w:r>
    </w:p>
    <w:p w:rsidR="00D602D4" w:rsidRDefault="000B4C86">
      <w:pPr>
        <w:tabs>
          <w:tab w:val="left" w:pos="142"/>
          <w:tab w:val="left" w:pos="9356"/>
        </w:tabs>
        <w:spacing w:after="0" w:line="240" w:lineRule="auto"/>
        <w:ind w:right="-143" w:firstLine="709"/>
        <w:contextualSpacing/>
        <w:jc w:val="both"/>
        <w:rPr>
          <w:rFonts w:ascii="Times New Roman" w:eastAsia="Calibri" w:hAnsi="Times New Roman" w:cs="Times New Roman"/>
          <w:bCs/>
          <w:i/>
          <w:sz w:val="24"/>
          <w:szCs w:val="24"/>
        </w:rPr>
      </w:pPr>
      <w:r>
        <w:rPr>
          <w:rFonts w:ascii="Times New Roman" w:eastAsia="Calibri" w:hAnsi="Times New Roman" w:cs="Times New Roman"/>
          <w:bCs/>
          <w:i/>
          <w:sz w:val="24"/>
          <w:szCs w:val="24"/>
        </w:rPr>
        <w:t>ИСО 14001-2016 (</w:t>
      </w:r>
      <w:r>
        <w:rPr>
          <w:rFonts w:ascii="Times New Roman" w:eastAsia="Calibri" w:hAnsi="Times New Roman" w:cs="Times New Roman"/>
          <w:bCs/>
          <w:i/>
          <w:sz w:val="24"/>
          <w:szCs w:val="24"/>
          <w:lang w:val="en-US"/>
        </w:rPr>
        <w:t>ISO</w:t>
      </w:r>
      <w:r>
        <w:rPr>
          <w:rFonts w:ascii="Times New Roman" w:eastAsia="Calibri" w:hAnsi="Times New Roman" w:cs="Times New Roman"/>
          <w:bCs/>
          <w:i/>
          <w:sz w:val="24"/>
          <w:szCs w:val="24"/>
        </w:rPr>
        <w:t xml:space="preserve"> 14001:2015)– система экологического менеджмента </w:t>
      </w:r>
    </w:p>
    <w:p w:rsidR="00D602D4" w:rsidRDefault="000B4C86">
      <w:pPr>
        <w:tabs>
          <w:tab w:val="left" w:pos="142"/>
          <w:tab w:val="left" w:pos="9356"/>
        </w:tabs>
        <w:spacing w:after="0" w:line="240" w:lineRule="auto"/>
        <w:ind w:right="-143" w:firstLine="709"/>
        <w:contextualSpacing/>
        <w:jc w:val="both"/>
        <w:rPr>
          <w:rFonts w:ascii="Times New Roman" w:eastAsia="Calibri" w:hAnsi="Times New Roman" w:cs="Times New Roman"/>
          <w:bCs/>
          <w:i/>
          <w:sz w:val="24"/>
          <w:szCs w:val="24"/>
        </w:rPr>
      </w:pPr>
      <w:r>
        <w:rPr>
          <w:rFonts w:ascii="Times New Roman" w:eastAsia="Calibri" w:hAnsi="Times New Roman" w:cs="Times New Roman"/>
          <w:bCs/>
          <w:i/>
          <w:sz w:val="24"/>
          <w:szCs w:val="24"/>
        </w:rPr>
        <w:t>ИСО 50001-2023 (</w:t>
      </w:r>
      <w:r>
        <w:rPr>
          <w:rFonts w:ascii="Times New Roman" w:eastAsia="Calibri" w:hAnsi="Times New Roman" w:cs="Times New Roman"/>
          <w:bCs/>
          <w:i/>
          <w:sz w:val="24"/>
          <w:szCs w:val="24"/>
          <w:lang w:val="en-US"/>
        </w:rPr>
        <w:t>ISO</w:t>
      </w:r>
      <w:r>
        <w:rPr>
          <w:rFonts w:ascii="Times New Roman" w:eastAsia="Calibri" w:hAnsi="Times New Roman" w:cs="Times New Roman"/>
          <w:bCs/>
          <w:i/>
          <w:sz w:val="24"/>
          <w:szCs w:val="24"/>
        </w:rPr>
        <w:t xml:space="preserve"> 50001:2018)– система энергетического менеджмента</w:t>
      </w:r>
    </w:p>
    <w:p w:rsidR="00D602D4" w:rsidRDefault="000B4C86">
      <w:pPr>
        <w:tabs>
          <w:tab w:val="left" w:pos="142"/>
          <w:tab w:val="left" w:pos="9356"/>
        </w:tabs>
        <w:spacing w:after="0" w:line="240" w:lineRule="auto"/>
        <w:ind w:right="-143" w:firstLine="709"/>
        <w:contextualSpacing/>
        <w:jc w:val="both"/>
        <w:rPr>
          <w:rFonts w:ascii="Times New Roman" w:eastAsia="Calibri" w:hAnsi="Times New Roman" w:cs="Times New Roman"/>
          <w:bCs/>
          <w:i/>
          <w:sz w:val="24"/>
          <w:szCs w:val="24"/>
        </w:rPr>
      </w:pPr>
      <w:r>
        <w:rPr>
          <w:rFonts w:ascii="Times New Roman" w:eastAsia="Calibri" w:hAnsi="Times New Roman" w:cs="Times New Roman"/>
          <w:bCs/>
          <w:i/>
          <w:sz w:val="24"/>
          <w:szCs w:val="24"/>
        </w:rPr>
        <w:t>ИСО 45001-2020 (</w:t>
      </w:r>
      <w:r>
        <w:rPr>
          <w:rFonts w:ascii="Times New Roman" w:eastAsia="Calibri" w:hAnsi="Times New Roman" w:cs="Times New Roman"/>
          <w:bCs/>
          <w:i/>
          <w:sz w:val="24"/>
          <w:szCs w:val="24"/>
          <w:lang w:val="en-US"/>
        </w:rPr>
        <w:t>ISO</w:t>
      </w:r>
      <w:r>
        <w:rPr>
          <w:rFonts w:ascii="Times New Roman" w:eastAsia="Calibri" w:hAnsi="Times New Roman" w:cs="Times New Roman"/>
          <w:bCs/>
          <w:i/>
          <w:sz w:val="24"/>
          <w:szCs w:val="24"/>
        </w:rPr>
        <w:t xml:space="preserve"> 45001:2018)– системы менеджмента безопасности труда и охраны здоровья. </w:t>
      </w:r>
    </w:p>
    <w:p w:rsidR="00D602D4" w:rsidRDefault="000B4C86">
      <w:pPr>
        <w:tabs>
          <w:tab w:val="left" w:pos="142"/>
          <w:tab w:val="left" w:pos="9356"/>
        </w:tabs>
        <w:spacing w:after="0" w:line="240" w:lineRule="auto"/>
        <w:ind w:right="-143" w:firstLine="709"/>
        <w:contextualSpacing/>
        <w:jc w:val="both"/>
        <w:rPr>
          <w:rFonts w:ascii="Times New Roman" w:eastAsia="Calibri" w:hAnsi="Times New Roman" w:cs="Times New Roman"/>
          <w:bCs/>
          <w:i/>
          <w:sz w:val="24"/>
          <w:szCs w:val="24"/>
          <w:highlight w:val="white"/>
        </w:rPr>
      </w:pPr>
      <w:r>
        <w:rPr>
          <w:rFonts w:ascii="Times New Roman" w:eastAsia="Calibri" w:hAnsi="Times New Roman" w:cs="Times New Roman"/>
          <w:i/>
          <w:iCs/>
          <w:sz w:val="24"/>
          <w:szCs w:val="24"/>
        </w:rPr>
        <w:t>ИСО 56273.</w:t>
      </w:r>
      <w:r>
        <w:rPr>
          <w:rFonts w:ascii="Times New Roman" w:eastAsia="Calibri" w:hAnsi="Times New Roman" w:cs="Times New Roman"/>
          <w:i/>
          <w:iCs/>
          <w:sz w:val="24"/>
          <w:szCs w:val="24"/>
          <w:highlight w:val="white"/>
        </w:rPr>
        <w:t>1</w:t>
      </w:r>
      <w:r>
        <w:rPr>
          <w:rFonts w:ascii="Times New Roman" w:eastAsia="Calibri" w:hAnsi="Times New Roman" w:cs="Times New Roman"/>
          <w:bCs/>
          <w:i/>
          <w:iCs/>
          <w:sz w:val="24"/>
          <w:szCs w:val="24"/>
          <w:highlight w:val="white"/>
        </w:rPr>
        <w:t xml:space="preserve"> </w:t>
      </w:r>
      <w:r>
        <w:rPr>
          <w:rFonts w:ascii="Times New Roman" w:eastAsia="Calibri" w:hAnsi="Times New Roman" w:cs="Times New Roman"/>
          <w:bCs/>
          <w:i/>
          <w:sz w:val="24"/>
          <w:szCs w:val="24"/>
          <w:highlight w:val="white"/>
        </w:rPr>
        <w:t>(</w:t>
      </w:r>
      <w:r>
        <w:rPr>
          <w:rFonts w:ascii="Times New Roman" w:eastAsia="Calibri" w:hAnsi="Times New Roman" w:cs="Times New Roman"/>
          <w:bCs/>
          <w:i/>
          <w:sz w:val="24"/>
          <w:szCs w:val="24"/>
          <w:highlight w:val="white"/>
          <w:lang w:val="en-US"/>
        </w:rPr>
        <w:t>ISO</w:t>
      </w:r>
      <w:r>
        <w:rPr>
          <w:rFonts w:ascii="Times New Roman" w:eastAsia="Calibri" w:hAnsi="Times New Roman" w:cs="Times New Roman"/>
          <w:bCs/>
          <w:i/>
          <w:sz w:val="24"/>
          <w:szCs w:val="24"/>
          <w:highlight w:val="white"/>
        </w:rPr>
        <w:t xml:space="preserve"> 56002:2019) – система инновационного менеджмента</w:t>
      </w:r>
    </w:p>
    <w:p w:rsidR="00D602D4" w:rsidRDefault="00D602D4">
      <w:pPr>
        <w:tabs>
          <w:tab w:val="left" w:pos="1276"/>
        </w:tabs>
        <w:spacing w:after="0" w:line="240" w:lineRule="auto"/>
        <w:ind w:firstLine="709"/>
        <w:contextualSpacing/>
        <w:jc w:val="both"/>
        <w:rPr>
          <w:rFonts w:ascii="Times New Roman" w:eastAsia="Calibri" w:hAnsi="Times New Roman" w:cs="Times New Roman"/>
          <w:sz w:val="24"/>
          <w:szCs w:val="24"/>
        </w:rPr>
      </w:pPr>
    </w:p>
    <w:p w:rsidR="00D602D4" w:rsidRDefault="000B4C86">
      <w:pPr>
        <w:tabs>
          <w:tab w:val="left" w:pos="426"/>
          <w:tab w:val="left" w:pos="1276"/>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К основным участникам систем менеджмента относятся:</w:t>
      </w:r>
    </w:p>
    <w:p w:rsidR="00D602D4" w:rsidRDefault="000B4C86">
      <w:pPr>
        <w:pStyle w:val="ac"/>
        <w:numPr>
          <w:ilvl w:val="0"/>
          <w:numId w:val="20"/>
        </w:numPr>
        <w:tabs>
          <w:tab w:val="left" w:pos="426"/>
          <w:tab w:val="left" w:pos="993"/>
        </w:tabs>
        <w:spacing w:after="0" w:line="240" w:lineRule="auto"/>
        <w:ind w:left="709" w:firstLine="0"/>
        <w:jc w:val="both"/>
        <w:rPr>
          <w:rFonts w:ascii="Times New Roman" w:hAnsi="Times New Roman"/>
          <w:sz w:val="24"/>
          <w:szCs w:val="24"/>
        </w:rPr>
      </w:pPr>
      <w:r>
        <w:rPr>
          <w:rFonts w:ascii="Times New Roman" w:hAnsi="Times New Roman"/>
          <w:sz w:val="24"/>
          <w:szCs w:val="24"/>
        </w:rPr>
        <w:t>совет директоров Общества;</w:t>
      </w:r>
    </w:p>
    <w:p w:rsidR="00D602D4" w:rsidRDefault="000B4C86">
      <w:pPr>
        <w:pStyle w:val="ac"/>
        <w:numPr>
          <w:ilvl w:val="0"/>
          <w:numId w:val="20"/>
        </w:numPr>
        <w:tabs>
          <w:tab w:val="left" w:pos="426"/>
          <w:tab w:val="left" w:pos="993"/>
        </w:tabs>
        <w:spacing w:after="0" w:line="240" w:lineRule="auto"/>
        <w:ind w:left="709" w:firstLine="0"/>
        <w:jc w:val="both"/>
        <w:rPr>
          <w:rFonts w:ascii="Times New Roman" w:hAnsi="Times New Roman"/>
          <w:sz w:val="24"/>
          <w:szCs w:val="24"/>
        </w:rPr>
      </w:pPr>
      <w:r>
        <w:rPr>
          <w:rFonts w:ascii="Times New Roman" w:hAnsi="Times New Roman"/>
          <w:sz w:val="24"/>
          <w:szCs w:val="24"/>
        </w:rPr>
        <w:t>исполнительные органы Общества – Генеральный директор и Правление;</w:t>
      </w:r>
    </w:p>
    <w:p w:rsidR="00D602D4" w:rsidRDefault="000B4C86">
      <w:pPr>
        <w:pStyle w:val="ac"/>
        <w:numPr>
          <w:ilvl w:val="0"/>
          <w:numId w:val="20"/>
        </w:numPr>
        <w:tabs>
          <w:tab w:val="left" w:pos="426"/>
          <w:tab w:val="left" w:pos="993"/>
        </w:tabs>
        <w:spacing w:after="0" w:line="240" w:lineRule="auto"/>
        <w:ind w:left="709" w:firstLine="0"/>
        <w:jc w:val="both"/>
        <w:rPr>
          <w:rFonts w:ascii="Times New Roman" w:hAnsi="Times New Roman"/>
          <w:sz w:val="24"/>
          <w:szCs w:val="24"/>
        </w:rPr>
      </w:pPr>
      <w:r>
        <w:rPr>
          <w:rFonts w:ascii="Times New Roman" w:hAnsi="Times New Roman"/>
          <w:sz w:val="24"/>
          <w:szCs w:val="24"/>
        </w:rPr>
        <w:t>представитель руководства Общества по соответствующей системе менеджмента;</w:t>
      </w:r>
    </w:p>
    <w:p w:rsidR="00D602D4" w:rsidRDefault="000B4C86">
      <w:pPr>
        <w:pStyle w:val="ac"/>
        <w:numPr>
          <w:ilvl w:val="0"/>
          <w:numId w:val="20"/>
        </w:numPr>
        <w:tabs>
          <w:tab w:val="left" w:pos="426"/>
          <w:tab w:val="left" w:pos="993"/>
        </w:tabs>
        <w:spacing w:after="0" w:line="240" w:lineRule="auto"/>
        <w:ind w:left="709" w:firstLine="0"/>
        <w:jc w:val="both"/>
        <w:rPr>
          <w:rFonts w:ascii="Times New Roman" w:hAnsi="Times New Roman"/>
          <w:sz w:val="24"/>
          <w:szCs w:val="24"/>
        </w:rPr>
      </w:pPr>
      <w:r>
        <w:rPr>
          <w:rFonts w:ascii="Times New Roman" w:hAnsi="Times New Roman"/>
          <w:sz w:val="24"/>
          <w:szCs w:val="24"/>
        </w:rPr>
        <w:t>структурное подразделение, осуществляющее функции по организации функционирования систем менеджмента;</w:t>
      </w:r>
    </w:p>
    <w:p w:rsidR="00D602D4" w:rsidRDefault="000B4C86">
      <w:pPr>
        <w:pStyle w:val="ac"/>
        <w:numPr>
          <w:ilvl w:val="0"/>
          <w:numId w:val="20"/>
        </w:numPr>
        <w:tabs>
          <w:tab w:val="left" w:pos="426"/>
          <w:tab w:val="left" w:pos="993"/>
        </w:tabs>
        <w:spacing w:after="0" w:line="240" w:lineRule="auto"/>
        <w:ind w:left="709" w:firstLine="0"/>
        <w:jc w:val="both"/>
        <w:rPr>
          <w:rFonts w:ascii="Times New Roman" w:hAnsi="Times New Roman"/>
          <w:sz w:val="24"/>
          <w:szCs w:val="24"/>
        </w:rPr>
      </w:pPr>
      <w:r>
        <w:rPr>
          <w:rFonts w:ascii="Times New Roman" w:hAnsi="Times New Roman"/>
          <w:sz w:val="24"/>
          <w:szCs w:val="24"/>
        </w:rPr>
        <w:t>структурные подразделения Общества и ДЗО, участвующие в процессе функционирования систем менеджмента</w:t>
      </w:r>
    </w:p>
    <w:p w:rsidR="00D602D4" w:rsidRDefault="00D602D4">
      <w:pPr>
        <w:tabs>
          <w:tab w:val="left" w:pos="426"/>
          <w:tab w:val="left" w:pos="1276"/>
        </w:tabs>
        <w:spacing w:after="0" w:line="240" w:lineRule="auto"/>
        <w:ind w:firstLine="709"/>
        <w:contextualSpacing/>
        <w:jc w:val="both"/>
        <w:rPr>
          <w:rFonts w:ascii="Times New Roman" w:eastAsia="Calibri" w:hAnsi="Times New Roman" w:cs="Times New Roman"/>
          <w:sz w:val="24"/>
          <w:szCs w:val="24"/>
        </w:rPr>
      </w:pPr>
    </w:p>
    <w:p w:rsidR="00D602D4" w:rsidRDefault="000B4C86">
      <w:pPr>
        <w:tabs>
          <w:tab w:val="left" w:pos="426"/>
          <w:tab w:val="left" w:pos="1276"/>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Основные результаты функционирования систем менеджмента:</w:t>
      </w:r>
    </w:p>
    <w:p w:rsidR="00D602D4" w:rsidRDefault="000B4C86">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а)</w:t>
      </w:r>
      <w:r>
        <w:rPr>
          <w:rFonts w:ascii="Times New Roman" w:eastAsia="Calibri" w:hAnsi="Times New Roman" w:cs="Times New Roman"/>
          <w:sz w:val="24"/>
          <w:szCs w:val="24"/>
        </w:rPr>
        <w:tab/>
        <w:t>повышение надежности и качества энергоснабжения;</w:t>
      </w:r>
    </w:p>
    <w:p w:rsidR="00D602D4" w:rsidRDefault="000B4C86">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Информация предоставлена в разделе «Результаты производственной деятельности» на стр.</w:t>
      </w:r>
      <w:r>
        <w:rPr>
          <w:rFonts w:ascii="Times New Roman" w:eastAsia="Calibri" w:hAnsi="Times New Roman" w:cs="Times New Roman"/>
          <w:sz w:val="24"/>
          <w:szCs w:val="24"/>
          <w:shd w:val="clear" w:color="FFFFFF" w:themeColor="background1" w:fill="FFFFFF" w:themeFill="background1"/>
        </w:rPr>
        <w:t>43.</w:t>
      </w:r>
    </w:p>
    <w:p w:rsidR="00D602D4" w:rsidRDefault="000B4C86">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б)</w:t>
      </w:r>
      <w:r>
        <w:rPr>
          <w:rFonts w:ascii="Times New Roman" w:eastAsia="Calibri" w:hAnsi="Times New Roman" w:cs="Times New Roman"/>
          <w:sz w:val="24"/>
          <w:szCs w:val="24"/>
        </w:rPr>
        <w:tab/>
        <w:t>увеличение безопасности энергоснабжения;</w:t>
      </w:r>
    </w:p>
    <w:p w:rsidR="00D602D4" w:rsidRDefault="000B4C86">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shd w:val="clear" w:color="FFFFFF" w:themeColor="background1" w:fill="FFFFFF" w:themeFill="background1"/>
        </w:rPr>
        <w:t>Информация предоставлена в разделе «Охрана труда и промышленная безопасность» на стр. 115.</w:t>
      </w:r>
    </w:p>
    <w:p w:rsidR="00D602D4" w:rsidRDefault="000B4C86">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в)</w:t>
      </w:r>
      <w:r>
        <w:rPr>
          <w:rFonts w:ascii="Times New Roman" w:eastAsia="Calibri" w:hAnsi="Times New Roman" w:cs="Times New Roman"/>
          <w:sz w:val="24"/>
          <w:szCs w:val="24"/>
        </w:rPr>
        <w:tab/>
        <w:t>обеспечение безопасности труда и охраны здоровья при осуществлении производственной деятельности, в том числе снижение общего количества несчастных случаев при соблюдении требований законодательства в области охраны труда;</w:t>
      </w:r>
    </w:p>
    <w:p w:rsidR="00D602D4" w:rsidRDefault="000B4C86">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Информация предоставлена в разделе «Охрана труда и промышленная безопасность» на стр. 115.</w:t>
      </w:r>
    </w:p>
    <w:p w:rsidR="00D602D4" w:rsidRDefault="000B4C86">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г)</w:t>
      </w:r>
      <w:r>
        <w:rPr>
          <w:rFonts w:ascii="Times New Roman" w:eastAsia="Calibri" w:hAnsi="Times New Roman" w:cs="Times New Roman"/>
          <w:sz w:val="24"/>
          <w:szCs w:val="24"/>
        </w:rPr>
        <w:tab/>
        <w:t>повышение энергетической эффективности;</w:t>
      </w:r>
    </w:p>
    <w:p w:rsidR="00D602D4" w:rsidRDefault="000B4C86">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Информация предоставлена в разделе «Энергопотребление и энергосбережение» на </w:t>
      </w:r>
      <w:r>
        <w:rPr>
          <w:rFonts w:ascii="Times New Roman" w:eastAsia="Calibri" w:hAnsi="Times New Roman" w:cs="Times New Roman"/>
          <w:sz w:val="24"/>
          <w:szCs w:val="24"/>
          <w:shd w:val="clear" w:color="FFFFFF" w:themeColor="background1" w:fill="FFFFFF" w:themeFill="background1"/>
        </w:rPr>
        <w:t>стр. 127.</w:t>
      </w:r>
    </w:p>
    <w:p w:rsidR="00D602D4" w:rsidRDefault="000B4C86">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д)</w:t>
      </w:r>
      <w:r>
        <w:rPr>
          <w:rFonts w:ascii="Times New Roman" w:eastAsia="Calibri" w:hAnsi="Times New Roman" w:cs="Times New Roman"/>
          <w:sz w:val="24"/>
          <w:szCs w:val="24"/>
        </w:rPr>
        <w:tab/>
        <w:t>обеспечение экологической безопасности</w:t>
      </w:r>
      <w:r>
        <w:rPr>
          <w:rFonts w:ascii="Times New Roman" w:hAnsi="Times New Roman" w:cs="Times New Roman"/>
          <w:sz w:val="24"/>
          <w:szCs w:val="24"/>
        </w:rPr>
        <w:t xml:space="preserve"> </w:t>
      </w:r>
      <w:r>
        <w:rPr>
          <w:rFonts w:ascii="Times New Roman" w:eastAsia="Calibri" w:hAnsi="Times New Roman" w:cs="Times New Roman"/>
          <w:sz w:val="24"/>
          <w:szCs w:val="24"/>
        </w:rPr>
        <w:t>и охраны окружающей среды.</w:t>
      </w:r>
    </w:p>
    <w:p w:rsidR="00D602D4" w:rsidRDefault="000B4C86">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Информация предоставлена в разделах «Охрана труда и промышленная безопасность» </w:t>
      </w:r>
      <w:r>
        <w:rPr>
          <w:rFonts w:ascii="Times New Roman" w:eastAsia="Calibri" w:hAnsi="Times New Roman" w:cs="Times New Roman"/>
          <w:sz w:val="24"/>
          <w:szCs w:val="24"/>
          <w:shd w:val="clear" w:color="FFFFFF" w:themeColor="background1" w:fill="FFFFFF" w:themeFill="background1"/>
        </w:rPr>
        <w:t>на стр. 115 и «Охрана окружающей среды» на стр. 115.</w:t>
      </w:r>
    </w:p>
    <w:p w:rsidR="00D602D4" w:rsidRDefault="000B4C86">
      <w:pPr>
        <w:tabs>
          <w:tab w:val="left" w:pos="426"/>
          <w:tab w:val="left" w:pos="993"/>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е)</w:t>
      </w:r>
      <w:r>
        <w:rPr>
          <w:rFonts w:ascii="Times New Roman" w:eastAsia="Calibri" w:hAnsi="Times New Roman" w:cs="Times New Roman"/>
          <w:sz w:val="24"/>
          <w:szCs w:val="24"/>
        </w:rPr>
        <w:tab/>
        <w:t>повышение качества услуг по технологическому присоединению</w:t>
      </w:r>
    </w:p>
    <w:p w:rsidR="00D602D4" w:rsidRDefault="000B4C86">
      <w:pPr>
        <w:shd w:val="clear" w:color="FFFFFF" w:themeColor="background1" w:fill="FFFFFF" w:themeFill="background1"/>
        <w:tabs>
          <w:tab w:val="left" w:pos="426"/>
          <w:tab w:val="left" w:pos="1276"/>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Информация предоставлена в разделе «Технологическое присоединение» на стр.51.</w:t>
      </w:r>
    </w:p>
    <w:p w:rsidR="00D602D4" w:rsidRDefault="000B4C86">
      <w:pPr>
        <w:shd w:val="clear" w:color="FFFFFF" w:themeColor="background1" w:fill="FFFFFF" w:themeFill="background1"/>
        <w:tabs>
          <w:tab w:val="left" w:pos="426"/>
          <w:tab w:val="left" w:pos="1276"/>
        </w:tabs>
        <w:spacing w:after="0" w:line="240" w:lineRule="auto"/>
        <w:ind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В целом функционирование интегрированной системы менеджмента показало положительные результаты за истекший год.</w:t>
      </w: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0B4C86">
      <w:pPr>
        <w:pStyle w:val="13"/>
        <w:spacing w:before="0" w:line="240" w:lineRule="auto"/>
        <w:jc w:val="both"/>
        <w:rPr>
          <w:rFonts w:ascii="Times New Roman" w:hAnsi="Times New Roman" w:cs="Times New Roman"/>
          <w:b/>
          <w:bCs/>
          <w:color w:val="auto"/>
          <w:sz w:val="26"/>
          <w:szCs w:val="26"/>
        </w:rPr>
      </w:pPr>
      <w:bookmarkStart w:id="79" w:name="_Toc112"/>
      <w:r>
        <w:rPr>
          <w:rFonts w:ascii="Times New Roman" w:eastAsia="Times New Roman" w:hAnsi="Times New Roman" w:cs="Times New Roman"/>
          <w:b/>
          <w:color w:val="auto"/>
          <w:sz w:val="26"/>
          <w:szCs w:val="26"/>
        </w:rPr>
        <w:t>4.10. Закупочная деятельность</w:t>
      </w:r>
      <w:bookmarkEnd w:id="79"/>
    </w:p>
    <w:p w:rsidR="00D602D4" w:rsidRDefault="00D602D4">
      <w:pPr>
        <w:spacing w:after="0" w:line="240" w:lineRule="auto"/>
      </w:pPr>
    </w:p>
    <w:p w:rsidR="00D602D4" w:rsidRDefault="000B4C86">
      <w:pPr>
        <w:pStyle w:val="aff"/>
        <w:keepNext w:val="0"/>
        <w:keepLines w:val="0"/>
        <w:widowControl w:val="0"/>
        <w:spacing w:before="0"/>
        <w:ind w:firstLine="709"/>
        <w:rPr>
          <w:color w:val="auto"/>
          <w:sz w:val="24"/>
          <w:szCs w:val="24"/>
        </w:rPr>
      </w:pPr>
      <w:bookmarkStart w:id="80" w:name="_Toc113"/>
      <w:r>
        <w:rPr>
          <w:color w:val="auto"/>
          <w:sz w:val="24"/>
          <w:szCs w:val="24"/>
        </w:rPr>
        <w:t>1. Нормативное регулирование закупочной деятельности</w:t>
      </w:r>
      <w:bookmarkEnd w:id="80"/>
    </w:p>
    <w:p w:rsidR="00D602D4" w:rsidRDefault="000B4C86">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Основным нормативным документом, регламентирующим закупочную деятельность ПАО «Россети Сибирь» в 2024 году, являлся Единый стандарт закупок ПАО «Россети» (Положение о закупке), утвержденный решением Совета директоров ПАО «Россети» от 30.12.2022 (протокол от 30.12.2022 № 604). Решение о присоединении ПАО «Россети Сибирь» к Единому стандарту закупок ПАО «Россети» (Положение о закупке) принято Советом директоров ПАО «Россети Сибирь» 01.02.2023 (протокол от 03.02.2023 № 479/23). Единый стандарт подготовлен во исполнение Федерального закона от 18.07.2011 № 223-ФЗ «О закупках товаров, работ, услуг отдельными видами юридических лиц» и регламентирует процедуры закупок товаров, работ, услуг, (продукции) независимо от ее стоимости.</w:t>
      </w:r>
    </w:p>
    <w:p w:rsidR="00D602D4" w:rsidRDefault="00D602D4">
      <w:pPr>
        <w:widowControl w:val="0"/>
        <w:tabs>
          <w:tab w:val="left" w:pos="733"/>
          <w:tab w:val="left" w:pos="1693"/>
        </w:tabs>
        <w:spacing w:after="0" w:line="240" w:lineRule="auto"/>
        <w:ind w:firstLine="709"/>
        <w:jc w:val="both"/>
        <w:rPr>
          <w:rFonts w:ascii="Times New Roman" w:eastAsia="Calibri" w:hAnsi="Times New Roman" w:cs="Times New Roman"/>
          <w:sz w:val="24"/>
          <w:szCs w:val="24"/>
          <w:highlight w:val="yellow"/>
        </w:rPr>
      </w:pPr>
    </w:p>
    <w:p w:rsidR="00D602D4" w:rsidRDefault="000B4C86">
      <w:pPr>
        <w:pStyle w:val="aff"/>
        <w:keepNext w:val="0"/>
        <w:keepLines w:val="0"/>
        <w:widowControl w:val="0"/>
        <w:spacing w:before="0"/>
        <w:ind w:firstLine="709"/>
        <w:rPr>
          <w:color w:val="auto"/>
          <w:sz w:val="24"/>
          <w:szCs w:val="24"/>
        </w:rPr>
      </w:pPr>
      <w:bookmarkStart w:id="81" w:name="_Toc114"/>
      <w:r>
        <w:rPr>
          <w:color w:val="auto"/>
          <w:sz w:val="24"/>
          <w:szCs w:val="24"/>
        </w:rPr>
        <w:t>2. Принципы построения закупочной деятельности</w:t>
      </w:r>
      <w:bookmarkEnd w:id="81"/>
    </w:p>
    <w:p w:rsidR="00D602D4" w:rsidRDefault="000B4C86">
      <w:pPr>
        <w:widowControl w:val="0"/>
        <w:tabs>
          <w:tab w:val="left" w:pos="733"/>
          <w:tab w:val="left" w:pos="16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Основными принципами осуществления закупочной деятельности Общества являются:</w:t>
      </w:r>
    </w:p>
    <w:p w:rsidR="00D602D4" w:rsidRDefault="000B4C86">
      <w:pPr>
        <w:widowControl w:val="0"/>
        <w:tabs>
          <w:tab w:val="left" w:pos="733"/>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z w:val="24"/>
          <w:szCs w:val="24"/>
        </w:rPr>
        <w:tab/>
        <w:t xml:space="preserve">информационная открытость закупок – обеспечение открытости закупочной </w:t>
      </w:r>
      <w:r>
        <w:rPr>
          <w:rFonts w:ascii="Times New Roman" w:hAnsi="Times New Roman" w:cs="Times New Roman"/>
          <w:sz w:val="24"/>
          <w:szCs w:val="24"/>
        </w:rPr>
        <w:lastRenderedPageBreak/>
        <w:t>деятельности в соответствии с требованиями действующего законодательства Российской Федерации, а также степени, необходимой и достаточной для обеспечения возможности принятия потенциальными контрагентами решений по участию в закупочных процедурах Россети Сибирь.</w:t>
      </w:r>
    </w:p>
    <w:p w:rsidR="00D602D4" w:rsidRDefault="000B4C86">
      <w:pPr>
        <w:widowControl w:val="0"/>
        <w:tabs>
          <w:tab w:val="left" w:pos="733"/>
          <w:tab w:val="left" w:pos="993"/>
          <w:tab w:val="left" w:pos="16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z w:val="24"/>
          <w:szCs w:val="24"/>
        </w:rPr>
        <w:tab/>
        <w:t>равноправие, справедливость, отсутствие дискриминации и необоснованных ограничений конкуренции по отношению к участникам закупки – обеспечение недискриминационного доступа поставщиков (исполнителей, подрядчиков) к закупкам товаров, работ, услуг является приоритетным, выбор поставщиков (исполнителей, подрядчиков), осуществляется преимущественно путем проведения конкурентных закупок, на основе равных конкурентных возможностей, при отсутствии дискриминации и необоснованных ограничений по отношению к участникам закупок, в соответствии с обоснованными требованиями к потенциальным участникам закупочных процедур и закупаемым товарам, работам, услугам, с учетом, при необходимости, жизненного цикла продукции, сокращение практики заключения договоров с единственным поставщиком (исполнителем, подрядчиком).</w:t>
      </w:r>
    </w:p>
    <w:p w:rsidR="00D602D4" w:rsidRDefault="000B4C86">
      <w:pPr>
        <w:widowControl w:val="0"/>
        <w:tabs>
          <w:tab w:val="left" w:pos="733"/>
          <w:tab w:val="left" w:pos="993"/>
          <w:tab w:val="left" w:pos="16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z w:val="24"/>
          <w:szCs w:val="24"/>
        </w:rPr>
        <w:tab/>
        <w:t xml:space="preserve">целевое и экономически эффективное расходование денежных средств на приобретение товаров, работ, услуг и реализация мер, направленных на сокращение издержек ПАО «Россети Сибирь» – выбор технико-коммерческих предложений по всей совокупности ценовых и неценовых заранее установленных критериев, определяющих экономическую и иную требуемую эффективность закупки. </w:t>
      </w:r>
    </w:p>
    <w:p w:rsidR="00D602D4" w:rsidRDefault="000B4C86">
      <w:pPr>
        <w:widowControl w:val="0"/>
        <w:tabs>
          <w:tab w:val="left" w:pos="733"/>
          <w:tab w:val="left" w:pos="993"/>
          <w:tab w:val="left" w:pos="16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z w:val="24"/>
          <w:szCs w:val="24"/>
        </w:rPr>
        <w:tab/>
        <w:t>отсутствие ограничения допуска к участию в закупке путем установления неизмеряемых требований к участникам закупки.</w:t>
      </w:r>
    </w:p>
    <w:p w:rsidR="00D602D4" w:rsidRDefault="000B4C86">
      <w:pPr>
        <w:widowControl w:val="0"/>
        <w:tabs>
          <w:tab w:val="left" w:pos="733"/>
          <w:tab w:val="left" w:pos="993"/>
          <w:tab w:val="left" w:pos="16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w:t>
      </w:r>
      <w:r>
        <w:rPr>
          <w:rFonts w:ascii="Times New Roman" w:hAnsi="Times New Roman" w:cs="Times New Roman"/>
          <w:sz w:val="24"/>
          <w:szCs w:val="24"/>
        </w:rPr>
        <w:tab/>
        <w:t>прозрачность и управляемость закупочной деятельности – планирование, учет, мониторинг, контроль и аудит закупочной деятельности на всех ее этапах осуществления.</w:t>
      </w:r>
    </w:p>
    <w:p w:rsidR="00D602D4" w:rsidRDefault="000B4C86">
      <w:pPr>
        <w:widowControl w:val="0"/>
        <w:tabs>
          <w:tab w:val="left" w:pos="733"/>
          <w:tab w:val="left" w:pos="993"/>
          <w:tab w:val="left" w:pos="16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е)</w:t>
      </w:r>
      <w:r>
        <w:rPr>
          <w:rFonts w:ascii="Times New Roman" w:hAnsi="Times New Roman" w:cs="Times New Roman"/>
          <w:sz w:val="24"/>
          <w:szCs w:val="24"/>
        </w:rPr>
        <w:tab/>
        <w:t>профессионализм и компетентность работников, участвующих в закупочной деятельности ПАО «Россети Сибирь» – персональная ответственность должностных лиц за эффективную организацию процедур закупок, а также за принятые ими решения по осуществляемым закупкам; безупречное выполнение действий, предписанных регламентирующими закупки документами; обеспечение оценки и повышения квалификации персонала, ответственного за осуществление закупочной деятельности.</w:t>
      </w:r>
    </w:p>
    <w:p w:rsidR="00D602D4" w:rsidRDefault="000B4C86">
      <w:pPr>
        <w:widowControl w:val="0"/>
        <w:tabs>
          <w:tab w:val="left" w:pos="733"/>
          <w:tab w:val="left" w:pos="993"/>
          <w:tab w:val="left" w:pos="16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ж)</w:t>
      </w:r>
      <w:r>
        <w:rPr>
          <w:rFonts w:ascii="Times New Roman" w:hAnsi="Times New Roman" w:cs="Times New Roman"/>
          <w:sz w:val="24"/>
          <w:szCs w:val="24"/>
        </w:rPr>
        <w:tab/>
        <w:t>соблюдение норм действующего законодательства, регламентирующего организацию закупочной деятельности, а также антикоррупционного законодательства, в том числе Антикоррупционного стандарта закупочной деятельности.</w:t>
      </w:r>
    </w:p>
    <w:p w:rsidR="00D602D4" w:rsidRDefault="00D602D4">
      <w:pPr>
        <w:widowControl w:val="0"/>
        <w:tabs>
          <w:tab w:val="left" w:pos="733"/>
          <w:tab w:val="left" w:pos="1693"/>
        </w:tabs>
        <w:spacing w:after="0" w:line="240" w:lineRule="auto"/>
        <w:ind w:firstLine="709"/>
        <w:jc w:val="both"/>
        <w:rPr>
          <w:rFonts w:ascii="Times New Roman" w:hAnsi="Times New Roman" w:cs="Times New Roman"/>
          <w:sz w:val="24"/>
          <w:szCs w:val="24"/>
          <w:highlight w:val="yellow"/>
        </w:rPr>
      </w:pPr>
    </w:p>
    <w:p w:rsidR="00D602D4" w:rsidRDefault="000B4C86">
      <w:pPr>
        <w:pStyle w:val="aff"/>
        <w:keepNext w:val="0"/>
        <w:keepLines w:val="0"/>
        <w:widowControl w:val="0"/>
        <w:spacing w:before="0"/>
        <w:ind w:firstLine="709"/>
        <w:jc w:val="both"/>
        <w:rPr>
          <w:color w:val="auto"/>
          <w:sz w:val="24"/>
          <w:szCs w:val="24"/>
        </w:rPr>
      </w:pPr>
      <w:bookmarkStart w:id="82" w:name="_Toc115"/>
      <w:r>
        <w:rPr>
          <w:color w:val="auto"/>
          <w:sz w:val="24"/>
          <w:szCs w:val="24"/>
        </w:rPr>
        <w:t>3. Способы проведения закупочных процедур, с указанием условий их применения</w:t>
      </w:r>
      <w:bookmarkEnd w:id="82"/>
    </w:p>
    <w:p w:rsidR="00D602D4" w:rsidRDefault="000B4C86">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ПАО «Россети Сибирь» предусмотрены конкурентные и неконкурентные способы закупок.</w:t>
      </w:r>
    </w:p>
    <w:p w:rsidR="00D602D4" w:rsidRDefault="000B4C86">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К конкурентным способам закупок относятся: </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а)</w:t>
      </w:r>
      <w:r>
        <w:rPr>
          <w:rFonts w:ascii="Times New Roman" w:eastAsia="Calibri" w:hAnsi="Times New Roman" w:cs="Times New Roman"/>
          <w:sz w:val="24"/>
          <w:szCs w:val="24"/>
        </w:rPr>
        <w:tab/>
        <w:t>конкурс (открытый конкурс, конкурс в электронной форме, закрытый конкурс в электронной форме, закрытый конкурс в неэлектронной форме);</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б)</w:t>
      </w:r>
      <w:r>
        <w:rPr>
          <w:rFonts w:ascii="Times New Roman" w:eastAsia="Calibri" w:hAnsi="Times New Roman" w:cs="Times New Roman"/>
          <w:sz w:val="24"/>
          <w:szCs w:val="24"/>
        </w:rPr>
        <w:tab/>
        <w:t>аукцион (открытый аукцион, аукцион в электронной форме, закрытый аукцион в электронной форме, закрытый аукцион в неэлектронной форме);</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w:t>
      </w:r>
      <w:r>
        <w:rPr>
          <w:rFonts w:ascii="Times New Roman" w:eastAsia="Calibri" w:hAnsi="Times New Roman" w:cs="Times New Roman"/>
          <w:sz w:val="24"/>
          <w:szCs w:val="24"/>
        </w:rPr>
        <w:tab/>
        <w:t>запрос предложений (запрос предложений в электронной форме, закрытый запрос предложений в электронной форме, закрытый запрос предложений в неэлектронной форме);</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г)</w:t>
      </w:r>
      <w:r>
        <w:rPr>
          <w:rFonts w:ascii="Times New Roman" w:eastAsia="Calibri" w:hAnsi="Times New Roman" w:cs="Times New Roman"/>
          <w:sz w:val="24"/>
          <w:szCs w:val="24"/>
        </w:rPr>
        <w:tab/>
        <w:t>запрос котировок (запрос котировок в электронной форме, закрытый запрос котировок в электронной форме, закрытый запрос котировок в неэлектронной форме);</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w:t>
      </w:r>
      <w:r>
        <w:rPr>
          <w:rFonts w:ascii="Times New Roman" w:eastAsia="Calibri" w:hAnsi="Times New Roman" w:cs="Times New Roman"/>
          <w:sz w:val="24"/>
          <w:szCs w:val="24"/>
        </w:rPr>
        <w:tab/>
        <w:t>конкурентный предварительный отбор;</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е)</w:t>
      </w:r>
      <w:r>
        <w:rPr>
          <w:rFonts w:ascii="Times New Roman" w:eastAsia="Calibri" w:hAnsi="Times New Roman" w:cs="Times New Roman"/>
          <w:sz w:val="24"/>
          <w:szCs w:val="24"/>
        </w:rPr>
        <w:tab/>
        <w:t>запрос цен по результатам конкурентного предварительного отбора.</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К неконкурентным способам закупок относятся:</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а)</w:t>
      </w:r>
      <w:r>
        <w:rPr>
          <w:rFonts w:ascii="Times New Roman" w:eastAsia="Calibri" w:hAnsi="Times New Roman" w:cs="Times New Roman"/>
          <w:sz w:val="24"/>
          <w:szCs w:val="24"/>
        </w:rPr>
        <w:tab/>
        <w:t>предварительный отбор;</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б)</w:t>
      </w:r>
      <w:r>
        <w:rPr>
          <w:rFonts w:ascii="Times New Roman" w:eastAsia="Calibri" w:hAnsi="Times New Roman" w:cs="Times New Roman"/>
          <w:sz w:val="24"/>
          <w:szCs w:val="24"/>
        </w:rPr>
        <w:tab/>
        <w:t>запрос цен по результатам предварительного отбора;</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w:t>
      </w:r>
      <w:r>
        <w:rPr>
          <w:rFonts w:ascii="Times New Roman" w:eastAsia="Calibri" w:hAnsi="Times New Roman" w:cs="Times New Roman"/>
          <w:sz w:val="24"/>
          <w:szCs w:val="24"/>
        </w:rPr>
        <w:tab/>
        <w:t>сравнение цен (сравнение цен в электронной форме, сравнение цен в неэлектронной форме);</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г)</w:t>
      </w:r>
      <w:r>
        <w:rPr>
          <w:rFonts w:ascii="Times New Roman" w:eastAsia="Calibri" w:hAnsi="Times New Roman" w:cs="Times New Roman"/>
          <w:sz w:val="24"/>
          <w:szCs w:val="24"/>
        </w:rPr>
        <w:tab/>
        <w:t>закупка у единственного поставщика (исполнителя, подрядчика);</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w:t>
      </w:r>
      <w:r>
        <w:rPr>
          <w:rFonts w:ascii="Times New Roman" w:eastAsia="Calibri" w:hAnsi="Times New Roman" w:cs="Times New Roman"/>
          <w:sz w:val="24"/>
          <w:szCs w:val="24"/>
        </w:rPr>
        <w:tab/>
        <w:t>закупка путем участия в процедурах, организованных продавцами продукции;</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е) закупка с ограниченным участием; </w:t>
      </w:r>
    </w:p>
    <w:p w:rsidR="00D602D4" w:rsidRDefault="000B4C86">
      <w:pPr>
        <w:widowControl w:val="0"/>
        <w:tabs>
          <w:tab w:val="left" w:pos="733"/>
          <w:tab w:val="left" w:pos="9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ж) закупка в электронном магазине.</w:t>
      </w:r>
    </w:p>
    <w:p w:rsidR="00D602D4" w:rsidRDefault="000B4C86">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Предусмотренные в Обществе способы закупок могут быть одноэтапные и многоэтапные, однолотовые и многолотовые.</w:t>
      </w:r>
    </w:p>
    <w:p w:rsidR="00D602D4" w:rsidRDefault="000B4C86">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Способ закупки выбирается в зависимости от предмета договора, количества критериев и иных факторов, при этом приоритетными являются конкурентные способы закупок.</w:t>
      </w:r>
    </w:p>
    <w:p w:rsidR="00D602D4" w:rsidRDefault="000B4C86">
      <w:pPr>
        <w:widowControl w:val="0"/>
        <w:tabs>
          <w:tab w:val="left" w:pos="733"/>
          <w:tab w:val="left" w:pos="1693"/>
        </w:tabs>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Условиями закупки может быть предусмотрена возможность выбора нескольких победителей закупки и заключения нескольких договоров по результатам закупки соответственно.</w:t>
      </w:r>
    </w:p>
    <w:p w:rsidR="00D602D4" w:rsidRDefault="00D602D4">
      <w:pPr>
        <w:widowControl w:val="0"/>
        <w:tabs>
          <w:tab w:val="left" w:pos="733"/>
          <w:tab w:val="left" w:pos="1693"/>
        </w:tabs>
        <w:spacing w:after="0" w:line="240" w:lineRule="auto"/>
        <w:ind w:firstLine="709"/>
        <w:jc w:val="both"/>
        <w:rPr>
          <w:rFonts w:ascii="Times New Roman" w:eastAsia="Calibri" w:hAnsi="Times New Roman" w:cs="Times New Roman"/>
          <w:b/>
          <w:sz w:val="24"/>
          <w:szCs w:val="24"/>
          <w:highlight w:val="yellow"/>
        </w:rPr>
      </w:pPr>
    </w:p>
    <w:p w:rsidR="00D602D4" w:rsidRDefault="000B4C86">
      <w:pPr>
        <w:pStyle w:val="af2"/>
        <w:widowControl w:val="0"/>
        <w:jc w:val="both"/>
        <w:rPr>
          <w:b/>
        </w:rPr>
      </w:pPr>
      <w:r>
        <w:rPr>
          <w:b/>
        </w:rPr>
        <w:t>4. Структура закупок, в том числе объем открытых конкурентных закупочных процедур, а также процедур, проведенных с применением электронных средств коммерции и объем достигнутой экономии</w:t>
      </w:r>
    </w:p>
    <w:p w:rsidR="00D602D4" w:rsidRDefault="000B4C86">
      <w:pPr>
        <w:pStyle w:val="af2"/>
        <w:widowControl w:val="0"/>
        <w:jc w:val="both"/>
      </w:pPr>
      <w:r>
        <w:rPr>
          <w:rFonts w:eastAsia="Calibri"/>
        </w:rPr>
        <w:t xml:space="preserve">В 2024 году было проведено 1 689 закупок на общую сумму </w:t>
      </w:r>
      <w:r>
        <w:rPr>
          <w:rFonts w:eastAsia="Calibri"/>
          <w:bCs/>
        </w:rPr>
        <w:t xml:space="preserve">80 248 </w:t>
      </w:r>
      <w:r>
        <w:rPr>
          <w:rFonts w:eastAsia="Calibri"/>
        </w:rPr>
        <w:t>млн</w:t>
      </w:r>
      <w:r>
        <w:rPr>
          <w:rFonts w:eastAsia="Calibri"/>
          <w:bCs/>
        </w:rPr>
        <w:t xml:space="preserve"> руб. с НДС. </w:t>
      </w:r>
    </w:p>
    <w:p w:rsidR="00D602D4" w:rsidRDefault="000B4C86">
      <w:pPr>
        <w:pStyle w:val="af2"/>
        <w:widowControl w:val="0"/>
        <w:jc w:val="both"/>
        <w:rPr>
          <w:rFonts w:eastAsia="Calibri"/>
          <w:bCs/>
        </w:rPr>
      </w:pPr>
      <w:r>
        <w:rPr>
          <w:rFonts w:eastAsia="Calibri"/>
          <w:bCs/>
        </w:rPr>
        <w:t>В том числе по способам закупок:</w:t>
      </w:r>
    </w:p>
    <w:p w:rsidR="00D602D4" w:rsidRDefault="000B4C86">
      <w:pPr>
        <w:pStyle w:val="af2"/>
        <w:widowControl w:val="0"/>
        <w:jc w:val="both"/>
        <w:rPr>
          <w:rFonts w:eastAsia="Calibri"/>
          <w:bCs/>
        </w:rPr>
      </w:pPr>
      <w:r>
        <w:rPr>
          <w:rFonts w:eastAsia="Calibri"/>
          <w:bCs/>
        </w:rPr>
        <w:t xml:space="preserve">– 810 шт. закупок конкурсами в электронной форме на сумму 13 423 </w:t>
      </w:r>
      <w:r>
        <w:rPr>
          <w:rFonts w:eastAsia="Calibri"/>
        </w:rPr>
        <w:t>млн</w:t>
      </w:r>
      <w:r>
        <w:rPr>
          <w:rFonts w:eastAsia="Calibri"/>
          <w:bCs/>
        </w:rPr>
        <w:t xml:space="preserve"> руб. с НДС (47,96% от общего количества закупок, 16,73%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 xml:space="preserve">– 24 шт. закупок аукционами в электронной форме на сумму 54 349 млн руб. с НДС (1,42% от общего количества закупок, 67,73% от общего объема закупок в стоимостном выражении); </w:t>
      </w:r>
    </w:p>
    <w:p w:rsidR="00D602D4" w:rsidRDefault="000B4C86">
      <w:pPr>
        <w:pStyle w:val="af2"/>
        <w:widowControl w:val="0"/>
        <w:jc w:val="both"/>
        <w:rPr>
          <w:rFonts w:eastAsia="Calibri"/>
          <w:bCs/>
        </w:rPr>
      </w:pPr>
      <w:r>
        <w:rPr>
          <w:rFonts w:eastAsia="Calibri"/>
          <w:bCs/>
        </w:rPr>
        <w:t>– 49 шт. закупок запросами котировок в электронной форме на сумму 80 млн руб. с НДС (2,90% от общего количества закупок, 0,10%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122 шт. закупок запросами предложений в электронной форме на сумму 429 млн руб. с НДС (7,22% от общего количества закупок, 0,53%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 129 шт. закупок запросами цен по результатам предварительного отбора на сумму 8 782 млн руб. с НДС (7,64% от общего количества закупок, 10,94%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 350 шт. закупок в электронном магазине на сумму 2 368 млн руб. с НДС (20,72% от общего количества закупок, 2,95%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 8 шт. закупок с ограниченным участием на сумму 14 млн руб. с НДС (0,47% от общего количества закупок, 0,02%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 17 шт. закупок предварительным отбором на сумму 0 млн руб. с НДС (1,01% от общего количества закупок, 0,00%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 180 шт. закупок у единственного поставщика на сумму 803 млн руб. с НДС (1,00%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В том числе по видам деятельности:</w:t>
      </w:r>
    </w:p>
    <w:p w:rsidR="00D602D4" w:rsidRDefault="000B4C86">
      <w:pPr>
        <w:pStyle w:val="af2"/>
        <w:widowControl w:val="0"/>
        <w:jc w:val="both"/>
        <w:rPr>
          <w:rFonts w:eastAsia="Calibri"/>
          <w:bCs/>
        </w:rPr>
      </w:pPr>
      <w:r>
        <w:rPr>
          <w:rFonts w:eastAsia="Calibri"/>
          <w:bCs/>
        </w:rPr>
        <w:t>«Новое строительство» – 262 закупки в шт. на сумму 11 237 млн руб. с НДС (15,51% от общего количества закупок, 14,00%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«Реконструкция и техперевооружение» – 248 закупок в шт. на сумму 4 294 млн руб. с НДС (14,68% от общего количества закупок, 5,35%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 xml:space="preserve">«Энергоремонтное (ремонтное) производство, техническое обслуживание» – 593 </w:t>
      </w:r>
      <w:r>
        <w:rPr>
          <w:rFonts w:eastAsia="Calibri"/>
          <w:bCs/>
        </w:rPr>
        <w:lastRenderedPageBreak/>
        <w:t>закупки в шт. на сумму 3 325 млн руб. с НДС (35,11% от общего количества закупок, 4,14%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«ИТ-закупки» – 140 закупок в шт. на сумму 3 036 млн руб. с НДС (8,29% от общего количества закупок, 3,78%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«НИОКР» – 1 закупка в шт. на сумму 63 млн руб. с НДС (0,06% от общего количества закупок, 0,08%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«Прочие закупки» – 445 закупок в шт. на сумму 58 293 млн руб. с НДС (26,35% от общего количества закупок, 72,64% от общего объема закупок в стоимостном выражении).</w:t>
      </w:r>
    </w:p>
    <w:p w:rsidR="00D602D4" w:rsidRDefault="000B4C86">
      <w:pPr>
        <w:pStyle w:val="af2"/>
        <w:widowControl w:val="0"/>
        <w:jc w:val="both"/>
        <w:rPr>
          <w:rFonts w:eastAsia="Calibri"/>
          <w:bCs/>
        </w:rPr>
      </w:pPr>
      <w:r>
        <w:rPr>
          <w:rFonts w:eastAsia="Calibri"/>
          <w:bCs/>
        </w:rPr>
        <w:t>Сравнение цен 3 725 шт., 547 млн руб. c НДС, в том числе 228 шт. на сумму 39 млн рублей с НДС с использованием электронной торговой системы.</w:t>
      </w:r>
    </w:p>
    <w:p w:rsidR="00D602D4" w:rsidRDefault="000B4C86">
      <w:pPr>
        <w:pStyle w:val="af2"/>
        <w:widowControl w:val="0"/>
        <w:jc w:val="both"/>
        <w:rPr>
          <w:rFonts w:eastAsia="Calibri"/>
          <w:bCs/>
        </w:rPr>
      </w:pPr>
      <w:r>
        <w:rPr>
          <w:rFonts w:eastAsia="Calibri"/>
          <w:bCs/>
        </w:rPr>
        <w:t>Количество закупок с использованием средств электронной торговой площадки составило 1 509 закупок на сумму 79 445 млн руб. c НДС (100% от общего количества закупок, 100% от общего объема закупок (без учета закупок у ЕП) в стоимостном выражении.</w:t>
      </w:r>
    </w:p>
    <w:p w:rsidR="00D602D4" w:rsidRDefault="000B4C86">
      <w:pPr>
        <w:pStyle w:val="af2"/>
        <w:widowControl w:val="0"/>
        <w:jc w:val="both"/>
        <w:rPr>
          <w:rFonts w:eastAsia="Calibri"/>
          <w:bCs/>
        </w:rPr>
      </w:pPr>
      <w:r>
        <w:rPr>
          <w:rFonts w:eastAsia="Calibri"/>
          <w:bCs/>
        </w:rPr>
        <w:t>Экономический эффект по итогам проведения закупочных процедур за период составил 1 437 млн руб. c НДС или 1,76% от стоимости закупок с фактически подведенными итогами.</w:t>
      </w:r>
    </w:p>
    <w:p w:rsidR="00D602D4" w:rsidRDefault="000B4C86">
      <w:pPr>
        <w:pStyle w:val="af2"/>
        <w:widowControl w:val="0"/>
        <w:jc w:val="both"/>
        <w:rPr>
          <w:rFonts w:eastAsia="Calibri"/>
          <w:bCs/>
        </w:rPr>
      </w:pPr>
      <w:r>
        <w:rPr>
          <w:rFonts w:eastAsia="Calibri"/>
          <w:bCs/>
        </w:rPr>
        <w:t>Доля открытых закупочных процедур в структуре закупок составила 100% от общего количества завершенных закупочных процедур и 100% от общего объема закупок в стоимостном выражении (в расчете не учитываются закупки способом у единственного поставщика).</w:t>
      </w:r>
    </w:p>
    <w:p w:rsidR="00D602D4" w:rsidRDefault="00D602D4">
      <w:pPr>
        <w:pStyle w:val="af2"/>
        <w:widowControl w:val="0"/>
        <w:jc w:val="both"/>
        <w:rPr>
          <w:rFonts w:eastAsia="Calibri"/>
          <w:bCs/>
          <w:highlight w:val="yellow"/>
        </w:rPr>
      </w:pPr>
    </w:p>
    <w:p w:rsidR="00D602D4" w:rsidRDefault="000B4C86">
      <w:pPr>
        <w:pStyle w:val="af2"/>
        <w:widowControl w:val="0"/>
        <w:jc w:val="both"/>
        <w:rPr>
          <w:b/>
        </w:rPr>
      </w:pPr>
      <w:r>
        <w:rPr>
          <w:b/>
        </w:rPr>
        <w:t>5. Структура закупок у субъектов малого и среднего предпринимательства</w:t>
      </w:r>
    </w:p>
    <w:p w:rsidR="00D602D4" w:rsidRDefault="000B4C86">
      <w:pPr>
        <w:pStyle w:val="af2"/>
        <w:widowControl w:val="0"/>
        <w:jc w:val="both"/>
        <w:rPr>
          <w:rFonts w:eastAsia="Calibri"/>
          <w:highlight w:val="white"/>
        </w:rPr>
      </w:pPr>
      <w:r>
        <w:rPr>
          <w:rFonts w:eastAsia="Calibri"/>
          <w:highlight w:val="white"/>
        </w:rPr>
        <w:t>В 2024 году было заключено 1 906 договоров, в закупках которых победителями стали субъекты малого и среднего предпринимательства (МСП) на общую сумму 9 888 млн руб. с НДС, стоимостной объем оплаты 8 743 млн руб. с НДС, что составляет 77,56% от общего объема оплат, при этом объем договоров, в закупках которых участниками могли принять участие только субъекты малого и среднего предпринимательства в 2024 году составил 1 091 договор на сумму 10 741 млн руб. с НДС, стоимостной объем оплаты 11 208 млн руб. с НДС или 49,14% от общего объема оплат (данные сформированы в соответствии с требованиями постановления Правительства Российской Федерации от 11.12.2014 №1352).</w:t>
      </w:r>
    </w:p>
    <w:p w:rsidR="00D602D4" w:rsidRDefault="000B4C86">
      <w:pPr>
        <w:pStyle w:val="af2"/>
        <w:widowControl w:val="0"/>
        <w:jc w:val="both"/>
        <w:rPr>
          <w:rFonts w:eastAsia="Calibri"/>
          <w:highlight w:val="white"/>
        </w:rPr>
      </w:pPr>
      <w:r>
        <w:rPr>
          <w:rFonts w:eastAsia="Calibri"/>
          <w:highlight w:val="white"/>
        </w:rPr>
        <w:t>Также в 2024 году было проведено 1 317 закупок в которых победителями стали субъекты МСП на общую сумму 21 780 млн руб. с НДС, в том числе по видам деятельности:</w:t>
      </w:r>
    </w:p>
    <w:p w:rsidR="00D602D4" w:rsidRDefault="000B4C86">
      <w:pPr>
        <w:pStyle w:val="af2"/>
        <w:widowControl w:val="0"/>
        <w:jc w:val="both"/>
        <w:rPr>
          <w:rFonts w:eastAsia="Calibri"/>
        </w:rPr>
      </w:pPr>
      <w:r>
        <w:rPr>
          <w:rFonts w:eastAsia="Calibri"/>
        </w:rPr>
        <w:t>«Новое строительство и расширение электросетевых объектов» – 210 закупок в шт. на сумму 10 825 млн руб. с НДС (15,95% от общего количества закупок у субъектов МСП, 49,70% от общего объема закупок у субъектов МСП в стоимостном выражении);</w:t>
      </w:r>
    </w:p>
    <w:p w:rsidR="00D602D4" w:rsidRDefault="000B4C86">
      <w:pPr>
        <w:pStyle w:val="af2"/>
        <w:widowControl w:val="0"/>
        <w:jc w:val="both"/>
        <w:rPr>
          <w:rFonts w:eastAsia="Calibri"/>
        </w:rPr>
      </w:pPr>
      <w:r>
        <w:rPr>
          <w:rFonts w:eastAsia="Calibri"/>
        </w:rPr>
        <w:t>«Реконструкция и техническое перевооружение электросетевых объектов» – 207 закупок в шт. на сумму 3 433 млн руб. с НДС (15,72%от общего количества закупок у субъектов МСП, 15,76% от общего объема закупок у субъектов МСП в стоимостном выражении);</w:t>
      </w:r>
    </w:p>
    <w:p w:rsidR="00D602D4" w:rsidRDefault="000B4C86">
      <w:pPr>
        <w:pStyle w:val="af2"/>
        <w:widowControl w:val="0"/>
        <w:jc w:val="both"/>
        <w:rPr>
          <w:rFonts w:eastAsia="Calibri"/>
        </w:rPr>
      </w:pPr>
      <w:r>
        <w:rPr>
          <w:rFonts w:eastAsia="Calibri"/>
        </w:rPr>
        <w:t>«Энергоремонтное (ремонтное) производство, техническое обслуживание» – 478 закупок в шт. на сумму 2 891 млн руб. с НДС (36,29% от общего количества закупок у субъектов МСП, 13,27% от общего объема закупок у субъектов МСП в стоимостном выражении);</w:t>
      </w:r>
    </w:p>
    <w:p w:rsidR="00D602D4" w:rsidRDefault="000B4C86">
      <w:pPr>
        <w:pStyle w:val="af2"/>
        <w:widowControl w:val="0"/>
        <w:jc w:val="both"/>
        <w:rPr>
          <w:rFonts w:eastAsia="Calibri"/>
        </w:rPr>
      </w:pPr>
      <w:r>
        <w:rPr>
          <w:rFonts w:eastAsia="Calibri"/>
        </w:rPr>
        <w:t>«ИТ-закупки» – 108 закупок в шт. на сумму 2 564 млн руб. с НДС (8,20% от общего количества закупок у субъектов МСП, 11,77% от общего объема закупок у субъектов МСП в стоимостном выражении);</w:t>
      </w:r>
    </w:p>
    <w:p w:rsidR="00D602D4" w:rsidRDefault="000B4C86">
      <w:pPr>
        <w:pStyle w:val="af2"/>
        <w:widowControl w:val="0"/>
        <w:jc w:val="both"/>
        <w:rPr>
          <w:rFonts w:eastAsia="Calibri"/>
        </w:rPr>
      </w:pPr>
      <w:r>
        <w:rPr>
          <w:rFonts w:eastAsia="Calibri"/>
        </w:rPr>
        <w:t>«Прочие закупки» – 314 закупок в шт. на сумму 2 067 млн руб. с НДС (23,84% от общего количества закупок у субъектов МСП, 9,49% от общего объема закупок у субъектов МСП в стоимостном выражении).</w:t>
      </w:r>
    </w:p>
    <w:p w:rsidR="00D602D4" w:rsidRDefault="00D602D4">
      <w:pPr>
        <w:pStyle w:val="af2"/>
        <w:widowControl w:val="0"/>
        <w:jc w:val="both"/>
        <w:rPr>
          <w:rFonts w:eastAsia="Calibri"/>
          <w:highlight w:val="yellow"/>
        </w:rPr>
      </w:pPr>
    </w:p>
    <w:p w:rsidR="00D602D4" w:rsidRDefault="000B4C86">
      <w:pPr>
        <w:pStyle w:val="af2"/>
        <w:widowControl w:val="0"/>
        <w:jc w:val="both"/>
        <w:rPr>
          <w:b/>
        </w:rPr>
      </w:pPr>
      <w:r>
        <w:rPr>
          <w:b/>
        </w:rPr>
        <w:lastRenderedPageBreak/>
        <w:t>6. Мероприятия, направленные на совершенствование закупочной деятельности</w:t>
      </w:r>
    </w:p>
    <w:p w:rsidR="00D602D4" w:rsidRDefault="000B4C86">
      <w:pPr>
        <w:widowControl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ПАО «Россети Сибирь» регулярно пересматриваются внутренние документы, регламентирующие закупочную деятельность в части упрощения требований предъявляемых к участникам закупок и приобретаемой продукции. Также документы совершенствуются с учетом новых нормативных документов Правительства </w:t>
      </w:r>
      <w:r>
        <w:rPr>
          <w:rFonts w:ascii="Times New Roman" w:eastAsia="Times New Roman" w:hAnsi="Times New Roman" w:cs="Times New Roman"/>
          <w:sz w:val="24"/>
          <w:szCs w:val="24"/>
        </w:rPr>
        <w:t>Российской Федерации</w:t>
      </w:r>
      <w:r>
        <w:rPr>
          <w:rFonts w:ascii="Times New Roman" w:eastAsia="Calibri" w:hAnsi="Times New Roman" w:cs="Times New Roman"/>
          <w:sz w:val="24"/>
          <w:szCs w:val="24"/>
        </w:rPr>
        <w:t>.</w:t>
      </w:r>
    </w:p>
    <w:p w:rsidR="00D602D4" w:rsidRDefault="000B4C86">
      <w:pPr>
        <w:widowControl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Для привлечения потенциальных поставщиков/подрядчиков и разъяснения принципов проведения закупок в Обществе, ПАО «Россети Сибирь» проводит дни открытых дверей.</w:t>
      </w:r>
    </w:p>
    <w:p w:rsidR="00D602D4" w:rsidRDefault="000B4C86">
      <w:pPr>
        <w:widowControl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Сотрудники закупочных подразделений Общества ежегодно проходят обучения по нормам законодательства </w:t>
      </w:r>
      <w:r>
        <w:rPr>
          <w:rFonts w:ascii="Times New Roman" w:eastAsia="Times New Roman" w:hAnsi="Times New Roman" w:cs="Times New Roman"/>
          <w:sz w:val="24"/>
          <w:szCs w:val="24"/>
        </w:rPr>
        <w:t>Российской Федерации</w:t>
      </w:r>
      <w:r>
        <w:rPr>
          <w:rFonts w:ascii="Times New Roman" w:eastAsia="Calibri" w:hAnsi="Times New Roman" w:cs="Times New Roman"/>
          <w:sz w:val="24"/>
          <w:szCs w:val="24"/>
        </w:rPr>
        <w:t xml:space="preserve"> в сфере закупок.</w:t>
      </w:r>
    </w:p>
    <w:p w:rsidR="00D602D4" w:rsidRDefault="000B4C86">
      <w:pPr>
        <w:widowControl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Для сотрудников Компании, участвующих в подготовке документов на закупки, заключении договоров, по результатам закупок, для повышения качества подготовки документов, сотрудниками закупочного подразделения регулярно проводятся обучающие семинары.</w:t>
      </w:r>
    </w:p>
    <w:p w:rsidR="00D602D4" w:rsidRDefault="000B4C86">
      <w:pPr>
        <w:widowControl w:val="0"/>
        <w:spacing w:after="0" w:line="240" w:lineRule="auto"/>
        <w:ind w:firstLine="709"/>
        <w:jc w:val="right"/>
        <w:rPr>
          <w:rFonts w:ascii="Times New Roman" w:eastAsia="Calibri" w:hAnsi="Times New Roman" w:cs="Times New Roman"/>
          <w:sz w:val="24"/>
          <w:szCs w:val="24"/>
        </w:rPr>
      </w:pPr>
      <w:r>
        <w:rPr>
          <w:rFonts w:ascii="Times New Roman" w:eastAsia="Calibri" w:hAnsi="Times New Roman" w:cs="Times New Roman"/>
          <w:sz w:val="24"/>
          <w:szCs w:val="24"/>
        </w:rPr>
        <w:t>Таблица 56</w:t>
      </w:r>
    </w:p>
    <w:p w:rsidR="00D602D4" w:rsidRDefault="000B4C86">
      <w:pPr>
        <w:widowControl w:val="0"/>
        <w:spacing w:after="0" w:line="240" w:lineRule="auto"/>
        <w:ind w:firstLine="709"/>
        <w:jc w:val="center"/>
        <w:rPr>
          <w:rFonts w:ascii="Times New Roman" w:eastAsia="Calibri" w:hAnsi="Times New Roman" w:cs="Times New Roman"/>
          <w:sz w:val="24"/>
          <w:szCs w:val="24"/>
          <w:highlight w:val="yellow"/>
        </w:rPr>
      </w:pPr>
      <w:r>
        <w:rPr>
          <w:rFonts w:ascii="Times New Roman" w:eastAsia="Calibri" w:hAnsi="Times New Roman" w:cs="Times New Roman"/>
          <w:sz w:val="24"/>
          <w:szCs w:val="24"/>
        </w:rPr>
        <w:t>Показатели по закупочной деятельности</w:t>
      </w:r>
    </w:p>
    <w:tbl>
      <w:tblPr>
        <w:tblW w:w="99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76"/>
        <w:gridCol w:w="675"/>
        <w:gridCol w:w="1200"/>
        <w:gridCol w:w="1276"/>
        <w:gridCol w:w="1276"/>
        <w:gridCol w:w="1417"/>
      </w:tblGrid>
      <w:tr w:rsidR="00D602D4">
        <w:trPr>
          <w:cantSplit/>
        </w:trPr>
        <w:tc>
          <w:tcPr>
            <w:tcW w:w="4077" w:type="dxa"/>
            <w:vMerge w:val="restart"/>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Показатели</w:t>
            </w:r>
          </w:p>
        </w:tc>
        <w:tc>
          <w:tcPr>
            <w:tcW w:w="675" w:type="dxa"/>
            <w:vMerge w:val="restart"/>
            <w:vAlign w:val="center"/>
          </w:tcPr>
          <w:p w:rsidR="00D602D4" w:rsidRDefault="000B4C86">
            <w:pPr>
              <w:widowControl w:val="0"/>
              <w:tabs>
                <w:tab w:val="left" w:pos="177"/>
              </w:tabs>
              <w:spacing w:after="0" w:line="240" w:lineRule="auto"/>
              <w:ind w:right="-143"/>
              <w:jc w:val="both"/>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Ед. изм.</w:t>
            </w:r>
          </w:p>
        </w:tc>
        <w:tc>
          <w:tcPr>
            <w:tcW w:w="5168" w:type="dxa"/>
            <w:gridSpan w:val="4"/>
            <w:vAlign w:val="center"/>
          </w:tcPr>
          <w:p w:rsidR="00D602D4" w:rsidRDefault="000B4C86">
            <w:pPr>
              <w:widowControl w:val="0"/>
              <w:spacing w:after="0" w:line="240" w:lineRule="auto"/>
              <w:ind w:right="-143"/>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Период</w:t>
            </w:r>
          </w:p>
        </w:tc>
      </w:tr>
      <w:tr w:rsidR="00D602D4">
        <w:trPr>
          <w:cantSplit/>
        </w:trPr>
        <w:tc>
          <w:tcPr>
            <w:tcW w:w="4077" w:type="dxa"/>
            <w:vMerge/>
            <w:vAlign w:val="center"/>
          </w:tcPr>
          <w:p w:rsidR="00D602D4" w:rsidRDefault="00D602D4">
            <w:pPr>
              <w:widowControl w:val="0"/>
              <w:spacing w:after="5" w:line="252" w:lineRule="auto"/>
              <w:jc w:val="center"/>
              <w:rPr>
                <w:rFonts w:ascii="Times New Roman" w:eastAsia="Times New Roman" w:hAnsi="Times New Roman" w:cs="Times New Roman"/>
                <w:b/>
                <w:bCs/>
                <w:color w:val="000000"/>
                <w:sz w:val="18"/>
                <w:szCs w:val="18"/>
                <w:lang w:eastAsia="ru-RU"/>
              </w:rPr>
            </w:pPr>
          </w:p>
        </w:tc>
        <w:tc>
          <w:tcPr>
            <w:tcW w:w="675" w:type="dxa"/>
            <w:vMerge/>
            <w:vAlign w:val="center"/>
          </w:tcPr>
          <w:p w:rsidR="00D602D4" w:rsidRDefault="00D602D4">
            <w:pPr>
              <w:widowControl w:val="0"/>
              <w:tabs>
                <w:tab w:val="left" w:pos="34"/>
              </w:tabs>
              <w:spacing w:after="5" w:line="252" w:lineRule="auto"/>
              <w:ind w:right="-143"/>
              <w:jc w:val="both"/>
              <w:rPr>
                <w:rFonts w:ascii="Times New Roman" w:eastAsia="Times New Roman" w:hAnsi="Times New Roman" w:cs="Times New Roman"/>
                <w:b/>
                <w:bCs/>
                <w:color w:val="000000"/>
                <w:sz w:val="18"/>
                <w:szCs w:val="18"/>
                <w:lang w:eastAsia="ru-RU"/>
              </w:rPr>
            </w:pPr>
          </w:p>
        </w:tc>
        <w:tc>
          <w:tcPr>
            <w:tcW w:w="1200" w:type="dxa"/>
            <w:vAlign w:val="center"/>
          </w:tcPr>
          <w:p w:rsidR="00D602D4" w:rsidRDefault="000B4C86">
            <w:pPr>
              <w:widowControl w:val="0"/>
              <w:tabs>
                <w:tab w:val="left" w:pos="24"/>
              </w:tabs>
              <w:spacing w:after="0" w:line="240" w:lineRule="auto"/>
              <w:ind w:right="-143"/>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2022 год</w:t>
            </w:r>
          </w:p>
        </w:tc>
        <w:tc>
          <w:tcPr>
            <w:tcW w:w="1276" w:type="dxa"/>
            <w:shd w:val="clear" w:color="FFFFFF" w:fill="FFFFFF"/>
            <w:vAlign w:val="center"/>
          </w:tcPr>
          <w:p w:rsidR="00D602D4" w:rsidRDefault="000B4C86">
            <w:pPr>
              <w:widowControl w:val="0"/>
              <w:spacing w:after="0" w:line="240" w:lineRule="auto"/>
              <w:ind w:right="-143"/>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2023 год</w:t>
            </w:r>
          </w:p>
        </w:tc>
        <w:tc>
          <w:tcPr>
            <w:tcW w:w="1276" w:type="dxa"/>
            <w:vAlign w:val="center"/>
          </w:tcPr>
          <w:p w:rsidR="00D602D4" w:rsidRDefault="000B4C86">
            <w:pPr>
              <w:widowControl w:val="0"/>
              <w:spacing w:after="0" w:line="240" w:lineRule="auto"/>
              <w:ind w:right="-143"/>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2024 год</w:t>
            </w:r>
          </w:p>
        </w:tc>
        <w:tc>
          <w:tcPr>
            <w:tcW w:w="1417" w:type="dxa"/>
            <w:vAlign w:val="center"/>
          </w:tcPr>
          <w:p w:rsidR="00D602D4" w:rsidRDefault="000B4C86">
            <w:pPr>
              <w:widowControl w:val="0"/>
              <w:tabs>
                <w:tab w:val="left" w:pos="751"/>
              </w:tabs>
              <w:spacing w:after="0" w:line="240" w:lineRule="auto"/>
              <w:ind w:right="-143"/>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изменение</w:t>
            </w:r>
          </w:p>
          <w:p w:rsidR="00D602D4" w:rsidRDefault="000B4C86">
            <w:pPr>
              <w:widowControl w:val="0"/>
              <w:spacing w:after="0" w:line="240" w:lineRule="auto"/>
              <w:ind w:right="-143"/>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2024/2023, %</w:t>
            </w:r>
          </w:p>
        </w:tc>
      </w:tr>
      <w:tr w:rsidR="00D602D4">
        <w:trPr>
          <w:cantSplit/>
        </w:trPr>
        <w:tc>
          <w:tcPr>
            <w:tcW w:w="4077" w:type="dxa"/>
          </w:tcPr>
          <w:p w:rsidR="00D602D4" w:rsidRDefault="000B4C86">
            <w:pPr>
              <w:widowControl w:val="0"/>
              <w:spacing w:after="0" w:line="240" w:lineRule="auto"/>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20"/>
                <w:szCs w:val="20"/>
                <w:lang w:eastAsia="ru-RU"/>
              </w:rPr>
              <w:t>1</w:t>
            </w:r>
          </w:p>
        </w:tc>
        <w:tc>
          <w:tcPr>
            <w:tcW w:w="675" w:type="dxa"/>
          </w:tcPr>
          <w:p w:rsidR="00D602D4" w:rsidRDefault="000B4C86">
            <w:pPr>
              <w:widowControl w:val="0"/>
              <w:tabs>
                <w:tab w:val="left" w:pos="34"/>
              </w:tabs>
              <w:spacing w:after="0" w:line="240" w:lineRule="auto"/>
              <w:ind w:right="-143"/>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20"/>
                <w:szCs w:val="20"/>
                <w:lang w:eastAsia="ru-RU"/>
              </w:rPr>
              <w:t>2</w:t>
            </w:r>
          </w:p>
        </w:tc>
        <w:tc>
          <w:tcPr>
            <w:tcW w:w="1200" w:type="dxa"/>
          </w:tcPr>
          <w:p w:rsidR="00D602D4" w:rsidRDefault="000B4C86">
            <w:pPr>
              <w:widowControl w:val="0"/>
              <w:spacing w:after="0" w:line="240" w:lineRule="auto"/>
              <w:ind w:right="-143"/>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20"/>
                <w:szCs w:val="20"/>
                <w:lang w:eastAsia="ru-RU"/>
              </w:rPr>
              <w:t>3</w:t>
            </w:r>
          </w:p>
        </w:tc>
        <w:tc>
          <w:tcPr>
            <w:tcW w:w="1276" w:type="dxa"/>
            <w:shd w:val="clear" w:color="FFFFFF" w:fill="FFFFFF"/>
          </w:tcPr>
          <w:p w:rsidR="00D602D4" w:rsidRDefault="000B4C86">
            <w:pPr>
              <w:widowControl w:val="0"/>
              <w:spacing w:after="0" w:line="240" w:lineRule="auto"/>
              <w:ind w:right="-143"/>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20"/>
                <w:szCs w:val="20"/>
                <w:lang w:eastAsia="ru-RU"/>
              </w:rPr>
              <w:t>4</w:t>
            </w:r>
          </w:p>
        </w:tc>
        <w:tc>
          <w:tcPr>
            <w:tcW w:w="1276" w:type="dxa"/>
          </w:tcPr>
          <w:p w:rsidR="00D602D4" w:rsidRDefault="000B4C86">
            <w:pPr>
              <w:widowControl w:val="0"/>
              <w:spacing w:after="0" w:line="240" w:lineRule="auto"/>
              <w:ind w:right="-143"/>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20"/>
                <w:szCs w:val="20"/>
                <w:lang w:eastAsia="ru-RU"/>
              </w:rPr>
              <w:t>5</w:t>
            </w:r>
          </w:p>
        </w:tc>
        <w:tc>
          <w:tcPr>
            <w:tcW w:w="1417" w:type="dxa"/>
          </w:tcPr>
          <w:p w:rsidR="00D602D4" w:rsidRDefault="000B4C86">
            <w:pPr>
              <w:widowControl w:val="0"/>
              <w:spacing w:after="0" w:line="240" w:lineRule="auto"/>
              <w:ind w:right="-143"/>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20"/>
                <w:szCs w:val="20"/>
                <w:lang w:eastAsia="ru-RU"/>
              </w:rPr>
              <w:t>6</w:t>
            </w:r>
          </w:p>
        </w:tc>
      </w:tr>
      <w:tr w:rsidR="00D602D4">
        <w:trPr>
          <w:cantSplit/>
        </w:trPr>
        <w:tc>
          <w:tcPr>
            <w:tcW w:w="4077" w:type="dxa"/>
          </w:tcPr>
          <w:p w:rsidR="00D602D4" w:rsidRDefault="000B4C86">
            <w:pPr>
              <w:tabs>
                <w:tab w:val="left" w:pos="0"/>
                <w:tab w:val="left" w:pos="142"/>
              </w:tabs>
              <w:spacing w:after="0" w:line="240" w:lineRule="auto"/>
              <w:contextualSpacing/>
              <w:jc w:val="both"/>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20"/>
                <w:szCs w:val="20"/>
                <w:lang w:eastAsia="ru-RU"/>
              </w:rPr>
              <w:t>Доля открытых закупочных процедур, а также процедур, проведенных с применением электронных средств коммерции (электронных торговых площадок) в общем объеме закупок;</w:t>
            </w:r>
          </w:p>
          <w:p w:rsidR="00D602D4" w:rsidRDefault="000B4C86">
            <w:pPr>
              <w:tabs>
                <w:tab w:val="left" w:pos="0"/>
                <w:tab w:val="left" w:pos="142"/>
              </w:tabs>
              <w:spacing w:after="0" w:line="240" w:lineRule="auto"/>
              <w:contextualSpacing/>
              <w:jc w:val="both"/>
              <w:rPr>
                <w:rFonts w:ascii="Times New Roman" w:eastAsia="Times New Roman" w:hAnsi="Times New Roman" w:cs="Times New Roman"/>
                <w:color w:val="000000"/>
                <w:sz w:val="18"/>
                <w:szCs w:val="18"/>
                <w:shd w:val="clear" w:color="auto" w:fill="FFFFFF"/>
              </w:rPr>
            </w:pPr>
            <w:r>
              <w:rPr>
                <w:rFonts w:ascii="Times New Roman" w:eastAsia="Times New Roman" w:hAnsi="Times New Roman" w:cs="Times New Roman"/>
                <w:color w:val="000000"/>
                <w:sz w:val="20"/>
                <w:szCs w:val="20"/>
                <w:lang w:eastAsia="ru-RU"/>
              </w:rPr>
              <w:t>- объем достигнутой экономии</w:t>
            </w:r>
          </w:p>
        </w:tc>
        <w:tc>
          <w:tcPr>
            <w:tcW w:w="675" w:type="dxa"/>
            <w:vAlign w:val="center"/>
          </w:tcPr>
          <w:p w:rsidR="00D602D4" w:rsidRDefault="000B4C86">
            <w:pPr>
              <w:tabs>
                <w:tab w:val="left" w:pos="34"/>
              </w:tabs>
              <w:spacing w:after="0" w:line="240" w:lineRule="auto"/>
              <w:ind w:right="-143"/>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20"/>
                <w:szCs w:val="20"/>
                <w:lang w:eastAsia="ru-RU"/>
              </w:rPr>
              <w:t>%</w:t>
            </w:r>
          </w:p>
        </w:tc>
        <w:tc>
          <w:tcPr>
            <w:tcW w:w="1200" w:type="dxa"/>
            <w:shd w:val="clear" w:color="FFFFFF" w:fill="FFFFFF"/>
            <w:vAlign w:val="center"/>
          </w:tcPr>
          <w:p w:rsidR="00D602D4" w:rsidRDefault="000B4C86">
            <w:pPr>
              <w:widowControl w:val="0"/>
              <w:spacing w:after="0" w:line="240" w:lineRule="auto"/>
              <w:ind w:left="-102" w:right="-143"/>
              <w:jc w:val="center"/>
              <w:rPr>
                <w:sz w:val="20"/>
                <w:szCs w:val="20"/>
              </w:rPr>
            </w:pPr>
            <w:r>
              <w:rPr>
                <w:rFonts w:ascii="Times New Roman" w:eastAsia="Times New Roman" w:hAnsi="Times New Roman" w:cs="Times New Roman"/>
                <w:bCs/>
                <w:color w:val="000000"/>
                <w:sz w:val="20"/>
                <w:szCs w:val="20"/>
                <w:lang w:eastAsia="ru-RU"/>
              </w:rPr>
              <w:t>100 / 100 / 7,84</w:t>
            </w:r>
          </w:p>
        </w:tc>
        <w:tc>
          <w:tcPr>
            <w:tcW w:w="1276" w:type="dxa"/>
            <w:shd w:val="clear" w:color="FFFFFF" w:fill="FFFFFF"/>
            <w:vAlign w:val="center"/>
          </w:tcPr>
          <w:p w:rsidR="00D602D4" w:rsidRDefault="000B4C86">
            <w:pPr>
              <w:widowControl w:val="0"/>
              <w:spacing w:after="0" w:line="240" w:lineRule="auto"/>
              <w:ind w:right="-143"/>
              <w:jc w:val="center"/>
              <w:rPr>
                <w:sz w:val="20"/>
                <w:szCs w:val="20"/>
              </w:rPr>
            </w:pPr>
            <w:r>
              <w:rPr>
                <w:rFonts w:ascii="Times New Roman" w:eastAsia="Times New Roman" w:hAnsi="Times New Roman" w:cs="Times New Roman"/>
                <w:bCs/>
                <w:color w:val="000000"/>
                <w:sz w:val="20"/>
                <w:szCs w:val="20"/>
                <w:lang w:eastAsia="ru-RU"/>
              </w:rPr>
              <w:t>100 / 100 / 4,59</w:t>
            </w:r>
          </w:p>
        </w:tc>
        <w:tc>
          <w:tcPr>
            <w:tcW w:w="1276" w:type="dxa"/>
            <w:vAlign w:val="center"/>
          </w:tcPr>
          <w:p w:rsidR="00D602D4" w:rsidRDefault="000B4C86">
            <w:pPr>
              <w:widowControl w:val="0"/>
              <w:spacing w:after="0" w:line="240" w:lineRule="auto"/>
              <w:ind w:left="-102"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bCs/>
                <w:color w:val="000000"/>
                <w:sz w:val="20"/>
                <w:szCs w:val="20"/>
                <w:lang w:eastAsia="ru-RU"/>
              </w:rPr>
              <w:t>100 / 100 /</w:t>
            </w:r>
          </w:p>
          <w:p w:rsidR="00D602D4" w:rsidRDefault="000B4C86">
            <w:pPr>
              <w:widowControl w:val="0"/>
              <w:spacing w:after="0" w:line="240" w:lineRule="auto"/>
              <w:ind w:left="-102" w:right="-143"/>
              <w:jc w:val="center"/>
              <w:rPr>
                <w:rFonts w:ascii="Times New Roman" w:eastAsia="Times New Roman" w:hAnsi="Times New Roman" w:cs="Times New Roman"/>
                <w:color w:val="000000"/>
                <w:sz w:val="18"/>
                <w:szCs w:val="18"/>
              </w:rPr>
            </w:pPr>
            <w:r>
              <w:rPr>
                <w:rFonts w:ascii="Times New Roman" w:eastAsia="Times New Roman" w:hAnsi="Times New Roman" w:cs="Times New Roman"/>
                <w:bCs/>
                <w:color w:val="000000"/>
                <w:sz w:val="20"/>
                <w:szCs w:val="20"/>
                <w:lang w:eastAsia="ru-RU"/>
              </w:rPr>
              <w:t xml:space="preserve"> 1,76</w:t>
            </w:r>
          </w:p>
        </w:tc>
        <w:tc>
          <w:tcPr>
            <w:tcW w:w="1417" w:type="dxa"/>
            <w:vAlign w:val="center"/>
          </w:tcPr>
          <w:p w:rsidR="00D602D4" w:rsidRDefault="000B4C86">
            <w:pPr>
              <w:widowControl w:val="0"/>
              <w:spacing w:after="0" w:line="240" w:lineRule="auto"/>
              <w:ind w:right="-143"/>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20"/>
                <w:szCs w:val="20"/>
                <w:lang w:eastAsia="ru-RU"/>
              </w:rPr>
              <w:t>0 / 0 / -61,66</w:t>
            </w:r>
          </w:p>
        </w:tc>
      </w:tr>
      <w:tr w:rsidR="00D602D4">
        <w:trPr>
          <w:cantSplit/>
        </w:trPr>
        <w:tc>
          <w:tcPr>
            <w:tcW w:w="4077" w:type="dxa"/>
          </w:tcPr>
          <w:p w:rsidR="00D602D4" w:rsidRDefault="000B4C86">
            <w:pPr>
              <w:widowControl w:val="0"/>
              <w:spacing w:after="0" w:line="240" w:lineRule="auto"/>
              <w:jc w:val="both"/>
              <w:rPr>
                <w:rFonts w:ascii="Times New Roman" w:eastAsia="Times New Roman" w:hAnsi="Times New Roman" w:cs="Times New Roman"/>
                <w:color w:val="000000"/>
                <w:sz w:val="18"/>
                <w:szCs w:val="18"/>
                <w:shd w:val="clear" w:color="auto" w:fill="FFFFFF"/>
              </w:rPr>
            </w:pPr>
            <w:r>
              <w:rPr>
                <w:rFonts w:ascii="Times New Roman" w:eastAsia="Times New Roman" w:hAnsi="Times New Roman" w:cs="Times New Roman"/>
                <w:color w:val="000000"/>
                <w:sz w:val="20"/>
                <w:szCs w:val="20"/>
                <w:lang w:eastAsia="ru-RU"/>
              </w:rPr>
              <w:t>Доля закупок у субъектов малого и среднего предпринимательства, а также закупок, в которых субъекты малого и среднего предпринимательства привлекаются в качестве субподрядных организаций</w:t>
            </w:r>
          </w:p>
        </w:tc>
        <w:tc>
          <w:tcPr>
            <w:tcW w:w="675" w:type="dxa"/>
            <w:vAlign w:val="center"/>
          </w:tcPr>
          <w:p w:rsidR="00D602D4" w:rsidRDefault="000B4C86">
            <w:pPr>
              <w:tabs>
                <w:tab w:val="left" w:pos="34"/>
              </w:tabs>
              <w:spacing w:after="0" w:line="240" w:lineRule="auto"/>
              <w:ind w:right="-143"/>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20"/>
                <w:szCs w:val="20"/>
                <w:lang w:eastAsia="ru-RU"/>
              </w:rPr>
              <w:t>%</w:t>
            </w:r>
          </w:p>
        </w:tc>
        <w:tc>
          <w:tcPr>
            <w:tcW w:w="1200" w:type="dxa"/>
            <w:shd w:val="clear" w:color="FFFFFF" w:fill="FFFFFF"/>
            <w:vAlign w:val="center"/>
          </w:tcPr>
          <w:p w:rsidR="00D602D4" w:rsidRDefault="000B4C86">
            <w:pPr>
              <w:widowControl w:val="0"/>
              <w:spacing w:after="0" w:line="240" w:lineRule="auto"/>
              <w:ind w:right="-143"/>
              <w:jc w:val="center"/>
              <w:rPr>
                <w:sz w:val="20"/>
                <w:szCs w:val="20"/>
              </w:rPr>
            </w:pPr>
            <w:r>
              <w:rPr>
                <w:rFonts w:ascii="Times New Roman" w:eastAsia="Times New Roman" w:hAnsi="Times New Roman" w:cs="Times New Roman"/>
                <w:bCs/>
                <w:color w:val="000000"/>
                <w:sz w:val="20"/>
                <w:szCs w:val="20"/>
                <w:lang w:eastAsia="ru-RU"/>
              </w:rPr>
              <w:t>73,95</w:t>
            </w:r>
          </w:p>
        </w:tc>
        <w:tc>
          <w:tcPr>
            <w:tcW w:w="1276" w:type="dxa"/>
            <w:shd w:val="clear" w:color="FFFFFF" w:fill="FFFFFF"/>
            <w:vAlign w:val="center"/>
          </w:tcPr>
          <w:p w:rsidR="00D602D4" w:rsidRDefault="000B4C86">
            <w:pPr>
              <w:widowControl w:val="0"/>
              <w:spacing w:after="0" w:line="240" w:lineRule="auto"/>
              <w:ind w:right="-143"/>
              <w:jc w:val="center"/>
              <w:rPr>
                <w:sz w:val="20"/>
                <w:szCs w:val="20"/>
              </w:rPr>
            </w:pPr>
            <w:r>
              <w:rPr>
                <w:rFonts w:ascii="Times New Roman" w:eastAsia="Times New Roman" w:hAnsi="Times New Roman" w:cs="Times New Roman"/>
                <w:bCs/>
                <w:color w:val="000000"/>
                <w:sz w:val="20"/>
                <w:szCs w:val="20"/>
                <w:lang w:eastAsia="ru-RU"/>
              </w:rPr>
              <w:t>70,72</w:t>
            </w:r>
          </w:p>
        </w:tc>
        <w:tc>
          <w:tcPr>
            <w:tcW w:w="1276" w:type="dxa"/>
            <w:shd w:val="clear" w:color="FFFFFF" w:fill="FFFFFF"/>
            <w:vAlign w:val="center"/>
          </w:tcPr>
          <w:p w:rsidR="00D602D4" w:rsidRDefault="000B4C86">
            <w:pPr>
              <w:widowControl w:val="0"/>
              <w:spacing w:after="0" w:line="240" w:lineRule="auto"/>
              <w:ind w:right="-143"/>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20"/>
                <w:szCs w:val="20"/>
                <w:lang w:eastAsia="ru-RU"/>
              </w:rPr>
              <w:t>77,56</w:t>
            </w:r>
          </w:p>
        </w:tc>
        <w:tc>
          <w:tcPr>
            <w:tcW w:w="1417" w:type="dxa"/>
            <w:vAlign w:val="center"/>
          </w:tcPr>
          <w:p w:rsidR="00D602D4" w:rsidRDefault="000B4C86">
            <w:pPr>
              <w:widowControl w:val="0"/>
              <w:spacing w:after="0" w:line="240" w:lineRule="auto"/>
              <w:ind w:right="-143"/>
              <w:jc w:val="center"/>
              <w:rPr>
                <w:rFonts w:ascii="Times New Roman" w:eastAsia="Times New Roman" w:hAnsi="Times New Roman" w:cs="Times New Roman"/>
                <w:bCs/>
                <w:color w:val="000000"/>
                <w:sz w:val="18"/>
                <w:szCs w:val="18"/>
              </w:rPr>
            </w:pPr>
            <w:r>
              <w:rPr>
                <w:rFonts w:ascii="Times New Roman" w:eastAsia="Times New Roman" w:hAnsi="Times New Roman" w:cs="Times New Roman"/>
                <w:bCs/>
                <w:color w:val="000000"/>
                <w:sz w:val="20"/>
                <w:szCs w:val="20"/>
                <w:lang w:eastAsia="ru-RU"/>
              </w:rPr>
              <w:t>9,67</w:t>
            </w:r>
          </w:p>
        </w:tc>
      </w:tr>
    </w:tbl>
    <w:p w:rsidR="00D602D4" w:rsidRDefault="00D602D4">
      <w:pPr>
        <w:pStyle w:val="13"/>
        <w:spacing w:before="0" w:line="240" w:lineRule="auto"/>
        <w:jc w:val="both"/>
      </w:pPr>
    </w:p>
    <w:p w:rsidR="00D602D4" w:rsidRDefault="00D602D4">
      <w:pPr>
        <w:pStyle w:val="13"/>
        <w:spacing w:before="0" w:line="240" w:lineRule="auto"/>
        <w:jc w:val="both"/>
      </w:pPr>
    </w:p>
    <w:p w:rsidR="00D602D4" w:rsidRDefault="000B4C86">
      <w:pPr>
        <w:pStyle w:val="13"/>
        <w:spacing w:before="0" w:line="240" w:lineRule="auto"/>
        <w:jc w:val="both"/>
      </w:pPr>
      <w:bookmarkStart w:id="83" w:name="_Toc116"/>
      <w:r>
        <w:rPr>
          <w:rFonts w:ascii="Times New Roman" w:eastAsia="Times New Roman" w:hAnsi="Times New Roman" w:cs="Times New Roman"/>
          <w:b/>
          <w:color w:val="auto"/>
          <w:sz w:val="26"/>
          <w:szCs w:val="26"/>
        </w:rPr>
        <w:t>4.11. Антикоррупционная политика и обеспечение безопасности экономической деятельности</w:t>
      </w:r>
      <w:bookmarkEnd w:id="83"/>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b/>
          <w:sz w:val="24"/>
          <w:szCs w:val="24"/>
        </w:rPr>
      </w:pPr>
      <w:r>
        <w:rPr>
          <w:rFonts w:ascii="Times New Roman" w:eastAsia="Calibri" w:hAnsi="Times New Roman" w:cs="Times New Roman"/>
          <w:b/>
          <w:sz w:val="24"/>
          <w:szCs w:val="24"/>
        </w:rPr>
        <w:t>Организационные мероприятия. Разработка и внедрение в практику стандартов и процедур, направленных на обеспечение добросовестной работы.</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Антикоррупционная политика является основополагающим нормативно-правовым актом ПАО «Россети Сибирь» в области противодействия коррупции и содержит комплекс взаимосвязанных принципов и процедур, мероприятий по разработке и принятию мер по предупреждению и противодействию коррупции. Последняя редакция Антикоррупционной политики ПАО «Россети Сибирь» утверждена протоколом Совета директоров Общества от 25.08.2023 № 501/23.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отчетном периоде деятельность Общества была направлена на организацию работы по предупреждению, выявлению, пресечению коррупционных проявлений, реализацию плана противодействия коррупции в ПАО «Россети Сибирь» на 2024 год. Проводилась работа по совершенствованию правового регулирования антикоррупционной деятельности - актуализированы/изданы приказы, распоряжения, стандарты Общества (12 шт.). Все локальные нормативные акты Общества, касающиеся политики и методов противодействия коррупции, соблюдения норм корпоративной этики, в обязательном порядке направлялись для исполнения/ознакомления руководителям всех уровней и работникам Общества.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В рамках оценки соблюдения требований Антикоррупционной политики в отчетном периоде подготовлены отчеты о результатах антикоррупционного мониторинга, которые рассмотрены Комитетом по аудиту Совета директоров ПАО «Россети Сибирь» и Советом директоров Общества.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ПАО «Россети Сибирь» является участником Антикоррупционной хартии российского бизнеса, очередное направление декларации о соблюдении положений хартии запланировано не позднее 17.04.2025 (раз в 2 года).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Проведено анонимное анкетирование работников Общества по оценке эффективности работы по профилактике коррупции. В опросе приняло участие 66% от общего количества персонала. Эффективность проводимых мероприятий в области противодействия коррупции отметили 75% участников опроса. </w:t>
      </w:r>
    </w:p>
    <w:p w:rsidR="00D602D4" w:rsidRDefault="00D602D4">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b/>
          <w:sz w:val="24"/>
          <w:szCs w:val="24"/>
        </w:rPr>
      </w:pPr>
      <w:r>
        <w:rPr>
          <w:rFonts w:ascii="Times New Roman" w:eastAsia="Calibri" w:hAnsi="Times New Roman" w:cs="Times New Roman"/>
          <w:b/>
          <w:sz w:val="24"/>
          <w:szCs w:val="24"/>
        </w:rPr>
        <w:t>Выявление и урегулирование конфликта интересов.</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Основным инструментом урегулирования конфликта интересов является первоначальное и ежегодное декларирование конфликта интересов, а также декларирование сведений о доходах.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Проведена проверка 628 деклараций, представленных кандидатами на замещение должностей при приеме/переводе на работу в Обществе (2023 - 757; 2022 - 863). В пяти случаях выявлены  предконфликтные ситуации, связанные с подчиненностью близких родственников, выданы отрицательные заключения, все случаи урегулированы в соответствие с ОРД Общества.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Реализован комплекс мероприятий по ежегодному декларированию конфликта интересов. Списочная численность работников Общества, подлежащих декларированию, составила 5583 человека, в том числе 319 - персонал АО «Россети Сибирь Тываэнерго. За исключением уволенных работников, находящихся на длительном лечении, участников СВО в декларировании приняли участие - 5501 человек, в т.ч. АО «Россети Сибирь Тываэнерго» – 310, что составило 100% от списочной численности Общества (2023 - 5507; 2022 - 4992).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Осуществлена координация деятельности Комиссий филиалов/Общества под управлением по вопросам ежегодной декларационной кампании (9 заседаний).  За отчетный период предконфликтных ситуаций, в том числе, связанных с подчиненностью близких родственников, не выявлено.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Проведена проверка сведений о доходах 10 руководителей ИА Общества (2023 - 18; 2022 - 19). Проверено 48 справок о доходах и обязательствах имущественного характера декларантов и их близких родственников (2023-97; 2022-101). В ходе проверки признаков аффилированности, конфликта интересов, предконфликных ситуаций и иных злоупотреблений, связанных с занимаемыми должностями, не выявлено.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отчетном периоде с вновь принятыми работниками Общества заключено 2714 соглашений о соблюдении требований Антикоррупционной политики (2023-2796; 2022-3103). Принятым работникам Общества даны разъяснения действующего законодательства Российской Федерации в области противодействия коррупции, требований Кодекса корпоративной этики и должностного поведения работников. </w:t>
      </w:r>
    </w:p>
    <w:p w:rsidR="00D602D4" w:rsidRDefault="00D602D4">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b/>
          <w:sz w:val="24"/>
          <w:szCs w:val="24"/>
        </w:rPr>
      </w:pPr>
      <w:r>
        <w:rPr>
          <w:rFonts w:ascii="Times New Roman" w:eastAsia="Calibri" w:hAnsi="Times New Roman" w:cs="Times New Roman"/>
          <w:b/>
          <w:sz w:val="24"/>
          <w:szCs w:val="24"/>
        </w:rPr>
        <w:t>Принятие мер по предупреждению коррупции при взаимодействии с партнерами и контрагентами.</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b/>
          <w:sz w:val="24"/>
          <w:szCs w:val="24"/>
        </w:rPr>
      </w:pPr>
      <w:r>
        <w:rPr>
          <w:rFonts w:ascii="Times New Roman" w:eastAsia="Calibri" w:hAnsi="Times New Roman" w:cs="Times New Roman"/>
          <w:sz w:val="24"/>
          <w:szCs w:val="24"/>
        </w:rPr>
        <w:t xml:space="preserve">В ПАО «Россети Сибирь» регулярно проводятся проверки контрагентов на предмет благонадежности, аффилированности и заинтересованности в целях снижения риска вовлечения Общества в коррупционную деятельность. Среди контрагентов и деловых партнеров ПАО «Россети Сибирь» распространяются политика, процедуры и правила, направленные на профилактику и противодействие коррупции, которые применяются в компании (антикоррупционный стандарт, антикоррупционная оговорка и т.д.).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С целью раскрытия информации о собственниках контрагентов внесены сведения в автоматизированную систему анализа и собора информации о 5 615 бенефициарах по 5532 договорам (2023-5520/5414; 2022-4555/3942). Выявлено 140 замечаний при раскрытии центрами ответственности (ЦО) цепочки собственников контрагентов, в том числе, факты неполного раскрытия информации о бенефициарах, загрузки неактуальной информации. Проведена работа с ЦО о недопущении искажения указанных данных.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Проверено 1376 заявок для формирования повестки заседания на ЦКК - аналитических, пояснительных записок, расчетов НМЦ (2023-1721; 2022-1359). Выявлены замечания по 169 заявкам в связи с отсутствием расчетов и обоснований НМЦ, необходимого пакета документов, согласований ПАО «Россети», наличием технических ошибок (2023 - 135; 2022- 189). Замечания устранены в рабочем порядке.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Проведены проверки ТЗП на предмет наличия аффилированных связей, конфликта интересов, уровня благонадежности и добросовестности между 5056 участниками и работниками Общества. С учетом выданных отрицательных заключений отклонено 132 участника. Основные замечания к участникам закупочных процедур: отсутствие согласий на обработку персональных данных, справок о наличии конфликта интересов или связей, носящих характер аффилированности антикоррупционных обязательств, справок о цепочке собственников (бенефициаров).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 рамках мониторинга и контроля экономической обоснованности расходов Общества в сферах с высоким коррупционным риском проведены выборочные проверки: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филиалов на предмет выдачи и расходования денежных средств по статье «Представительские расходы». Превышения установленных ежемесячных лимитов, а также нецелевого расходования денежных средств не выявлено; </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оказания благотворительной помощи АНО «Лига Дзюдо», документы представлены в полном объеме в соответствии с законодательством </w:t>
      </w:r>
      <w:r>
        <w:rPr>
          <w:rFonts w:ascii="Times New Roman" w:eastAsia="Times New Roman" w:hAnsi="Times New Roman" w:cs="Times New Roman"/>
          <w:sz w:val="24"/>
          <w:szCs w:val="24"/>
        </w:rPr>
        <w:t>Российской Федерации</w:t>
      </w:r>
      <w:r>
        <w:rPr>
          <w:rFonts w:ascii="Times New Roman" w:eastAsia="Calibri" w:hAnsi="Times New Roman" w:cs="Times New Roman"/>
          <w:sz w:val="24"/>
          <w:szCs w:val="24"/>
        </w:rPr>
        <w:t xml:space="preserve"> и локальными нормативными актами, оснований для отказа в оказании благотворительной помощи не установлено;</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анализ отчета об исполнении плана закупок за 12 мес. 2023 года и за 6 мес. 2024 года в целях выявления признаков злоупотреблений (при заключении договора с единственным участником по результатам несостоявшихся закупочных процедур стоимостью свыше 50 млн руб. на предмет неучтенных закупочной Комиссией отрицательных заключений блока безопасности в отношении потенциальных контрагентов). Фактов нарушения законодательства, Антикоррупционного стандарта закупочной деятельности при проведении закупочных процедур не выявлено.</w:t>
      </w:r>
    </w:p>
    <w:p w:rsidR="00D602D4" w:rsidRDefault="000B4C86">
      <w:pPr>
        <w:shd w:val="clear" w:color="FFFFFF" w:themeColor="background1"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Наличие антикоррупционной оговорки в проектах договоров находится на постоянном контроле блока безопасности. </w:t>
      </w:r>
    </w:p>
    <w:p w:rsidR="00D602D4" w:rsidRDefault="00D602D4">
      <w:pPr>
        <w:shd w:val="clear" w:color="FFFFFF" w:themeColor="background1" w:fill="FFFFFF" w:themeFill="background1"/>
        <w:spacing w:after="0" w:line="240" w:lineRule="auto"/>
        <w:ind w:firstLine="709"/>
        <w:jc w:val="both"/>
        <w:rPr>
          <w:rFonts w:ascii="Times New Roman" w:hAnsi="Times New Roman" w:cs="Times New Roman"/>
          <w:b/>
          <w:sz w:val="24"/>
          <w:szCs w:val="24"/>
        </w:rPr>
      </w:pP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Рассмотрение и разрешение информации о возможных фактах коррупции и иных злоупотреблений.</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ПАО «Россети Сибирь» организована система по контролю получения и проверки фактов информирования о потенциальных случаях недобросовестных действий работников. В части реализации мер, направленных на выявление и предотвращение недобросовестных действий сотрудников, действует стандарт приема и рассмотрения поступивших по горячей линии обращений заявителей. Согласно данному локальному нормативному акту организованы каналы связи, доступные для использования (горячая линия, форма обратной связи на сайте ПАО «Россети Сибирь»).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Кроме того, обновляется информация по вопросам противодействия коррупции на стендах, размещенных в офисах исполнительных аппаратов Общества и центрах обслуживания клиентов.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Все обращения физических и юридических лиц проверяются департаментом безопасности Общества. По итогам рассмотрения обращения составляется мотивированное заключение, заявителю направляется ответ. За отчетный период зарегистрировано восемь обращений заявителей о возможных фактах коррупции и подозрений на наличие конфликта интересов, поступивших на горячую линию, в ходе проверок коррупционная составляющая в действиях работников Общества не выявлена.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Внутренний контроль по предотвращению, выявлению и пресечению случаев неправомерного использования инсайдерской информации и манипулирования рынком регламентируется стандартом Общества. За отчетный год обращений о неправомерном использовании инсайдерской информации на горячую линию не поступало. </w:t>
      </w:r>
    </w:p>
    <w:p w:rsidR="00D602D4" w:rsidRDefault="00D602D4">
      <w:pPr>
        <w:shd w:val="clear" w:color="FFFFFF" w:themeColor="background1" w:fill="FFFFFF" w:themeFill="background1"/>
        <w:spacing w:after="0" w:line="240" w:lineRule="auto"/>
        <w:ind w:firstLine="709"/>
        <w:jc w:val="both"/>
        <w:rPr>
          <w:rFonts w:ascii="Times New Roman" w:hAnsi="Times New Roman" w:cs="Times New Roman"/>
          <w:b/>
          <w:sz w:val="24"/>
          <w:szCs w:val="24"/>
        </w:rPr>
      </w:pP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b/>
          <w:bCs/>
          <w:sz w:val="24"/>
          <w:szCs w:val="24"/>
        </w:rPr>
      </w:pPr>
      <w:r>
        <w:rPr>
          <w:rFonts w:ascii="Times New Roman" w:hAnsi="Times New Roman" w:cs="Times New Roman"/>
          <w:b/>
          <w:sz w:val="24"/>
          <w:szCs w:val="24"/>
        </w:rPr>
        <w:t>Правовое просвещение и формирование основ законопослушного поведения работников, консультирование и обучение персонала.</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Особое внимание в Обществе уделяется профилактике коррупционных правонарушений. С этой целью в Обществе принят ряд мер по выявлению и устранению причин коррупции: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создан и совершенствуется раздел «Антикоррупционная политика» на официальном сайте ПАО «Россети Сибирь» (</w:t>
      </w:r>
      <w:hyperlink r:id="rId93" w:tooltip="http://www.rosseti-sib.ru" w:history="1">
        <w:r>
          <w:rPr>
            <w:rFonts w:ascii="Times New Roman" w:hAnsi="Times New Roman" w:cs="Times New Roman"/>
            <w:sz w:val="24"/>
            <w:szCs w:val="24"/>
          </w:rPr>
          <w:t>www.rosseti-sib.ru</w:t>
        </w:r>
      </w:hyperlink>
      <w:r>
        <w:rPr>
          <w:rFonts w:ascii="Times New Roman" w:hAnsi="Times New Roman" w:cs="Times New Roman"/>
          <w:sz w:val="24"/>
          <w:szCs w:val="24"/>
        </w:rPr>
        <w:t xml:space="preserve">) и на внутреннем портале;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размещается информация о мероприятиях по реализации Антикоррупционной политики на информационных внутрикорпоративных ресурсах;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организован и осуществляется внутренний контроль;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предъявляются квалификационные требования к претендентам на замещаемые в Обществе должности, ведется проверка в установленном порядке сведений, представленных указанными лицами.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Обществе постоянно обновляется нормативно-правовая база, осуществляются необходимые мероприятия и антикоррупционные процедуры, способствующие формированию в Обществе нетерпимого отношения к коррупционному поведению.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рамках повышения информированности сотрудников Общества по вопросу реализации требований Антикоррупционной политики на образовательном портале </w:t>
      </w:r>
      <w:hyperlink r:id="rId94" w:tooltip="https://education.rosseti.ru" w:history="1">
        <w:r>
          <w:rPr>
            <w:rFonts w:ascii="Times New Roman" w:hAnsi="Times New Roman" w:cs="Times New Roman"/>
            <w:sz w:val="24"/>
            <w:szCs w:val="24"/>
          </w:rPr>
          <w:t>https://education.rosseti.ru</w:t>
        </w:r>
      </w:hyperlink>
      <w:r>
        <w:rPr>
          <w:rFonts w:ascii="Times New Roman" w:hAnsi="Times New Roman" w:cs="Times New Roman"/>
          <w:sz w:val="24"/>
          <w:szCs w:val="24"/>
        </w:rPr>
        <w:t xml:space="preserve"> проводится онлайн-обучение и тестирование для вновь принятых  сотрудников, в отчетном периоде – 2286 (2023 - 2073; 2022 - 2378), а также дистанционный курс обучения с итоговым тестированием для работников по теме: «Профилактика и предупреждение коррупции в группе компаний «Россети». В 2024 году количество работников, прошедших итоговое тестирование составило более 11 тыс. человек.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6"/>
          <w:szCs w:val="26"/>
        </w:rPr>
      </w:pPr>
      <w:r>
        <w:rPr>
          <w:rFonts w:ascii="Times New Roman" w:hAnsi="Times New Roman" w:cs="Times New Roman"/>
          <w:sz w:val="24"/>
          <w:szCs w:val="24"/>
        </w:rPr>
        <w:t>Для работников Общества проведено:</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6"/>
          <w:szCs w:val="26"/>
        </w:rPr>
      </w:pPr>
      <w:r>
        <w:rPr>
          <w:rFonts w:ascii="Times New Roman" w:hAnsi="Times New Roman" w:cs="Times New Roman"/>
          <w:sz w:val="24"/>
          <w:szCs w:val="24"/>
          <w:lang w:eastAsia="ru-RU"/>
        </w:rPr>
        <w:t xml:space="preserve">- </w:t>
      </w:r>
      <w:r>
        <w:rPr>
          <w:rFonts w:ascii="Times New Roman" w:hAnsi="Times New Roman" w:cs="Times New Roman"/>
          <w:sz w:val="24"/>
          <w:szCs w:val="24"/>
        </w:rPr>
        <w:t>целевое обучение по теме «Конфликт интересов, связанный с подчиненностью близких родственников» (всего прошли обучение 64 человека, отвечающих за прием/перевод сотрудников</w:t>
      </w:r>
      <w:r>
        <w:rPr>
          <w:rFonts w:ascii="Times New Roman" w:hAnsi="Times New Roman" w:cs="Times New Roman"/>
          <w:sz w:val="24"/>
          <w:szCs w:val="24"/>
          <w:lang w:eastAsia="ru-RU"/>
        </w:rPr>
        <w:t>);</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6"/>
          <w:szCs w:val="26"/>
        </w:rPr>
      </w:pPr>
      <w:r>
        <w:rPr>
          <w:rFonts w:ascii="Times New Roman" w:hAnsi="Times New Roman" w:cs="Times New Roman"/>
          <w:sz w:val="24"/>
          <w:szCs w:val="24"/>
          <w:lang w:eastAsia="ru-RU"/>
        </w:rPr>
        <w:t>- обучение</w:t>
      </w:r>
      <w:r>
        <w:rPr>
          <w:rFonts w:ascii="Times New Roman" w:hAnsi="Times New Roman" w:cs="Times New Roman"/>
          <w:sz w:val="24"/>
          <w:szCs w:val="24"/>
        </w:rPr>
        <w:t xml:space="preserve"> по теме «Ответственность за совершение коррупционных правонарушений» (во исполнение п. 1 Дорожной карты по повышению эффективности предупреждения коррупционных правонарушений (утв. распоряжением от 08.10.2024 № 269)</w:t>
      </w:r>
      <w:r>
        <w:rPr>
          <w:rFonts w:ascii="Times New Roman" w:hAnsi="Times New Roman" w:cs="Times New Roman"/>
          <w:sz w:val="24"/>
          <w:szCs w:val="24"/>
          <w:lang w:eastAsia="ru-RU"/>
        </w:rPr>
        <w:t>.</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отчетном периоде опубликованы релизы, пропагандирующие недопустимость коррупционного поведения работников, актуализировано информационное наполнение 27 стендов по вопросам противодействия коррупции. </w:t>
      </w:r>
    </w:p>
    <w:p w:rsidR="00D602D4" w:rsidRDefault="00D602D4">
      <w:pPr>
        <w:shd w:val="clear" w:color="FFFFFF" w:themeColor="background1" w:fill="FFFFFF" w:themeFill="background1"/>
        <w:spacing w:after="0" w:line="240" w:lineRule="auto"/>
        <w:ind w:firstLine="709"/>
        <w:jc w:val="both"/>
        <w:rPr>
          <w:rFonts w:ascii="Times New Roman" w:hAnsi="Times New Roman" w:cs="Times New Roman"/>
          <w:b/>
          <w:sz w:val="24"/>
          <w:szCs w:val="24"/>
        </w:rPr>
      </w:pP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Взаимодействие с государственными органами. Участие в коллективных инициативах по противодействию и профилактике коррупции.</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Сотрудничество с контрольно-надзорными и правоохранительными органами организовано и реализуется в рамках выявленных фактов коррупции. Общество оказывает активное и всестороннее содействие проверяющим органам при расследовании </w:t>
      </w:r>
      <w:r>
        <w:rPr>
          <w:rFonts w:ascii="Times New Roman" w:hAnsi="Times New Roman" w:cs="Times New Roman"/>
          <w:sz w:val="24"/>
          <w:szCs w:val="24"/>
        </w:rPr>
        <w:lastRenderedPageBreak/>
        <w:t xml:space="preserve">правонарушений. Учет проверок, проводимых внешними органами, организован в Обществе в соответствии с требованиями регламента «Учет проверок, осуществляемых внешними органами контроля/надзора». За текущий период проведено 1145 проверок (2023- 658; 2022- 108).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Работниками департамента безопасности Общества принято участие: </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в проводимом ПАО «Россети» дне знаний по темам: «Новации в российском антикоррупционном законодательстве»; «Коррупционные риски и их факторы в бизнес-процессах. Матрица рисков и контрольных процедур»; «Актуальные изменения порядка проведения закупочных процедур в ПАО «Россети» и его филиалах».</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во всероссийской интерактивной акции, посвященной Международному дню борьбы с коррупцией, по вопросам противодействия коррупции, организованном Торгово-промышленной палатой Российской Федерации». </w:t>
      </w:r>
    </w:p>
    <w:p w:rsidR="00D602D4" w:rsidRDefault="000B4C86">
      <w:pPr>
        <w:shd w:val="clear" w:color="FFFFFF" w:themeColor="background1" w:fill="FFFFFF" w:themeFill="background1"/>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57</w:t>
      </w:r>
    </w:p>
    <w:p w:rsidR="00D602D4" w:rsidRDefault="000B4C86">
      <w:pPr>
        <w:shd w:val="clear" w:color="FFFFFF" w:themeColor="background1" w:fill="FFFFFF" w:themeFill="background1"/>
        <w:spacing w:after="0" w:line="240" w:lineRule="auto"/>
        <w:ind w:firstLine="709"/>
        <w:jc w:val="center"/>
        <w:rPr>
          <w:rFonts w:ascii="Times New Roman" w:hAnsi="Times New Roman" w:cs="Times New Roman"/>
          <w:b/>
          <w:bCs/>
          <w:sz w:val="24"/>
          <w:szCs w:val="24"/>
        </w:rPr>
      </w:pPr>
      <w:r>
        <w:rPr>
          <w:rFonts w:ascii="Times New Roman" w:hAnsi="Times New Roman" w:cs="Times New Roman"/>
          <w:b/>
          <w:bCs/>
          <w:sz w:val="24"/>
          <w:szCs w:val="24"/>
        </w:rPr>
        <w:t>Показатели в части обеспечения информации</w:t>
      </w:r>
    </w:p>
    <w:tbl>
      <w:tblPr>
        <w:tblW w:w="97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24"/>
        <w:gridCol w:w="1070"/>
        <w:gridCol w:w="936"/>
        <w:gridCol w:w="812"/>
        <w:gridCol w:w="717"/>
        <w:gridCol w:w="1016"/>
        <w:gridCol w:w="1398"/>
      </w:tblGrid>
      <w:tr w:rsidR="00D602D4">
        <w:trPr>
          <w:cantSplit/>
          <w:jc w:val="center"/>
        </w:trPr>
        <w:tc>
          <w:tcPr>
            <w:tcW w:w="3824" w:type="dxa"/>
            <w:vMerge w:val="restart"/>
            <w:vAlign w:val="center"/>
          </w:tcPr>
          <w:p w:rsidR="00D602D4" w:rsidRDefault="000B4C86">
            <w:pPr>
              <w:spacing w:after="0"/>
              <w:rPr>
                <w:rFonts w:ascii="Times New Roman" w:hAnsi="Times New Roman" w:cs="Times New Roman"/>
                <w:sz w:val="18"/>
                <w:szCs w:val="18"/>
              </w:rPr>
            </w:pPr>
            <w:r>
              <w:rPr>
                <w:rFonts w:ascii="Times New Roman" w:hAnsi="Times New Roman" w:cs="Times New Roman"/>
                <w:sz w:val="18"/>
                <w:szCs w:val="18"/>
              </w:rPr>
              <w:t>Показатель</w:t>
            </w:r>
          </w:p>
        </w:tc>
        <w:tc>
          <w:tcPr>
            <w:tcW w:w="1070" w:type="dxa"/>
            <w:vMerge w:val="restart"/>
            <w:vAlign w:val="center"/>
          </w:tcPr>
          <w:p w:rsidR="00D602D4" w:rsidRDefault="000B4C86">
            <w:pPr>
              <w:spacing w:after="0"/>
              <w:jc w:val="center"/>
              <w:rPr>
                <w:rFonts w:ascii="Times New Roman" w:hAnsi="Times New Roman" w:cs="Times New Roman"/>
                <w:sz w:val="18"/>
                <w:szCs w:val="18"/>
              </w:rPr>
            </w:pPr>
            <w:r>
              <w:rPr>
                <w:rFonts w:ascii="Times New Roman" w:hAnsi="Times New Roman" w:cs="Times New Roman"/>
                <w:sz w:val="18"/>
                <w:szCs w:val="18"/>
              </w:rPr>
              <w:t>Ед. изм.</w:t>
            </w:r>
          </w:p>
        </w:tc>
        <w:tc>
          <w:tcPr>
            <w:tcW w:w="4879" w:type="dxa"/>
            <w:gridSpan w:val="5"/>
            <w:shd w:val="clear" w:color="FFFFFF" w:fill="FFFFFF"/>
          </w:tcPr>
          <w:p w:rsidR="00D602D4" w:rsidRDefault="000B4C86">
            <w:pPr>
              <w:spacing w:after="0"/>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Период</w:t>
            </w:r>
          </w:p>
        </w:tc>
      </w:tr>
      <w:tr w:rsidR="00D602D4">
        <w:trPr>
          <w:cantSplit/>
          <w:jc w:val="center"/>
        </w:trPr>
        <w:tc>
          <w:tcPr>
            <w:tcW w:w="3824" w:type="dxa"/>
            <w:vMerge/>
            <w:vAlign w:val="center"/>
          </w:tcPr>
          <w:p w:rsidR="00D602D4" w:rsidRDefault="00D602D4"/>
        </w:tc>
        <w:tc>
          <w:tcPr>
            <w:tcW w:w="1070" w:type="dxa"/>
            <w:vMerge/>
            <w:vAlign w:val="center"/>
          </w:tcPr>
          <w:p w:rsidR="00D602D4" w:rsidRDefault="00D602D4">
            <w:pPr>
              <w:jc w:val="center"/>
            </w:pPr>
          </w:p>
        </w:tc>
        <w:tc>
          <w:tcPr>
            <w:tcW w:w="936" w:type="dxa"/>
            <w:shd w:val="clear" w:color="FFFFFF" w:fill="FFFFFF"/>
          </w:tcPr>
          <w:p w:rsidR="00D602D4" w:rsidRDefault="000B4C86">
            <w:pPr>
              <w:widowControl w:val="0"/>
              <w:spacing w:after="0" w:line="252" w:lineRule="auto"/>
              <w:ind w:left="-113" w:right="-138"/>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2021 год</w:t>
            </w:r>
          </w:p>
          <w:p w:rsidR="00D602D4" w:rsidRDefault="000B4C86">
            <w:pPr>
              <w:widowControl w:val="0"/>
              <w:spacing w:after="0" w:line="252" w:lineRule="auto"/>
              <w:ind w:left="-107"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
                <w:bCs/>
                <w:color w:val="000000"/>
                <w:sz w:val="16"/>
                <w:szCs w:val="16"/>
                <w:lang w:eastAsia="ru-RU"/>
              </w:rPr>
              <w:t>факт</w:t>
            </w:r>
          </w:p>
        </w:tc>
        <w:tc>
          <w:tcPr>
            <w:tcW w:w="812" w:type="dxa"/>
          </w:tcPr>
          <w:p w:rsidR="00D602D4" w:rsidRDefault="000B4C86">
            <w:pPr>
              <w:widowControl w:val="0"/>
              <w:spacing w:after="0" w:line="252" w:lineRule="auto"/>
              <w:ind w:left="-113" w:right="-138"/>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2022 год</w:t>
            </w:r>
          </w:p>
          <w:p w:rsidR="00D602D4" w:rsidRDefault="000B4C86">
            <w:pPr>
              <w:spacing w:after="0"/>
              <w:jc w:val="center"/>
              <w:rPr>
                <w:rFonts w:ascii="Times New Roman" w:eastAsia="Times New Roman" w:hAnsi="Times New Roman" w:cs="Times New Roman"/>
                <w:b/>
                <w:bCs/>
                <w:color w:val="000000"/>
                <w:sz w:val="16"/>
                <w:szCs w:val="16"/>
                <w:lang w:eastAsia="ru-RU"/>
              </w:rPr>
            </w:pPr>
            <w:r>
              <w:rPr>
                <w:rFonts w:ascii="Times New Roman" w:eastAsia="Times New Roman" w:hAnsi="Times New Roman" w:cs="Times New Roman"/>
                <w:b/>
                <w:bCs/>
                <w:color w:val="000000"/>
                <w:sz w:val="16"/>
                <w:szCs w:val="16"/>
                <w:lang w:eastAsia="ru-RU"/>
              </w:rPr>
              <w:t>факт</w:t>
            </w:r>
          </w:p>
        </w:tc>
        <w:tc>
          <w:tcPr>
            <w:tcW w:w="717" w:type="dxa"/>
          </w:tcPr>
          <w:p w:rsidR="00D602D4" w:rsidRDefault="000B4C86">
            <w:pPr>
              <w:widowControl w:val="0"/>
              <w:shd w:val="clear" w:color="FFFFFF" w:themeColor="background1" w:fill="FFFFFF" w:themeFill="background1"/>
              <w:spacing w:after="0" w:line="252" w:lineRule="auto"/>
              <w:ind w:left="-100" w:right="-143"/>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lang w:eastAsia="ru-RU"/>
              </w:rPr>
              <w:t>2023 год</w:t>
            </w:r>
          </w:p>
          <w:p w:rsidR="00D602D4" w:rsidRDefault="000B4C86">
            <w:pPr>
              <w:widowControl w:val="0"/>
              <w:shd w:val="clear" w:color="FFFFFF" w:themeColor="background1" w:fill="FFFFFF" w:themeFill="background1"/>
              <w:spacing w:after="0" w:line="252" w:lineRule="auto"/>
              <w:ind w:left="-105" w:right="-143" w:hanging="4"/>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
                <w:bCs/>
                <w:color w:val="000000"/>
                <w:sz w:val="16"/>
                <w:szCs w:val="16"/>
                <w:lang w:eastAsia="ru-RU"/>
              </w:rPr>
              <w:t>факт</w:t>
            </w:r>
          </w:p>
        </w:tc>
        <w:tc>
          <w:tcPr>
            <w:tcW w:w="1016" w:type="dxa"/>
          </w:tcPr>
          <w:p w:rsidR="00D602D4" w:rsidRDefault="000B4C86">
            <w:pPr>
              <w:spacing w:after="0"/>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lang w:eastAsia="ru-RU"/>
              </w:rPr>
              <w:t>2024 год факт</w:t>
            </w:r>
          </w:p>
        </w:tc>
        <w:tc>
          <w:tcPr>
            <w:tcW w:w="1398" w:type="dxa"/>
          </w:tcPr>
          <w:p w:rsidR="00D602D4" w:rsidRDefault="000B4C86">
            <w:pPr>
              <w:spacing w:after="0"/>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lang w:eastAsia="ru-RU"/>
              </w:rPr>
              <w:t>изменение 2024/2023</w:t>
            </w:r>
          </w:p>
        </w:tc>
      </w:tr>
      <w:tr w:rsidR="00D602D4">
        <w:trPr>
          <w:cantSplit/>
          <w:jc w:val="center"/>
        </w:trPr>
        <w:tc>
          <w:tcPr>
            <w:tcW w:w="3824" w:type="dxa"/>
          </w:tcPr>
          <w:p w:rsidR="00D602D4" w:rsidRDefault="000B4C86">
            <w:pPr>
              <w:spacing w:after="0" w:line="58" w:lineRule="atLeast"/>
              <w:rPr>
                <w:rFonts w:ascii="Times New Roman" w:hAnsi="Times New Roman"/>
                <w:color w:val="000000"/>
                <w:sz w:val="18"/>
                <w:szCs w:val="18"/>
              </w:rPr>
            </w:pPr>
            <w:r>
              <w:rPr>
                <w:rFonts w:ascii="Times New Roman" w:hAnsi="Times New Roman"/>
                <w:color w:val="000000"/>
                <w:sz w:val="18"/>
                <w:szCs w:val="18"/>
                <w:lang w:eastAsia="ru-RU"/>
              </w:rPr>
              <w:t>Количество проверочных мероприятий, проведенных с участием ПБ филиалов в сфере финансово-хозяйственной деятельности по выявлению, предотвращению и возмещению (погашению) ущерба.</w:t>
            </w:r>
          </w:p>
        </w:tc>
        <w:tc>
          <w:tcPr>
            <w:tcW w:w="1070" w:type="dxa"/>
            <w:vAlign w:val="center"/>
          </w:tcPr>
          <w:p w:rsidR="00D602D4" w:rsidRDefault="000B4C86">
            <w:pPr>
              <w:spacing w:after="0" w:line="58" w:lineRule="atLeast"/>
              <w:jc w:val="center"/>
              <w:rPr>
                <w:rFonts w:ascii="Times New Roman" w:hAnsi="Times New Roman"/>
                <w:color w:val="000000"/>
                <w:sz w:val="20"/>
                <w:szCs w:val="20"/>
                <w:lang w:eastAsia="ru-RU"/>
              </w:rPr>
            </w:pPr>
            <w:r>
              <w:rPr>
                <w:rFonts w:ascii="Times New Roman" w:hAnsi="Times New Roman"/>
                <w:color w:val="000000"/>
                <w:sz w:val="20"/>
                <w:szCs w:val="20"/>
                <w:lang w:eastAsia="ru-RU"/>
              </w:rPr>
              <w:t>шт.</w:t>
            </w:r>
          </w:p>
        </w:tc>
        <w:tc>
          <w:tcPr>
            <w:tcW w:w="936" w:type="dxa"/>
            <w:shd w:val="clear" w:color="FFFFFF" w:fill="FFFFFF"/>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637</w:t>
            </w:r>
          </w:p>
        </w:tc>
        <w:tc>
          <w:tcPr>
            <w:tcW w:w="812" w:type="dxa"/>
            <w:vAlign w:val="center"/>
          </w:tcPr>
          <w:p w:rsidR="00D602D4" w:rsidRDefault="00D602D4">
            <w:pPr>
              <w:spacing w:after="0" w:line="58" w:lineRule="atLeast"/>
              <w:ind w:left="426" w:right="-143" w:hanging="426"/>
              <w:jc w:val="center"/>
              <w:rPr>
                <w:rFonts w:ascii="Times New Roman" w:hAnsi="Times New Roman"/>
                <w:color w:val="000000"/>
                <w:sz w:val="20"/>
                <w:szCs w:val="20"/>
                <w:lang w:eastAsia="ru-RU"/>
              </w:rPr>
            </w:pPr>
          </w:p>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1576 </w:t>
            </w:r>
          </w:p>
          <w:p w:rsidR="00D602D4" w:rsidRDefault="00D602D4">
            <w:pPr>
              <w:spacing w:after="0" w:line="58" w:lineRule="atLeast"/>
              <w:ind w:left="426" w:right="-143" w:hanging="426"/>
              <w:jc w:val="center"/>
              <w:rPr>
                <w:rFonts w:ascii="Times New Roman" w:hAnsi="Times New Roman"/>
                <w:color w:val="000000"/>
                <w:sz w:val="20"/>
                <w:szCs w:val="20"/>
                <w:lang w:eastAsia="ru-RU"/>
              </w:rPr>
            </w:pPr>
          </w:p>
        </w:tc>
        <w:tc>
          <w:tcPr>
            <w:tcW w:w="717"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679</w:t>
            </w:r>
          </w:p>
        </w:tc>
        <w:tc>
          <w:tcPr>
            <w:tcW w:w="1016"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552</w:t>
            </w:r>
          </w:p>
        </w:tc>
        <w:tc>
          <w:tcPr>
            <w:tcW w:w="1398"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-18,7%</w:t>
            </w:r>
          </w:p>
        </w:tc>
      </w:tr>
      <w:tr w:rsidR="00D602D4">
        <w:trPr>
          <w:cantSplit/>
          <w:jc w:val="center"/>
        </w:trPr>
        <w:tc>
          <w:tcPr>
            <w:tcW w:w="3824" w:type="dxa"/>
          </w:tcPr>
          <w:p w:rsidR="00D602D4" w:rsidRDefault="000B4C86">
            <w:pPr>
              <w:spacing w:after="0" w:line="58" w:lineRule="atLeast"/>
              <w:rPr>
                <w:rFonts w:ascii="Times New Roman" w:hAnsi="Times New Roman"/>
                <w:color w:val="000000"/>
                <w:sz w:val="18"/>
                <w:szCs w:val="18"/>
              </w:rPr>
            </w:pPr>
            <w:r>
              <w:rPr>
                <w:rFonts w:ascii="Times New Roman" w:hAnsi="Times New Roman"/>
                <w:color w:val="000000"/>
                <w:sz w:val="18"/>
                <w:szCs w:val="18"/>
                <w:lang w:eastAsia="ru-RU"/>
              </w:rPr>
              <w:t>Антикоррупционный контроль этапов закупочной деятельности (рассмотрение аналитических записок, вопросов, выносимых на заседания Центрального закупочного органа (Центральной конкурсной комиссии), проведение антикоррупционной экспертизы проектов договоров, проверка участников закупок на возможную аффилированность с работниками Общества</w:t>
            </w:r>
          </w:p>
        </w:tc>
        <w:tc>
          <w:tcPr>
            <w:tcW w:w="1070" w:type="dxa"/>
            <w:vAlign w:val="center"/>
          </w:tcPr>
          <w:p w:rsidR="00D602D4" w:rsidRDefault="000B4C86">
            <w:pPr>
              <w:spacing w:after="0" w:line="58" w:lineRule="atLeast"/>
              <w:jc w:val="center"/>
              <w:rPr>
                <w:rFonts w:ascii="Times New Roman" w:hAnsi="Times New Roman"/>
                <w:color w:val="000000"/>
                <w:sz w:val="20"/>
                <w:szCs w:val="20"/>
                <w:lang w:eastAsia="ru-RU"/>
              </w:rPr>
            </w:pPr>
            <w:r>
              <w:rPr>
                <w:rFonts w:ascii="Times New Roman" w:hAnsi="Times New Roman"/>
                <w:color w:val="000000"/>
                <w:sz w:val="20"/>
                <w:szCs w:val="20"/>
                <w:lang w:eastAsia="ru-RU"/>
              </w:rPr>
              <w:t>шт.</w:t>
            </w:r>
          </w:p>
        </w:tc>
        <w:tc>
          <w:tcPr>
            <w:tcW w:w="936" w:type="dxa"/>
            <w:shd w:val="clear" w:color="FFFFFF" w:fill="FFFFFF"/>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3476</w:t>
            </w:r>
          </w:p>
        </w:tc>
        <w:tc>
          <w:tcPr>
            <w:tcW w:w="812" w:type="dxa"/>
            <w:vAlign w:val="center"/>
          </w:tcPr>
          <w:p w:rsidR="00D602D4" w:rsidRDefault="00D602D4">
            <w:pPr>
              <w:spacing w:after="0" w:line="58" w:lineRule="atLeast"/>
              <w:ind w:left="426" w:right="-143" w:hanging="426"/>
              <w:jc w:val="center"/>
              <w:rPr>
                <w:rFonts w:ascii="Times New Roman" w:hAnsi="Times New Roman"/>
                <w:color w:val="000000"/>
                <w:sz w:val="20"/>
                <w:szCs w:val="20"/>
                <w:lang w:eastAsia="ru-RU"/>
              </w:rPr>
            </w:pPr>
          </w:p>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3248</w:t>
            </w:r>
          </w:p>
          <w:p w:rsidR="00D602D4" w:rsidRDefault="00D602D4">
            <w:pPr>
              <w:spacing w:after="0" w:line="58" w:lineRule="atLeast"/>
              <w:ind w:left="426" w:right="-143" w:hanging="426"/>
              <w:jc w:val="center"/>
              <w:rPr>
                <w:rFonts w:ascii="Times New Roman" w:hAnsi="Times New Roman"/>
                <w:color w:val="000000"/>
                <w:sz w:val="20"/>
                <w:szCs w:val="20"/>
                <w:lang w:eastAsia="ru-RU"/>
              </w:rPr>
            </w:pPr>
          </w:p>
        </w:tc>
        <w:tc>
          <w:tcPr>
            <w:tcW w:w="717"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3551</w:t>
            </w:r>
          </w:p>
        </w:tc>
        <w:tc>
          <w:tcPr>
            <w:tcW w:w="1016"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 xml:space="preserve">5056 </w:t>
            </w:r>
          </w:p>
        </w:tc>
        <w:tc>
          <w:tcPr>
            <w:tcW w:w="1398"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_</w:t>
            </w:r>
          </w:p>
        </w:tc>
      </w:tr>
      <w:tr w:rsidR="00D602D4">
        <w:trPr>
          <w:cantSplit/>
          <w:trHeight w:val="650"/>
          <w:jc w:val="center"/>
        </w:trPr>
        <w:tc>
          <w:tcPr>
            <w:tcW w:w="3824" w:type="dxa"/>
          </w:tcPr>
          <w:p w:rsidR="00D602D4" w:rsidRDefault="000B4C86">
            <w:pPr>
              <w:tabs>
                <w:tab w:val="left" w:pos="9356"/>
              </w:tabs>
              <w:spacing w:after="0" w:line="252"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lang w:eastAsia="ru-RU"/>
              </w:rPr>
              <w:t>Рассмотрено обращений, поступивших на «горячую линию», о возможных фактах коррупции и мошенничества.</w:t>
            </w:r>
          </w:p>
        </w:tc>
        <w:tc>
          <w:tcPr>
            <w:tcW w:w="1070" w:type="dxa"/>
            <w:vAlign w:val="center"/>
          </w:tcPr>
          <w:p w:rsidR="00D602D4" w:rsidRDefault="000B4C86">
            <w:pPr>
              <w:spacing w:after="0" w:line="58" w:lineRule="atLeast"/>
              <w:jc w:val="center"/>
              <w:rPr>
                <w:rFonts w:ascii="Times New Roman" w:hAnsi="Times New Roman"/>
                <w:color w:val="000000"/>
                <w:sz w:val="20"/>
                <w:szCs w:val="20"/>
                <w:lang w:eastAsia="ru-RU"/>
              </w:rPr>
            </w:pPr>
            <w:r>
              <w:rPr>
                <w:rFonts w:ascii="Times New Roman" w:hAnsi="Times New Roman"/>
                <w:color w:val="000000"/>
                <w:sz w:val="20"/>
                <w:szCs w:val="20"/>
                <w:lang w:eastAsia="ru-RU"/>
              </w:rPr>
              <w:t>шт.</w:t>
            </w:r>
          </w:p>
        </w:tc>
        <w:tc>
          <w:tcPr>
            <w:tcW w:w="936" w:type="dxa"/>
            <w:shd w:val="clear" w:color="FFFFFF" w:fill="FFFFFF"/>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1</w:t>
            </w:r>
          </w:p>
        </w:tc>
        <w:tc>
          <w:tcPr>
            <w:tcW w:w="812"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717"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1016"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0</w:t>
            </w:r>
          </w:p>
        </w:tc>
        <w:tc>
          <w:tcPr>
            <w:tcW w:w="1398" w:type="dxa"/>
            <w:vAlign w:val="center"/>
          </w:tcPr>
          <w:p w:rsidR="00D602D4" w:rsidRDefault="00D602D4">
            <w:pPr>
              <w:spacing w:after="0" w:line="58" w:lineRule="atLeast"/>
              <w:ind w:left="426" w:right="-143" w:hanging="426"/>
              <w:jc w:val="center"/>
              <w:rPr>
                <w:rFonts w:ascii="Times New Roman" w:hAnsi="Times New Roman"/>
                <w:color w:val="000000"/>
                <w:sz w:val="20"/>
                <w:szCs w:val="20"/>
                <w:lang w:eastAsia="ru-RU"/>
              </w:rPr>
            </w:pPr>
          </w:p>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0%</w:t>
            </w:r>
          </w:p>
          <w:p w:rsidR="00D602D4" w:rsidRDefault="00D602D4">
            <w:pPr>
              <w:spacing w:after="0" w:line="58" w:lineRule="atLeast"/>
              <w:ind w:left="426" w:right="-143" w:hanging="426"/>
              <w:jc w:val="center"/>
              <w:rPr>
                <w:rFonts w:ascii="Times New Roman" w:hAnsi="Times New Roman"/>
                <w:color w:val="000000"/>
                <w:sz w:val="20"/>
                <w:szCs w:val="20"/>
                <w:lang w:eastAsia="ru-RU"/>
              </w:rPr>
            </w:pPr>
          </w:p>
        </w:tc>
      </w:tr>
      <w:tr w:rsidR="00D602D4">
        <w:trPr>
          <w:cantSplit/>
          <w:jc w:val="center"/>
        </w:trPr>
        <w:tc>
          <w:tcPr>
            <w:tcW w:w="3824" w:type="dxa"/>
          </w:tcPr>
          <w:p w:rsidR="00D602D4" w:rsidRDefault="000B4C86">
            <w:pPr>
              <w:tabs>
                <w:tab w:val="left" w:pos="9356"/>
              </w:tabs>
              <w:spacing w:after="0" w:line="252"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lang w:eastAsia="ru-RU"/>
              </w:rPr>
              <w:t>Предотвращенный материальный ущерб по результатам проведенной работы</w:t>
            </w:r>
          </w:p>
        </w:tc>
        <w:tc>
          <w:tcPr>
            <w:tcW w:w="1070" w:type="dxa"/>
            <w:vAlign w:val="center"/>
          </w:tcPr>
          <w:p w:rsidR="00D602D4" w:rsidRDefault="000B4C86">
            <w:pPr>
              <w:spacing w:after="0" w:line="58" w:lineRule="atLeast"/>
              <w:jc w:val="center"/>
              <w:rPr>
                <w:rFonts w:ascii="Times New Roman" w:hAnsi="Times New Roman"/>
                <w:color w:val="000000"/>
                <w:sz w:val="20"/>
                <w:szCs w:val="20"/>
                <w:lang w:eastAsia="ru-RU"/>
              </w:rPr>
            </w:pPr>
            <w:r>
              <w:rPr>
                <w:rFonts w:ascii="Times New Roman" w:hAnsi="Times New Roman"/>
                <w:color w:val="000000"/>
                <w:sz w:val="20"/>
                <w:szCs w:val="20"/>
                <w:lang w:eastAsia="ru-RU"/>
              </w:rPr>
              <w:t>млн.</w:t>
            </w:r>
          </w:p>
          <w:p w:rsidR="00D602D4" w:rsidRDefault="000B4C86">
            <w:pPr>
              <w:spacing w:after="0" w:line="58" w:lineRule="atLeast"/>
              <w:jc w:val="center"/>
              <w:rPr>
                <w:rFonts w:ascii="Times New Roman" w:hAnsi="Times New Roman"/>
                <w:color w:val="000000"/>
                <w:sz w:val="20"/>
                <w:szCs w:val="20"/>
                <w:lang w:eastAsia="ru-RU"/>
              </w:rPr>
            </w:pPr>
            <w:r>
              <w:rPr>
                <w:rFonts w:ascii="Times New Roman" w:hAnsi="Times New Roman"/>
                <w:color w:val="000000"/>
                <w:sz w:val="20"/>
                <w:szCs w:val="20"/>
                <w:lang w:eastAsia="ru-RU"/>
              </w:rPr>
              <w:t>руб.</w:t>
            </w:r>
          </w:p>
        </w:tc>
        <w:tc>
          <w:tcPr>
            <w:tcW w:w="936" w:type="dxa"/>
            <w:shd w:val="clear" w:color="FFFFFF" w:fill="FFFFFF"/>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18,7</w:t>
            </w:r>
          </w:p>
        </w:tc>
        <w:tc>
          <w:tcPr>
            <w:tcW w:w="812"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64</w:t>
            </w:r>
          </w:p>
        </w:tc>
        <w:tc>
          <w:tcPr>
            <w:tcW w:w="717"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23,1</w:t>
            </w:r>
          </w:p>
        </w:tc>
        <w:tc>
          <w:tcPr>
            <w:tcW w:w="1016"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80,98</w:t>
            </w:r>
          </w:p>
        </w:tc>
        <w:tc>
          <w:tcPr>
            <w:tcW w:w="1398"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350%</w:t>
            </w:r>
          </w:p>
        </w:tc>
      </w:tr>
      <w:tr w:rsidR="00D602D4">
        <w:trPr>
          <w:cantSplit/>
          <w:jc w:val="center"/>
        </w:trPr>
        <w:tc>
          <w:tcPr>
            <w:tcW w:w="3824" w:type="dxa"/>
          </w:tcPr>
          <w:p w:rsidR="00D602D4" w:rsidRDefault="000B4C86">
            <w:pPr>
              <w:tabs>
                <w:tab w:val="left" w:pos="9356"/>
              </w:tabs>
              <w:spacing w:after="0" w:line="252" w:lineRule="auto"/>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lang w:eastAsia="ru-RU"/>
              </w:rPr>
              <w:t>Доля работников службы безопасности (в процентах), прошедших подготовку по вопросам политики Общества в области прав человека или конкретных процедур и их применения в области безопасности</w:t>
            </w:r>
          </w:p>
        </w:tc>
        <w:tc>
          <w:tcPr>
            <w:tcW w:w="1070" w:type="dxa"/>
            <w:vAlign w:val="center"/>
          </w:tcPr>
          <w:p w:rsidR="00D602D4" w:rsidRDefault="000B4C86">
            <w:pPr>
              <w:spacing w:after="0" w:line="58" w:lineRule="atLeast"/>
              <w:jc w:val="center"/>
              <w:rPr>
                <w:rFonts w:ascii="Times New Roman" w:hAnsi="Times New Roman"/>
                <w:color w:val="000000"/>
                <w:sz w:val="20"/>
                <w:szCs w:val="20"/>
                <w:lang w:eastAsia="ru-RU"/>
              </w:rPr>
            </w:pPr>
            <w:r>
              <w:rPr>
                <w:rFonts w:ascii="Times New Roman" w:hAnsi="Times New Roman"/>
                <w:color w:val="000000"/>
                <w:sz w:val="20"/>
                <w:szCs w:val="20"/>
                <w:lang w:eastAsia="ru-RU"/>
              </w:rPr>
              <w:t>%</w:t>
            </w:r>
          </w:p>
        </w:tc>
        <w:tc>
          <w:tcPr>
            <w:tcW w:w="936" w:type="dxa"/>
            <w:shd w:val="clear" w:color="FFFFFF" w:fill="FFFFFF"/>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29</w:t>
            </w:r>
          </w:p>
        </w:tc>
        <w:tc>
          <w:tcPr>
            <w:tcW w:w="812"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19</w:t>
            </w:r>
          </w:p>
        </w:tc>
        <w:tc>
          <w:tcPr>
            <w:tcW w:w="717"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137</w:t>
            </w:r>
          </w:p>
        </w:tc>
        <w:tc>
          <w:tcPr>
            <w:tcW w:w="1016"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64</w:t>
            </w:r>
          </w:p>
        </w:tc>
        <w:tc>
          <w:tcPr>
            <w:tcW w:w="1398" w:type="dxa"/>
            <w:vAlign w:val="center"/>
          </w:tcPr>
          <w:p w:rsidR="00D602D4" w:rsidRDefault="000B4C86">
            <w:pPr>
              <w:spacing w:after="0" w:line="58" w:lineRule="atLeast"/>
              <w:ind w:left="426" w:right="-143" w:hanging="426"/>
              <w:jc w:val="center"/>
              <w:rPr>
                <w:rFonts w:ascii="Times New Roman" w:hAnsi="Times New Roman"/>
                <w:color w:val="000000"/>
                <w:sz w:val="20"/>
                <w:szCs w:val="20"/>
                <w:lang w:eastAsia="ru-RU"/>
              </w:rPr>
            </w:pPr>
            <w:r>
              <w:rPr>
                <w:rFonts w:ascii="Times New Roman" w:hAnsi="Times New Roman"/>
                <w:color w:val="000000"/>
                <w:sz w:val="20"/>
                <w:szCs w:val="20"/>
                <w:lang w:eastAsia="ru-RU"/>
              </w:rPr>
              <w:t>_</w:t>
            </w:r>
          </w:p>
        </w:tc>
      </w:tr>
    </w:tbl>
    <w:p w:rsidR="00D602D4" w:rsidRDefault="00D602D4">
      <w:pPr>
        <w:shd w:val="clear" w:color="FFFFFF" w:themeColor="background1" w:fill="FFFFFF" w:themeFill="background1"/>
        <w:spacing w:after="0" w:line="240" w:lineRule="auto"/>
        <w:ind w:firstLine="709"/>
        <w:jc w:val="both"/>
        <w:rPr>
          <w:rFonts w:ascii="Times New Roman" w:hAnsi="Times New Roman" w:cs="Times New Roman"/>
          <w:sz w:val="24"/>
          <w:szCs w:val="24"/>
        </w:rPr>
      </w:pP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Задачи Общества на 2025 год и среднесрочную перспективу в области реализации Антикоррупционной политики</w:t>
      </w:r>
      <w:r>
        <w:rPr>
          <w:rFonts w:ascii="Times New Roman" w:hAnsi="Times New Roman" w:cs="Times New Roman"/>
          <w:sz w:val="24"/>
          <w:szCs w:val="24"/>
        </w:rPr>
        <w:t>.</w:t>
      </w:r>
    </w:p>
    <w:p w:rsidR="00D602D4" w:rsidRDefault="000B4C86">
      <w:pPr>
        <w:shd w:val="clear" w:color="FFFFFF" w:themeColor="background1" w:fill="FFFFFF" w:themeFill="background1"/>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На 2025 год запланировано утверждение и реализация годового Плана противодействия коррупции, а также совершенствование механизмов: </w:t>
      </w:r>
    </w:p>
    <w:p w:rsidR="00D602D4" w:rsidRDefault="000B4C86">
      <w:pPr>
        <w:shd w:val="clear" w:color="FFFFFF" w:themeColor="background1" w:fill="FFFFFF" w:themeFill="background1"/>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системы выявления и урегулирования конфликта интересов;</w:t>
      </w:r>
    </w:p>
    <w:p w:rsidR="00D602D4" w:rsidRDefault="000B4C86">
      <w:pPr>
        <w:shd w:val="clear" w:color="FFFFFF" w:themeColor="background1" w:fill="FFFFFF" w:themeFill="background1"/>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антикоррупционных стандартов закупочной деятельности;</w:t>
      </w:r>
    </w:p>
    <w:p w:rsidR="00D602D4" w:rsidRDefault="000B4C86">
      <w:pPr>
        <w:shd w:val="clear" w:color="FFFFFF" w:themeColor="background1" w:fill="FFFFFF" w:themeFill="background1"/>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предупреждения коррупции при взаимодействии с партнерами и контрагентами;</w:t>
      </w:r>
    </w:p>
    <w:p w:rsidR="00D602D4" w:rsidRDefault="000B4C86">
      <w:pPr>
        <w:shd w:val="clear" w:color="FFFFFF" w:themeColor="background1" w:fill="FFFFFF" w:themeFill="background1"/>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правового регулирования антикоррупционной деятельности;</w:t>
      </w:r>
    </w:p>
    <w:p w:rsidR="00D602D4" w:rsidRDefault="000B4C86">
      <w:pPr>
        <w:shd w:val="clear" w:color="FFFFFF" w:themeColor="background1" w:fill="FFFFFF" w:themeFill="background1"/>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профилактики и противодействия коррупции.</w:t>
      </w:r>
    </w:p>
    <w:p w:rsidR="00D602D4" w:rsidRDefault="00D602D4">
      <w:pPr>
        <w:shd w:val="clear" w:color="FFFFFF" w:themeColor="background1" w:fill="FFFFFF" w:themeFill="background1"/>
        <w:tabs>
          <w:tab w:val="left" w:pos="993"/>
        </w:tabs>
        <w:spacing w:after="0" w:line="240" w:lineRule="auto"/>
        <w:ind w:firstLine="709"/>
        <w:jc w:val="both"/>
        <w:rPr>
          <w:rFonts w:ascii="Times New Roman" w:hAnsi="Times New Roman" w:cs="Times New Roman"/>
          <w:sz w:val="24"/>
          <w:szCs w:val="24"/>
        </w:rPr>
      </w:pPr>
    </w:p>
    <w:p w:rsidR="00D602D4" w:rsidRDefault="00D602D4">
      <w:pPr>
        <w:shd w:val="clear" w:color="FFFFFF" w:themeColor="background1" w:fill="FFFFFF" w:themeFill="background1"/>
        <w:tabs>
          <w:tab w:val="left" w:pos="993"/>
        </w:tabs>
        <w:spacing w:after="0" w:line="240" w:lineRule="auto"/>
        <w:ind w:firstLine="709"/>
        <w:jc w:val="both"/>
        <w:rPr>
          <w:rFonts w:ascii="Times New Roman" w:hAnsi="Times New Roman" w:cs="Times New Roman"/>
          <w:sz w:val="24"/>
          <w:szCs w:val="24"/>
        </w:rPr>
      </w:pPr>
    </w:p>
    <w:p w:rsidR="00D602D4" w:rsidRDefault="00D602D4">
      <w:pPr>
        <w:shd w:val="clear" w:color="FFFFFF" w:themeColor="background1" w:fill="FFFFFF" w:themeFill="background1"/>
        <w:tabs>
          <w:tab w:val="left" w:pos="993"/>
        </w:tabs>
        <w:spacing w:after="0" w:line="240" w:lineRule="auto"/>
        <w:ind w:firstLine="709"/>
        <w:jc w:val="both"/>
        <w:rPr>
          <w:rFonts w:ascii="Times New Roman" w:hAnsi="Times New Roman" w:cs="Times New Roman"/>
          <w:sz w:val="24"/>
          <w:szCs w:val="24"/>
        </w:rPr>
      </w:pPr>
    </w:p>
    <w:p w:rsidR="00D602D4" w:rsidRDefault="00D602D4">
      <w:pPr>
        <w:shd w:val="clear" w:color="FFFFFF" w:themeColor="background1" w:fill="FFFFFF" w:themeFill="background1"/>
        <w:tabs>
          <w:tab w:val="left" w:pos="993"/>
        </w:tabs>
        <w:spacing w:after="0" w:line="240" w:lineRule="auto"/>
        <w:ind w:firstLine="709"/>
        <w:jc w:val="both"/>
        <w:rPr>
          <w:rFonts w:ascii="Times New Roman" w:hAnsi="Times New Roman" w:cs="Times New Roman"/>
          <w:sz w:val="24"/>
          <w:szCs w:val="24"/>
        </w:rPr>
      </w:pPr>
    </w:p>
    <w:p w:rsidR="00D602D4" w:rsidRDefault="00D602D4">
      <w:pPr>
        <w:shd w:val="clear" w:color="FFFFFF" w:themeColor="background1" w:fill="FFFFFF" w:themeFill="background1"/>
        <w:tabs>
          <w:tab w:val="left" w:pos="993"/>
        </w:tabs>
        <w:spacing w:after="0" w:line="240" w:lineRule="auto"/>
        <w:ind w:firstLine="709"/>
        <w:jc w:val="both"/>
        <w:rPr>
          <w:rFonts w:ascii="Times New Roman" w:hAnsi="Times New Roman" w:cs="Times New Roman"/>
          <w:sz w:val="24"/>
          <w:szCs w:val="24"/>
        </w:rPr>
      </w:pPr>
    </w:p>
    <w:p w:rsidR="00D602D4" w:rsidRDefault="000B4C86">
      <w:pPr>
        <w:shd w:val="clear" w:color="FFFFFF" w:themeColor="background1" w:fill="FFFFFF" w:themeFill="background1"/>
        <w:tabs>
          <w:tab w:val="left" w:pos="993"/>
        </w:tabs>
        <w:spacing w:after="0" w:line="240" w:lineRule="auto"/>
        <w:ind w:firstLine="709"/>
        <w:jc w:val="both"/>
        <w:rPr>
          <w:rFonts w:ascii="Times New Roman" w:hAnsi="Times New Roman" w:cs="Times New Roman"/>
          <w:sz w:val="24"/>
          <w:szCs w:val="24"/>
        </w:rPr>
      </w:pPr>
      <w:bookmarkStart w:id="84" w:name="_Toc117"/>
      <w:r>
        <w:rPr>
          <w:rFonts w:ascii="Times New Roman" w:eastAsia="Times New Roman" w:hAnsi="Times New Roman" w:cs="Times New Roman"/>
          <w:b/>
          <w:sz w:val="26"/>
          <w:szCs w:val="26"/>
        </w:rPr>
        <w:lastRenderedPageBreak/>
        <w:t>4.12. Раскрытие информации</w:t>
      </w:r>
      <w:bookmarkEnd w:id="84"/>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Коммуникации со СМИ, в социальных сетях и блогосфере</w:t>
      </w:r>
    </w:p>
    <w:p w:rsidR="00D602D4" w:rsidRDefault="00D602D4">
      <w:pPr>
        <w:spacing w:after="0" w:line="240" w:lineRule="auto"/>
        <w:jc w:val="both"/>
        <w:rPr>
          <w:rFonts w:ascii="Times New Roman" w:hAnsi="Times New Roman" w:cs="Times New Roman"/>
          <w:sz w:val="24"/>
          <w:szCs w:val="24"/>
        </w:rPr>
      </w:pPr>
    </w:p>
    <w:p w:rsidR="00D602D4" w:rsidRDefault="000B4C86">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Коммуникации со СМИ</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rPr>
        <w:t>В 2024 году информационная политика Общества оставалась централизованной. Инициирование информационных поводов и донесение идеологических аспектов деятельности компании до целевых групп строится на принципах открытости, достоверности, оперативности и доступности в рамках реализации Единой коммуникационной политики Группы компаний «Россети». В работе со СМИ преобладает качественный подход, транслируемая информация является целевой и носит редакционный характер. Ключевые направления тематического медиапланирования: повышение надежности электроснабжения, финансовые и технические вызовы перед электросетевым комплексом, диалог с потребителями, продвижение профессии энергетика (в соответствии с актуальными потребностями компании), взаимодействие с региональными и муниципальными органами власти, экологические проекты: развитие электротранспортной инфраструктуры (установка новых ЭЗС), работа над пр</w:t>
      </w:r>
      <w:r>
        <w:rPr>
          <w:rFonts w:ascii="Times New Roman" w:hAnsi="Times New Roman" w:cs="Times New Roman"/>
          <w:sz w:val="24"/>
          <w:szCs w:val="24"/>
          <w:highlight w:val="white"/>
        </w:rPr>
        <w:t xml:space="preserve">оектами по переводу частного сектора с печного отопления на электроотопление.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highlight w:val="white"/>
        </w:rPr>
        <w:t xml:space="preserve">В пресс-релизах для СМИ и постах в социальных медиа регулярно освещаются работы ПАО «Россети Сибирь» по обеспечению надежного электроснабжения учреждений здравоохранения и других социально значимых объектов, крупных предприятий, дающих новые возможности для развития сибирских регионов, технологическому присоединению новых объектов, построенных в рамках нацпроектов. Использование в строительстве и ремонтах подстанций и линий электропередачи отечественного энергооборудования, </w:t>
      </w:r>
      <w:r>
        <w:rPr>
          <w:rFonts w:ascii="Times New Roman" w:hAnsi="Times New Roman" w:cs="Times New Roman"/>
          <w:sz w:val="24"/>
          <w:szCs w:val="24"/>
        </w:rPr>
        <w:t>спецтехники, программного обеспечения в работе компании – повод продемонстрировать поддержку и развитие российских производителей со стороны энергетиков.</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Продолжается взаимодействие филиалов компании с региональными ЦУР (Центр управления регионом). Совместная работа дает стабильный результат: обеспечено оперативное реагирование на обращения пользователей соцсетей, что снижает риски негативных публикаций в СМИ и социальных сетях.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Важным направлением становится популяризации профессии энергетика. Усилено позиционирование непростого труда на живых примерах: в текстах, видео и фотографиях с места несения службы, аварийно-восстановительных работ, строительства новых объектов. Налажено взаимодействие с профильными вузами и ссузами, ведется работа по формированию сообщества выпускников энергоотрядов. Студенты вовлекаются в проектную деятельность компании. Успешно реализуются пилотные проекты по профориентации: типовые уроки для воспитанников детского сада и школьников, экскурсии на исторические или инновационные объекты компании.</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Антикризисная деятельность Департамента по связям с общественностью дает результаты: доля негативных сообщений не снижается, но их содержание всё чаще носит не односторонний негативный характер, а стремится к разносторонней критической оценке и осмыслению ситуации.</w:t>
      </w:r>
    </w:p>
    <w:p w:rsidR="00D602D4" w:rsidRDefault="000B4C86">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940425" cy="360943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79463" name=""/>
                    <pic:cNvPicPr>
                      <a:picLocks noChangeAspect="1"/>
                    </pic:cNvPicPr>
                  </pic:nvPicPr>
                  <pic:blipFill>
                    <a:blip r:embed="rId95"/>
                    <a:stretch/>
                  </pic:blipFill>
                  <pic:spPr bwMode="auto">
                    <a:xfrm>
                      <a:off x="0" y="0"/>
                      <a:ext cx="5940423" cy="3609433"/>
                    </a:xfrm>
                    <a:prstGeom prst="rect">
                      <a:avLst/>
                    </a:prstGeom>
                  </pic:spPr>
                </pic:pic>
              </a:graphicData>
            </a:graphic>
          </wp:inline>
        </w:drawing>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Во всех источниках за 2024 год представлено 52 003 упоминания Общества (согласно данным системы «Скан-Интерфакс») с общим охватом аудитории более 75 млн и индексом прямой речи в публикациях в 58%. Несмотря на более чем двукратный рост числа упоминаний, доля позитивных публикаций, по сравнению с предыдущим периодом, выросла на 9%. Доля негативных публикаций увеличилась до 16%, это связано с антикризисным подходом в коммуникациях.</w:t>
      </w:r>
    </w:p>
    <w:p w:rsidR="00D602D4" w:rsidRDefault="00D602D4">
      <w:pPr>
        <w:spacing w:after="0" w:line="240" w:lineRule="auto"/>
        <w:jc w:val="both"/>
        <w:rPr>
          <w:rFonts w:ascii="Times New Roman" w:hAnsi="Times New Roman" w:cs="Times New Roman"/>
          <w:sz w:val="24"/>
          <w:szCs w:val="24"/>
        </w:rPr>
      </w:pPr>
    </w:p>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877077" cy="3821758"/>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613699" name=""/>
                    <pic:cNvPicPr>
                      <a:picLocks noChangeAspect="1"/>
                    </pic:cNvPicPr>
                  </pic:nvPicPr>
                  <pic:blipFill>
                    <a:blip r:embed="rId96"/>
                    <a:stretch/>
                  </pic:blipFill>
                  <pic:spPr bwMode="auto">
                    <a:xfrm>
                      <a:off x="0" y="0"/>
                      <a:ext cx="4877076" cy="3821756"/>
                    </a:xfrm>
                    <a:prstGeom prst="rect">
                      <a:avLst/>
                    </a:prstGeom>
                  </pic:spPr>
                </pic:pic>
              </a:graphicData>
            </a:graphic>
          </wp:inline>
        </w:drawing>
      </w:r>
    </w:p>
    <w:p w:rsidR="00D602D4" w:rsidRDefault="000B4C86">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4947996" cy="3798008"/>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51551" name=""/>
                    <pic:cNvPicPr>
                      <a:picLocks noChangeAspect="1"/>
                    </pic:cNvPicPr>
                  </pic:nvPicPr>
                  <pic:blipFill>
                    <a:blip r:embed="rId97"/>
                    <a:stretch/>
                  </pic:blipFill>
                  <pic:spPr bwMode="auto">
                    <a:xfrm>
                      <a:off x="0" y="0"/>
                      <a:ext cx="4947995" cy="3798006"/>
                    </a:xfrm>
                    <a:prstGeom prst="rect">
                      <a:avLst/>
                    </a:prstGeom>
                  </pic:spPr>
                </pic:pic>
              </a:graphicData>
            </a:graphic>
          </wp:inline>
        </w:drawing>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Коммуникации в социальных сетях и блогосфере</w:t>
      </w:r>
    </w:p>
    <w:p w:rsidR="00D602D4" w:rsidRDefault="00D602D4">
      <w:pPr>
        <w:spacing w:after="0" w:line="240" w:lineRule="auto"/>
        <w:jc w:val="both"/>
        <w:rPr>
          <w:rFonts w:ascii="Times New Roman" w:hAnsi="Times New Roman" w:cs="Times New Roman"/>
          <w:b/>
          <w:bCs/>
          <w:sz w:val="24"/>
          <w:szCs w:val="24"/>
        </w:rPr>
      </w:pPr>
    </w:p>
    <w:p w:rsidR="00D602D4" w:rsidRDefault="000B4C86">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Исходя из трендов ведения социальных сетей 2024 года, подача текста остаётся лёгкой, неформальной и краткой. Сделан акцент на визуальную составляющую: иллюстрации, инфографику, короткие видео. Помимо информационного контента о деятельности компании, выросла доля образовательного контента - об устройстве электроэнергетики и процессах в ней.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2024 году Департамент по связям с общественностью продолжил работать в социальных сетях «ВКонтакте», «Одноклассники» и мессенджере Telegram. Под брендом «Россети Сибирь» на этих платформах работает 24 аккаунта. Суммарное количество подписчиков — 62 955 человек (прирост к 2023 году +27,9%). Выросла вовлеченность и обратная связь от аудитории: охват и просмотры увеличились вдвое. Кроме того, как отдельный коммуникационный канал выделяется чат «Россети Сибирь общается» (при Telegram-канале компании). В нём потребители со всей территории присутствия могут задать вопросы как компании, так и друг другу, и получить на них быстрые и корректные ответы.</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Всего за 2024 год опубликовано 2983 новости. Контент в социальных сетях продолжает адаптивно отличаться от повестки в классическом медиапространстве. Ключевыми темами года стали оперативные данные о технологических нарушениях, образовательные и карьерные инициативы компании, а также ликбез-материалы о работе электросетевого комплекса.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Одна из важнейших решённых задач - взаимодействие с конечными потребителями как по общим электроэнергетическим вопросам, так и при технологических нарушениях. Основа была положена в предыдущем году, в отчётном периоде - продолжились формализация и отладка процесса. Главными инструментами стали Telegram-чат и мессенджеры компании, а также взаимодействие с Центрами управления регионами. Число обращений и ответов выросло в полтора раза: с ~600 запросов в месяц до ~1000. </w:t>
      </w: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jc w:val="both"/>
        <w:rPr>
          <w:rFonts w:ascii="Times New Roman" w:hAnsi="Times New Roman" w:cs="Times New Roman"/>
          <w:b/>
          <w:bCs/>
          <w:sz w:val="24"/>
          <w:szCs w:val="24"/>
          <w:highlight w:val="white"/>
        </w:rPr>
      </w:pPr>
      <w:r>
        <w:rPr>
          <w:rFonts w:ascii="Times New Roman" w:hAnsi="Times New Roman" w:cs="Times New Roman"/>
          <w:b/>
          <w:bCs/>
          <w:sz w:val="24"/>
          <w:szCs w:val="24"/>
          <w:highlight w:val="white"/>
        </w:rPr>
        <w:lastRenderedPageBreak/>
        <w:t>Конгрессная и выставочная деятельность (КВД)</w:t>
      </w:r>
    </w:p>
    <w:p w:rsidR="00D602D4" w:rsidRDefault="00D602D4">
      <w:pPr>
        <w:spacing w:after="0" w:line="240" w:lineRule="auto"/>
        <w:jc w:val="both"/>
        <w:rPr>
          <w:rFonts w:ascii="Times New Roman" w:hAnsi="Times New Roman" w:cs="Times New Roman"/>
          <w:sz w:val="24"/>
          <w:szCs w:val="24"/>
          <w:highlight w:val="white"/>
        </w:rPr>
      </w:pPr>
    </w:p>
    <w:p w:rsidR="00D602D4" w:rsidRDefault="000B4C86">
      <w:pPr>
        <w:spacing w:after="0" w:line="240" w:lineRule="auto"/>
        <w:ind w:firstLine="708"/>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Ключевым событием в рамках конгрессно-выставочной деятельности в 2024 году стало участие в деловой программе таких форумов, как Отраслевой день энергетики (27.01.2024, г. Москва), Петербургский международный экономический форум (5-8.06.2024, г. Санкт-Петербург), Петербургский международный юридический форум (26-28.06.2024, г. Санкт-Петербург). В рамках Международного форума «Российская энергетическая неделя» (26-28.09.2024, г. Москва) ПАО «Россети Сибирь» совместно с правительством Кемеровской области - Кузбасса подписали соглашение об условиях осуществления регулируемых видов деятельности. </w:t>
      </w:r>
    </w:p>
    <w:p w:rsidR="00D602D4" w:rsidRDefault="000B4C86">
      <w:pPr>
        <w:spacing w:after="0" w:line="240" w:lineRule="auto"/>
        <w:ind w:firstLine="708"/>
        <w:jc w:val="both"/>
        <w:rPr>
          <w:rFonts w:ascii="Times New Roman" w:hAnsi="Times New Roman" w:cs="Times New Roman"/>
          <w:sz w:val="24"/>
          <w:szCs w:val="24"/>
          <w:highlight w:val="white"/>
        </w:rPr>
      </w:pPr>
      <w:r>
        <w:rPr>
          <w:rFonts w:ascii="Times New Roman" w:hAnsi="Times New Roman" w:cs="Times New Roman"/>
          <w:sz w:val="24"/>
          <w:szCs w:val="24"/>
          <w:highlight w:val="white"/>
        </w:rPr>
        <w:t>В феврале на ежегодной конференции "CIM в России и мире" «Россети Сибирь» представили 3 участника. Павел Быков, начальник управления развития ОТУ, выступил с докладом «Объединение в единое информационное пространство систем СУПА (SAP),  СВМ РС-20 и ОИК (ПК КОТМИ-14) посредством интеграционной платформы Энербас (ООО Сател)».</w:t>
      </w:r>
    </w:p>
    <w:p w:rsidR="00D602D4" w:rsidRDefault="000B4C86">
      <w:pPr>
        <w:spacing w:after="0" w:line="240" w:lineRule="auto"/>
        <w:ind w:firstLine="708"/>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Также в феврале сотрудники ПАО «Россети Сибирь» стали организаторами профориентационных мероприятий в рамках регионального этапа чемпионата по профессиональному мастерству "Профессионалы" и чемпионата высокий технологий Всероссийского чемпионатного движения по профессиональному мастерству в г. Красноярске. </w:t>
      </w:r>
    </w:p>
    <w:p w:rsidR="00D602D4" w:rsidRDefault="000B4C86">
      <w:pPr>
        <w:spacing w:after="0" w:line="240" w:lineRule="auto"/>
        <w:ind w:firstLine="708"/>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В мае в Красноярске в Всероссийском специализированном форуме «Современные системы безопасности — Антитеррор» традиционно принял участие филиал ПАО «Россети Сибирь» - «Красноярскэнерго». Сотрудники компании знакомили детей и подростков с правилами электробезопасности в интерактивных форматах, рассказывали о работе и экипировке электромонтёра, об опасности профессии и пользе её для людей. </w:t>
      </w:r>
    </w:p>
    <w:p w:rsidR="00D602D4" w:rsidRDefault="000B4C86">
      <w:pPr>
        <w:spacing w:after="0" w:line="240" w:lineRule="auto"/>
        <w:ind w:firstLine="708"/>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Сотрудники компании приняли участие во Всемирном фестивале молодёжи (1-7.03.2024, г. Сочи) и Международном молодежном промышленном форуме «Инженеры будущего» (23.06.2024 - 03.07.2024, Тульская область) в составе делегаций ДО ПАО «Россети». </w:t>
      </w:r>
    </w:p>
    <w:p w:rsidR="00D602D4" w:rsidRDefault="000B4C86">
      <w:pPr>
        <w:spacing w:after="0" w:line="240" w:lineRule="auto"/>
        <w:ind w:firstLine="708"/>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В декабре директор по развитию дополнительных услуг и сервисов ПАО «Россети Сибирь» представил доклад "Применение малой распределенной генерации для электроснабжения удаленных объектов туризма" в рамках круглого стола «Проблемы развития туризма в регионах России», организованного Институтом государственной службы и управления Российской академии народного хозяйства и государственной службы при Президенте Российской Федерации совместно с Комитетом Совета Федерации по федеративному устройству, региональной политике, местному самоуправлению и делам Севера в рамках ВКС. </w:t>
      </w:r>
    </w:p>
    <w:p w:rsidR="00D602D4" w:rsidRDefault="00D602D4">
      <w:pPr>
        <w:spacing w:after="0" w:line="240" w:lineRule="auto"/>
        <w:jc w:val="both"/>
        <w:rPr>
          <w:rFonts w:ascii="Times New Roman" w:hAnsi="Times New Roman" w:cs="Times New Roman"/>
          <w:sz w:val="24"/>
          <w:szCs w:val="24"/>
          <w:highlight w:val="white"/>
        </w:rPr>
      </w:pPr>
    </w:p>
    <w:p w:rsidR="00D602D4" w:rsidRDefault="000B4C86">
      <w:pPr>
        <w:spacing w:after="0" w:line="240" w:lineRule="auto"/>
        <w:jc w:val="both"/>
        <w:rPr>
          <w:rFonts w:ascii="Times New Roman" w:hAnsi="Times New Roman" w:cs="Times New Roman"/>
          <w:b/>
          <w:bCs/>
          <w:sz w:val="24"/>
          <w:szCs w:val="24"/>
          <w:highlight w:val="white"/>
        </w:rPr>
      </w:pPr>
      <w:r>
        <w:rPr>
          <w:rFonts w:ascii="Times New Roman" w:hAnsi="Times New Roman" w:cs="Times New Roman"/>
          <w:b/>
          <w:bCs/>
          <w:sz w:val="24"/>
          <w:szCs w:val="24"/>
          <w:highlight w:val="white"/>
        </w:rPr>
        <w:t xml:space="preserve">Внутрикорпоративные коммуникации </w:t>
      </w:r>
    </w:p>
    <w:p w:rsidR="00D602D4" w:rsidRDefault="00D602D4">
      <w:pPr>
        <w:spacing w:after="0" w:line="240" w:lineRule="auto"/>
        <w:jc w:val="both"/>
        <w:rPr>
          <w:rFonts w:ascii="Times New Roman" w:hAnsi="Times New Roman" w:cs="Times New Roman"/>
          <w:b/>
          <w:bCs/>
          <w:sz w:val="24"/>
          <w:szCs w:val="24"/>
          <w:highlight w:val="white"/>
        </w:rPr>
      </w:pPr>
    </w:p>
    <w:p w:rsidR="00D602D4" w:rsidRDefault="000B4C86">
      <w:pPr>
        <w:spacing w:after="0" w:line="240" w:lineRule="auto"/>
        <w:ind w:firstLine="708"/>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Основными информационными площадками выступают официальный сайт компании, внутрикорпоративный портал, социальные сети, внутренние сайты филиалов, информационные стенды, ТВ-экраны. </w:t>
      </w:r>
    </w:p>
    <w:p w:rsidR="00D602D4" w:rsidRDefault="000B4C86">
      <w:pPr>
        <w:spacing w:after="0" w:line="240" w:lineRule="auto"/>
        <w:ind w:firstLine="708"/>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Особое место среди внутренних информканалов занимает корпоративный эфир. Оборудование, размещённое в РЭСах и ПО, позволяет информировать сотрудников компании о новостях компании и отрасли, рассказывает о достижениях сибирских энергетиков, возможностях обучения с помощью трансляции коротких видеороликов и видеопрезентаций. </w:t>
      </w:r>
    </w:p>
    <w:p w:rsidR="00D602D4" w:rsidRDefault="000B4C86">
      <w:pPr>
        <w:spacing w:after="0" w:line="240" w:lineRule="auto"/>
        <w:ind w:firstLine="708"/>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С инициативой по размещению внутрикорпоративного контента выступают разные подразделения. Среднее количество публикаций в месяц в эфире – 78. На внутрикорпоративном портале - 84. Контент делится по рубрикам, отражающим основные </w:t>
      </w:r>
      <w:r>
        <w:rPr>
          <w:rFonts w:ascii="Times New Roman" w:hAnsi="Times New Roman" w:cs="Times New Roman"/>
          <w:sz w:val="24"/>
          <w:szCs w:val="24"/>
          <w:highlight w:val="white"/>
        </w:rPr>
        <w:lastRenderedPageBreak/>
        <w:t xml:space="preserve">темы: безопасность и охрана труда, благодарности энергетикам от потребителей, портретные очерки о коллегах в рубрике «Надёжные люди», корпоративные события и проекты. </w:t>
      </w:r>
    </w:p>
    <w:p w:rsidR="00D602D4" w:rsidRDefault="00D602D4">
      <w:pPr>
        <w:spacing w:after="0" w:line="240" w:lineRule="auto"/>
        <w:jc w:val="both"/>
        <w:rPr>
          <w:rFonts w:ascii="Times New Roman" w:hAnsi="Times New Roman" w:cs="Times New Roman"/>
          <w:sz w:val="24"/>
          <w:szCs w:val="24"/>
          <w:highlight w:val="white"/>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D602D4">
      <w:pPr>
        <w:spacing w:after="0" w:line="240" w:lineRule="auto"/>
        <w:jc w:val="both"/>
        <w:rPr>
          <w:rFonts w:ascii="Times New Roman" w:hAnsi="Times New Roman" w:cs="Times New Roman"/>
          <w:sz w:val="24"/>
          <w:szCs w:val="24"/>
        </w:rPr>
      </w:pPr>
    </w:p>
    <w:p w:rsidR="00D602D4" w:rsidRDefault="000B4C86">
      <w:pPr>
        <w:spacing w:after="0" w:line="240" w:lineRule="auto"/>
        <w:jc w:val="both"/>
        <w:rPr>
          <w:rFonts w:ascii="Times New Roman" w:hAnsi="Times New Roman" w:cs="Times New Roman"/>
          <w:sz w:val="24"/>
          <w:szCs w:val="24"/>
        </w:rPr>
      </w:pPr>
      <w:bookmarkStart w:id="85" w:name="_Toc118"/>
      <w:r>
        <w:rPr>
          <w:rFonts w:ascii="Times New Roman" w:eastAsia="Times New Roman" w:hAnsi="Times New Roman" w:cs="Times New Roman"/>
          <w:b/>
          <w:sz w:val="26"/>
          <w:szCs w:val="26"/>
        </w:rPr>
        <w:lastRenderedPageBreak/>
        <w:t>5. Отчет о корпоративном управлении</w:t>
      </w:r>
      <w:bookmarkEnd w:id="85"/>
    </w:p>
    <w:p w:rsidR="00D602D4" w:rsidRDefault="000B4C86">
      <w:pPr>
        <w:pStyle w:val="13"/>
        <w:spacing w:before="0" w:line="240" w:lineRule="auto"/>
        <w:rPr>
          <w:rFonts w:ascii="Times New Roman" w:hAnsi="Times New Roman" w:cs="Times New Roman"/>
          <w:b/>
          <w:color w:val="auto"/>
          <w:sz w:val="26"/>
          <w:szCs w:val="26"/>
        </w:rPr>
      </w:pPr>
      <w:bookmarkStart w:id="86" w:name="_Toc119"/>
      <w:r>
        <w:rPr>
          <w:rFonts w:ascii="Times New Roman" w:eastAsia="Times New Roman" w:hAnsi="Times New Roman" w:cs="Times New Roman"/>
          <w:b/>
          <w:color w:val="auto"/>
          <w:sz w:val="26"/>
          <w:szCs w:val="26"/>
        </w:rPr>
        <w:t>5.1. Меморандум контролирующего акционера</w:t>
      </w:r>
      <w:bookmarkEnd w:id="86"/>
    </w:p>
    <w:p w:rsidR="00D602D4" w:rsidRDefault="00D602D4">
      <w:pPr>
        <w:shd w:val="clear" w:color="auto" w:fill="FFFFFF"/>
        <w:spacing w:after="0" w:line="240" w:lineRule="auto"/>
        <w:ind w:firstLine="709"/>
        <w:jc w:val="center"/>
        <w:outlineLvl w:val="0"/>
        <w:rPr>
          <w:rFonts w:ascii="Times New Roman" w:eastAsia="Times New Roman" w:hAnsi="Times New Roman" w:cs="Times New Roman"/>
          <w:b/>
          <w:bCs/>
          <w:sz w:val="24"/>
          <w:szCs w:val="24"/>
          <w:lang w:eastAsia="ru-RU"/>
        </w:rPr>
      </w:pPr>
    </w:p>
    <w:p w:rsidR="00D602D4" w:rsidRDefault="000B4C86">
      <w:pPr>
        <w:shd w:val="clear" w:color="auto" w:fill="FFFFFF"/>
        <w:spacing w:after="0" w:line="240" w:lineRule="auto"/>
        <w:ind w:firstLine="709"/>
        <w:jc w:val="center"/>
        <w:outlineLvl w:val="0"/>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Меморандум контролирующего акционера — ПАО «Россети» в отношении контролируемых электросетевых компаний</w:t>
      </w:r>
    </w:p>
    <w:p w:rsidR="00D602D4" w:rsidRDefault="000B4C86">
      <w:pPr>
        <w:shd w:val="clear" w:color="auto" w:fill="FFFFFF"/>
        <w:spacing w:after="0" w:line="450" w:lineRule="atLeast"/>
        <w:ind w:firstLine="709"/>
        <w:jc w:val="both"/>
        <w:outlineLvl w:val="1"/>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Цель владения и планы в отношении контролируемых пакетов акций</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Публичное акционерное общество «Федеральная сетевая компания – Россети» (ПАО «Россети») – публичное акционерное общество с долей государства 76,9936 % от размещенных акций</w:t>
      </w:r>
      <w:r>
        <w:rPr>
          <w:rStyle w:val="af1"/>
          <w:rFonts w:ascii="Times New Roman" w:eastAsia="Times New Roman" w:hAnsi="Times New Roman" w:cs="Times New Roman"/>
          <w:sz w:val="24"/>
          <w:szCs w:val="24"/>
          <w:lang w:eastAsia="ru-RU"/>
        </w:rPr>
        <w:footnoteReference w:id="22"/>
      </w:r>
      <w:r>
        <w:rPr>
          <w:rFonts w:ascii="Times New Roman" w:eastAsia="Times New Roman" w:hAnsi="Times New Roman" w:cs="Times New Roman"/>
          <w:sz w:val="24"/>
          <w:szCs w:val="24"/>
          <w:lang w:eastAsia="ru-RU"/>
        </w:rPr>
        <w:t>.</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ПАО «Россети» владеет контрольными пакетами акций 19 электросетевых компаний: ПАО «Россети Ленэнерго», ПАО «Россети Московский регион», ПАО «Россети Волга», ПАО «Россети Северо-Запад», ПАО «Россети Северный Кавказ», ПАО «Россети Сибирь», ПАО «Россети Урал», ПАО «Россети Центр», ПАО «Россети Центр и Приволжье», ПАО «Россети Юг», ПАО «Россети Томск»,</w:t>
      </w:r>
      <w:r>
        <w:t xml:space="preserve"> </w:t>
      </w:r>
      <w:r>
        <w:rPr>
          <w:rFonts w:ascii="Times New Roman" w:eastAsia="Times New Roman" w:hAnsi="Times New Roman" w:cs="Times New Roman"/>
          <w:sz w:val="24"/>
          <w:szCs w:val="24"/>
          <w:lang w:eastAsia="ru-RU"/>
        </w:rPr>
        <w:t>АО «Россети Кубань»</w:t>
      </w:r>
      <w:r>
        <w:rPr>
          <w:rStyle w:val="af1"/>
          <w:rFonts w:ascii="Times New Roman" w:eastAsia="Times New Roman" w:hAnsi="Times New Roman" w:cs="Times New Roman"/>
          <w:sz w:val="24"/>
          <w:szCs w:val="24"/>
          <w:lang w:eastAsia="ru-RU"/>
        </w:rPr>
        <w:footnoteReference w:id="23"/>
      </w:r>
      <w:r>
        <w:rPr>
          <w:rFonts w:ascii="Times New Roman" w:eastAsia="Times New Roman" w:hAnsi="Times New Roman" w:cs="Times New Roman"/>
          <w:sz w:val="24"/>
          <w:szCs w:val="24"/>
          <w:lang w:eastAsia="ru-RU"/>
        </w:rPr>
        <w:t>, АО «Россети Тюмень», АО «Россети Янтарь», АО «Россети Сибирь Тываэнерго», АО «Чеченэнерго», АО «РЭС», АО «Энергетик», АО «Электромагистраль».</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ПАО «Россети» рассматривает указанные контролируемые пакеты акций в качестве стратегических активов, отчуждение которых не планируется.</w:t>
      </w:r>
    </w:p>
    <w:p w:rsidR="00D602D4" w:rsidRDefault="000B4C86">
      <w:pPr>
        <w:shd w:val="clear" w:color="auto" w:fill="FFFFFF"/>
        <w:spacing w:after="0" w:line="450" w:lineRule="atLeast"/>
        <w:ind w:firstLine="709"/>
        <w:jc w:val="both"/>
        <w:outlineLvl w:val="1"/>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Ключевые задачи в отношении активов</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Ключевой задачей ПАО «Россети» в области управления указанными дочерними обществами является развитие электросетевого комплекса на основе передовых инновационных технологий для удовлетворения спроса со стороны потребителей и решения задач социально-экономического роста Российской Федерации.</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ПАО «Россети» определены стратегические приоритеты развития компаний Группы:</w:t>
      </w:r>
    </w:p>
    <w:p w:rsidR="00D602D4" w:rsidRDefault="000B4C86">
      <w:pPr>
        <w:numPr>
          <w:ilvl w:val="0"/>
          <w:numId w:val="28"/>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надежного, качественного и доступного электроснабжения, а также содействие энергетической безопасности Российской Федерации;</w:t>
      </w:r>
    </w:p>
    <w:p w:rsidR="00D602D4" w:rsidRDefault="000B4C86">
      <w:pPr>
        <w:numPr>
          <w:ilvl w:val="0"/>
          <w:numId w:val="28"/>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обеспечение дальнейшего повышения эффективности основного бизнеса, в том числе за счет внедрения цифровых технологий и инноваций;</w:t>
      </w:r>
    </w:p>
    <w:p w:rsidR="00D602D4" w:rsidRDefault="000B4C86">
      <w:pPr>
        <w:numPr>
          <w:ilvl w:val="0"/>
          <w:numId w:val="28"/>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развитие новых направлений деятельности (нетарифные услуги и потребительские сервисы) через цифровую трансформацию для обеспечения устойчивости компании к изменениям в отрасли;</w:t>
      </w:r>
    </w:p>
    <w:p w:rsidR="00D602D4" w:rsidRDefault="000B4C86">
      <w:pPr>
        <w:numPr>
          <w:ilvl w:val="0"/>
          <w:numId w:val="28"/>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внедрение принципов устойчивого развития.</w:t>
      </w:r>
    </w:p>
    <w:p w:rsidR="00D602D4" w:rsidRDefault="000B4C86">
      <w:pPr>
        <w:shd w:val="clear" w:color="auto" w:fill="FFFFFF"/>
        <w:spacing w:after="0" w:line="450" w:lineRule="atLeast"/>
        <w:ind w:firstLine="709"/>
        <w:jc w:val="both"/>
        <w:outlineLvl w:val="1"/>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Принципы корпоративного управления</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ПАО «Россети» осуществляет управление компаниями Группы в соответствии с едиными корпоративными стандартами, направленными на обеспечение эффективности бизнес-процессов, контроль их качества, минимизацию всех видов корпоративных рисков.</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ПАО «Россети», как контролирующий акционер, в полной мере осознает важность совершенствования корпоративного управления в компаниях Группы, стремится к обеспечению открытости и прозрачности их деятельности, а также к внедрению рекомендаций Кодекса корпоративного управления в их деловую практику.</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ПАО «Россети», следуя лучшим практикам корпоративного управления, ежегодно обеспечивает наличие независимых директоров в Советах директоров компаний Группы «Россети», акции которых обращаются на организованных торгах, в количестве, достаточном для соблюдения правил листинга и принципов корпоративного управления. Для обеспечения </w:t>
      </w:r>
      <w:r>
        <w:rPr>
          <w:rFonts w:ascii="Times New Roman" w:eastAsia="Times New Roman" w:hAnsi="Times New Roman" w:cs="Times New Roman"/>
          <w:sz w:val="24"/>
          <w:szCs w:val="24"/>
          <w:lang w:eastAsia="ru-RU"/>
        </w:rPr>
        <w:lastRenderedPageBreak/>
        <w:t>независимости и объективности работы Советов директоров компаний Группы «Россети» планируется поддерживать в их составах число независимых директоров на уровне не менее текущего.</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lang w:eastAsia="ru-RU"/>
        </w:rPr>
        <w:t>Также представители ПАО «Россети» принимают участие в годовых заседаниях Общего собрания акционеров компаний Группы в целях выстраивания диалога с миноритарными акционерами по вопросам перспектив развития компании.</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ПАО «Россети» гарантирует соблюдение рыночных принципов при осуществлении компаниями Группы финансово-хозяйственной деятельности.</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ПАО «Россети», как контролирующий акционер, поддерживает инициативы компаний Группы по защите прав и интересов миноритарных акционеров.</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Дивидендная политика в Группе компаний «Россети» основывается на строгом соблюдении прав акционеров, предусмотренных законодательством Российской Федерации, и ориентирована на повышение инвестиционной привлекательности компаний Группы, ценные бумаги которых допущены к организованным торгам.</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Рекомендуемый к выплате размер дивидендов устанавливается Советами директоров компаний Группы «Россети» на основе финансовых результатов, в том числе определяемых по данным консолидированной отчетности по МСФО.</w:t>
      </w:r>
    </w:p>
    <w:p w:rsidR="00D602D4" w:rsidRDefault="00D602D4">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D602D4" w:rsidRDefault="000B4C86">
      <w:pPr>
        <w:shd w:val="clear" w:color="auto" w:fill="FFFFFF"/>
        <w:spacing w:after="0" w:line="240" w:lineRule="auto"/>
        <w:jc w:val="both"/>
        <w:rPr>
          <w:rFonts w:ascii="Times New Roman" w:eastAsia="Times New Roman" w:hAnsi="Times New Roman" w:cs="Times New Roman"/>
          <w:b/>
          <w:bCs/>
          <w:sz w:val="24"/>
          <w:szCs w:val="24"/>
          <w:lang w:eastAsia="ru-RU"/>
        </w:rPr>
      </w:pPr>
      <w:bookmarkStart w:id="87" w:name="_Toc124"/>
      <w:r>
        <w:rPr>
          <w:rFonts w:ascii="Times New Roman" w:eastAsia="Times New Roman" w:hAnsi="Times New Roman" w:cs="Times New Roman"/>
          <w:b/>
          <w:bCs/>
          <w:sz w:val="26"/>
          <w:szCs w:val="26"/>
        </w:rPr>
        <w:t>5.2. Общая информация о корпоративном управлении в Компании</w:t>
      </w:r>
      <w:bookmarkEnd w:id="87"/>
    </w:p>
    <w:p w:rsidR="00D602D4" w:rsidRDefault="00D602D4">
      <w:pPr>
        <w:pStyle w:val="afff"/>
        <w:spacing w:before="0"/>
        <w:rPr>
          <w:color w:val="auto"/>
          <w:sz w:val="26"/>
          <w:szCs w:val="26"/>
        </w:rPr>
      </w:pP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В Обществе создана система корпоративного управления (далее - модель), отвечающая требованиям законодательства Российской Федерации и требованиям, предъявляемым к эмитентам ценных бумаг, акции которых включены во второй уровень списка ценных бумаг, допущенных к торгам ПАО Московская Биржа. Модель обеспечивает соблюдение интересов акционеров и высоких стандартов раскрытия информации, а также функционирование эффективной системы управления рисками и внутреннего контроля.</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Практика корпоративного управления ПАО «Россети Сибирь» соответствует передовым моделям, принятым в публичных акционерных обществах Группы компаний «Россети».</w:t>
      </w:r>
    </w:p>
    <w:p w:rsidR="00D602D4" w:rsidRDefault="000B4C86">
      <w:pPr>
        <w:widowControl w:val="0"/>
        <w:spacing w:after="0" w:line="240" w:lineRule="auto"/>
        <w:jc w:val="center"/>
        <w:rPr>
          <w:rFonts w:ascii="Times New Roman" w:hAnsi="Times New Roman" w:cs="Times New Roman"/>
          <w:b/>
          <w:sz w:val="24"/>
          <w:szCs w:val="24"/>
          <w:highlight w:val="white"/>
        </w:rPr>
      </w:pPr>
      <w:r>
        <w:rPr>
          <w:rFonts w:ascii="Times New Roman" w:hAnsi="Times New Roman" w:cs="Times New Roman"/>
          <w:b/>
          <w:sz w:val="24"/>
          <w:szCs w:val="24"/>
          <w:highlight w:val="white"/>
        </w:rPr>
        <w:t>Основные элементы (аспекты) системы корпоративного управления</w:t>
      </w:r>
    </w:p>
    <w:tbl>
      <w:tblPr>
        <w:tblW w:w="0" w:type="auto"/>
        <w:tblLayout w:type="fixed"/>
        <w:tblLook w:val="04A0" w:firstRow="1" w:lastRow="0" w:firstColumn="1" w:lastColumn="0" w:noHBand="0" w:noVBand="1"/>
      </w:tblPr>
      <w:tblGrid>
        <w:gridCol w:w="2659"/>
        <w:gridCol w:w="7478"/>
      </w:tblGrid>
      <w:tr w:rsidR="00D602D4">
        <w:tc>
          <w:tcPr>
            <w:tcW w:w="2659" w:type="dxa"/>
          </w:tcPr>
          <w:p w:rsidR="00D602D4" w:rsidRDefault="000B4C86">
            <w:pPr>
              <w:widowControl w:val="0"/>
              <w:spacing w:after="0" w:line="240" w:lineRule="auto"/>
              <w:rPr>
                <w:rFonts w:ascii="Times New Roman" w:hAnsi="Times New Roman" w:cs="Times New Roman"/>
                <w:b/>
                <w:sz w:val="20"/>
                <w:szCs w:val="20"/>
                <w:highlight w:val="white"/>
              </w:rPr>
            </w:pPr>
            <w:r>
              <w:rPr>
                <w:rFonts w:ascii="Times New Roman" w:hAnsi="Times New Roman" w:cs="Times New Roman"/>
                <w:b/>
                <w:sz w:val="20"/>
                <w:szCs w:val="20"/>
                <w:highlight w:val="white"/>
              </w:rPr>
              <w:t>Обеспечение и защита прав акционеров</w:t>
            </w:r>
          </w:p>
        </w:tc>
        <w:tc>
          <w:tcPr>
            <w:tcW w:w="7478" w:type="dxa"/>
          </w:tcPr>
          <w:p w:rsidR="00D602D4" w:rsidRDefault="000B4C86">
            <w:pPr>
              <w:widowControl w:val="0"/>
              <w:spacing w:after="0" w:line="240" w:lineRule="auto"/>
              <w:jc w:val="both"/>
              <w:rPr>
                <w:rFonts w:ascii="Times New Roman" w:hAnsi="Times New Roman" w:cs="Times New Roman"/>
                <w:sz w:val="20"/>
                <w:szCs w:val="20"/>
                <w:highlight w:val="white"/>
              </w:rPr>
            </w:pPr>
            <w:r>
              <w:rPr>
                <w:rFonts w:ascii="Times New Roman" w:hAnsi="Times New Roman" w:cs="Times New Roman"/>
                <w:sz w:val="20"/>
                <w:szCs w:val="20"/>
                <w:highlight w:val="white"/>
              </w:rPr>
              <w:t>Общество создает благоприятные возможности для осуществления акционерами своих прав и законных интересов, а также для снижения рисков их нарушения. Внедряются передовые практики при подготовке и проведении Общего собрания акционеров Общества, повышается прозрачность дивидендной политики Общества.</w:t>
            </w:r>
          </w:p>
        </w:tc>
      </w:tr>
      <w:tr w:rsidR="00D602D4">
        <w:tc>
          <w:tcPr>
            <w:tcW w:w="2659" w:type="dxa"/>
          </w:tcPr>
          <w:p w:rsidR="00D602D4" w:rsidRDefault="000B4C86">
            <w:pPr>
              <w:widowControl w:val="0"/>
              <w:spacing w:after="0" w:line="240" w:lineRule="auto"/>
              <w:rPr>
                <w:rFonts w:ascii="Times New Roman" w:hAnsi="Times New Roman" w:cs="Times New Roman"/>
                <w:b/>
                <w:sz w:val="20"/>
                <w:szCs w:val="20"/>
                <w:highlight w:val="white"/>
              </w:rPr>
            </w:pPr>
            <w:r>
              <w:rPr>
                <w:rFonts w:ascii="Times New Roman" w:hAnsi="Times New Roman" w:cs="Times New Roman"/>
                <w:b/>
                <w:sz w:val="20"/>
                <w:szCs w:val="20"/>
                <w:highlight w:val="white"/>
              </w:rPr>
              <w:t>Органы управления и контроля. Корпоративный секретарь</w:t>
            </w:r>
          </w:p>
        </w:tc>
        <w:tc>
          <w:tcPr>
            <w:tcW w:w="7478" w:type="dxa"/>
          </w:tcPr>
          <w:p w:rsidR="00D602D4" w:rsidRDefault="000B4C86">
            <w:pPr>
              <w:widowControl w:val="0"/>
              <w:spacing w:after="0" w:line="240" w:lineRule="auto"/>
              <w:jc w:val="both"/>
              <w:rPr>
                <w:rFonts w:ascii="Times New Roman" w:hAnsi="Times New Roman" w:cs="Times New Roman"/>
                <w:sz w:val="20"/>
                <w:szCs w:val="20"/>
                <w:highlight w:val="white"/>
              </w:rPr>
            </w:pPr>
            <w:r>
              <w:rPr>
                <w:rFonts w:ascii="Times New Roman" w:hAnsi="Times New Roman" w:cs="Times New Roman"/>
                <w:sz w:val="20"/>
                <w:szCs w:val="20"/>
                <w:highlight w:val="white"/>
              </w:rPr>
              <w:t>В Обществе создана эффективная система взаимодействия между органами управления и контроля. Члены Совета директоров имеют достаточный опыт и квалификацию для работы в составе Совета директоров, независимые директора играют ключевую роль в сбалансированности принимаемых решений. Корпоративный секретарь обеспечивает работу Совета директоров путем взаимодействия между членами Совета директоров и менеджментом Общества.</w:t>
            </w:r>
          </w:p>
        </w:tc>
      </w:tr>
      <w:tr w:rsidR="00D602D4">
        <w:tc>
          <w:tcPr>
            <w:tcW w:w="2659" w:type="dxa"/>
          </w:tcPr>
          <w:p w:rsidR="00D602D4" w:rsidRDefault="000B4C86">
            <w:pPr>
              <w:widowControl w:val="0"/>
              <w:spacing w:after="0" w:line="240" w:lineRule="auto"/>
              <w:rPr>
                <w:rFonts w:ascii="Times New Roman" w:hAnsi="Times New Roman" w:cs="Times New Roman"/>
                <w:b/>
                <w:sz w:val="20"/>
                <w:szCs w:val="20"/>
                <w:highlight w:val="white"/>
              </w:rPr>
            </w:pPr>
            <w:r>
              <w:rPr>
                <w:rFonts w:ascii="Times New Roman" w:hAnsi="Times New Roman" w:cs="Times New Roman"/>
                <w:b/>
                <w:sz w:val="20"/>
                <w:szCs w:val="20"/>
                <w:highlight w:val="white"/>
              </w:rPr>
              <w:t>Управление рисками, внутренний контроль и внутренний аудит</w:t>
            </w:r>
          </w:p>
        </w:tc>
        <w:tc>
          <w:tcPr>
            <w:tcW w:w="7478" w:type="dxa"/>
          </w:tcPr>
          <w:p w:rsidR="00D602D4" w:rsidRDefault="000B4C86">
            <w:pPr>
              <w:widowControl w:val="0"/>
              <w:spacing w:after="0" w:line="240" w:lineRule="auto"/>
              <w:jc w:val="both"/>
              <w:rPr>
                <w:rFonts w:ascii="Times New Roman" w:hAnsi="Times New Roman" w:cs="Times New Roman"/>
                <w:sz w:val="20"/>
                <w:szCs w:val="20"/>
                <w:highlight w:val="white"/>
              </w:rPr>
            </w:pPr>
            <w:r>
              <w:rPr>
                <w:rFonts w:ascii="Times New Roman" w:hAnsi="Times New Roman" w:cs="Times New Roman"/>
                <w:sz w:val="20"/>
                <w:szCs w:val="20"/>
                <w:highlight w:val="white"/>
              </w:rPr>
              <w:t>В Обществе создана эффективно функционирующая система управления рисками и внутреннего контроля, направленная на обеспечение разумной уверенности в достижении поставленных перед Обществом целей.</w:t>
            </w:r>
          </w:p>
          <w:p w:rsidR="00D602D4" w:rsidRDefault="000B4C86">
            <w:pPr>
              <w:widowControl w:val="0"/>
              <w:spacing w:after="0" w:line="240" w:lineRule="auto"/>
              <w:jc w:val="both"/>
              <w:rPr>
                <w:rFonts w:ascii="Times New Roman" w:hAnsi="Times New Roman" w:cs="Times New Roman"/>
                <w:sz w:val="20"/>
                <w:szCs w:val="20"/>
                <w:highlight w:val="white"/>
              </w:rPr>
            </w:pPr>
            <w:r>
              <w:rPr>
                <w:rFonts w:ascii="Times New Roman" w:hAnsi="Times New Roman" w:cs="Times New Roman"/>
                <w:sz w:val="20"/>
                <w:szCs w:val="20"/>
                <w:highlight w:val="white"/>
              </w:rPr>
              <w:t>Для систематической независимой оценки надежности и эффективности системы управления рисками и внутреннего контроля, и практики корпоративного управления в Обществе регулярно проводится внутренний аудит.</w:t>
            </w:r>
          </w:p>
        </w:tc>
      </w:tr>
      <w:tr w:rsidR="00D602D4">
        <w:tc>
          <w:tcPr>
            <w:tcW w:w="2659" w:type="dxa"/>
          </w:tcPr>
          <w:p w:rsidR="00D602D4" w:rsidRDefault="000B4C86">
            <w:pPr>
              <w:widowControl w:val="0"/>
              <w:spacing w:after="0" w:line="240" w:lineRule="auto"/>
              <w:rPr>
                <w:rFonts w:ascii="Times New Roman" w:hAnsi="Times New Roman" w:cs="Times New Roman"/>
                <w:b/>
                <w:sz w:val="20"/>
                <w:szCs w:val="20"/>
                <w:highlight w:val="white"/>
              </w:rPr>
            </w:pPr>
            <w:r>
              <w:rPr>
                <w:rFonts w:ascii="Times New Roman" w:hAnsi="Times New Roman" w:cs="Times New Roman"/>
                <w:b/>
                <w:sz w:val="20"/>
                <w:szCs w:val="20"/>
                <w:highlight w:val="white"/>
              </w:rPr>
              <w:t>Прозрачность и раскрытие информации</w:t>
            </w:r>
          </w:p>
        </w:tc>
        <w:tc>
          <w:tcPr>
            <w:tcW w:w="7478" w:type="dxa"/>
          </w:tcPr>
          <w:p w:rsidR="00D602D4" w:rsidRDefault="000B4C86">
            <w:pPr>
              <w:widowControl w:val="0"/>
              <w:spacing w:after="0" w:line="240" w:lineRule="auto"/>
              <w:jc w:val="both"/>
              <w:rPr>
                <w:rFonts w:ascii="Times New Roman" w:hAnsi="Times New Roman" w:cs="Times New Roman"/>
                <w:sz w:val="20"/>
                <w:szCs w:val="20"/>
                <w:highlight w:val="white"/>
              </w:rPr>
            </w:pPr>
            <w:r>
              <w:rPr>
                <w:rFonts w:ascii="Times New Roman" w:hAnsi="Times New Roman" w:cs="Times New Roman"/>
                <w:sz w:val="20"/>
                <w:szCs w:val="20"/>
                <w:highlight w:val="white"/>
              </w:rPr>
              <w:t>Общество обеспечивает своевременное, полное и достоверное раскрытие информации о своей деятельности, ценных бумагах в соответствии с действующим законодательством.</w:t>
            </w:r>
          </w:p>
        </w:tc>
      </w:tr>
      <w:tr w:rsidR="00D602D4">
        <w:tc>
          <w:tcPr>
            <w:tcW w:w="2659" w:type="dxa"/>
          </w:tcPr>
          <w:p w:rsidR="00D602D4" w:rsidRDefault="000B4C86">
            <w:pPr>
              <w:widowControl w:val="0"/>
              <w:spacing w:after="0" w:line="240" w:lineRule="auto"/>
              <w:rPr>
                <w:rFonts w:ascii="Times New Roman" w:hAnsi="Times New Roman" w:cs="Times New Roman"/>
                <w:b/>
                <w:sz w:val="20"/>
                <w:szCs w:val="20"/>
                <w:highlight w:val="white"/>
              </w:rPr>
            </w:pPr>
            <w:r>
              <w:rPr>
                <w:rFonts w:ascii="Times New Roman" w:hAnsi="Times New Roman" w:cs="Times New Roman"/>
                <w:b/>
                <w:sz w:val="20"/>
                <w:szCs w:val="20"/>
                <w:highlight w:val="white"/>
              </w:rPr>
              <w:t>Корпоративная социальная ответственность, деловая этика</w:t>
            </w:r>
          </w:p>
        </w:tc>
        <w:tc>
          <w:tcPr>
            <w:tcW w:w="7478" w:type="dxa"/>
          </w:tcPr>
          <w:p w:rsidR="00D602D4" w:rsidRDefault="000B4C86">
            <w:pPr>
              <w:widowControl w:val="0"/>
              <w:spacing w:after="0" w:line="240" w:lineRule="auto"/>
              <w:jc w:val="both"/>
              <w:rPr>
                <w:rFonts w:ascii="Times New Roman" w:hAnsi="Times New Roman" w:cs="Times New Roman"/>
                <w:sz w:val="20"/>
                <w:szCs w:val="20"/>
                <w:highlight w:val="white"/>
              </w:rPr>
            </w:pPr>
            <w:r>
              <w:rPr>
                <w:rFonts w:ascii="Times New Roman" w:hAnsi="Times New Roman" w:cs="Times New Roman"/>
                <w:sz w:val="20"/>
                <w:szCs w:val="20"/>
                <w:highlight w:val="white"/>
              </w:rPr>
              <w:t>Общество является социально ответственной Компанией, которая уделяет большое внимание вопросам экологии, охраны труда, реализации социальных программ.  Общество следует высоким этическим стандартам и ценностям, закрепленным в Кодексе корпоративной этики.</w:t>
            </w:r>
          </w:p>
        </w:tc>
      </w:tr>
    </w:tbl>
    <w:p w:rsidR="00D602D4" w:rsidRDefault="00D602D4">
      <w:pPr>
        <w:widowControl w:val="0"/>
        <w:spacing w:after="0" w:line="240" w:lineRule="auto"/>
        <w:jc w:val="both"/>
        <w:rPr>
          <w:rFonts w:ascii="Times New Roman" w:hAnsi="Times New Roman" w:cs="Times New Roman"/>
          <w:b/>
          <w:bCs/>
          <w:sz w:val="24"/>
          <w:szCs w:val="24"/>
          <w:highlight w:val="white"/>
        </w:rPr>
        <w:sectPr w:rsidR="00D602D4">
          <w:headerReference w:type="default" r:id="rId98"/>
          <w:footerReference w:type="default" r:id="rId99"/>
          <w:footerReference w:type="first" r:id="rId100"/>
          <w:pgSz w:w="11906" w:h="16838"/>
          <w:pgMar w:top="1559" w:right="851" w:bottom="1389" w:left="1276" w:header="708" w:footer="697" w:gutter="0"/>
          <w:cols w:space="708"/>
          <w:docGrid w:linePitch="360"/>
        </w:sectPr>
      </w:pPr>
    </w:p>
    <w:p w:rsidR="00D602D4" w:rsidRDefault="00D602D4">
      <w:pPr>
        <w:ind w:left="425"/>
      </w:pPr>
    </w:p>
    <w:p w:rsidR="00D602D4" w:rsidRDefault="000B4C86">
      <w:r>
        <w:rPr>
          <w:noProof/>
          <w:lang w:eastAsia="ru-RU"/>
        </w:rPr>
        <mc:AlternateContent>
          <mc:Choice Requires="wps">
            <w:drawing>
              <wp:anchor distT="0" distB="0" distL="114300" distR="114300" simplePos="0" relativeHeight="251808768" behindDoc="0" locked="0" layoutInCell="1" allowOverlap="1">
                <wp:simplePos x="0" y="0"/>
                <wp:positionH relativeFrom="column">
                  <wp:posOffset>5937885</wp:posOffset>
                </wp:positionH>
                <wp:positionV relativeFrom="paragraph">
                  <wp:posOffset>2071686</wp:posOffset>
                </wp:positionV>
                <wp:extent cx="542925" cy="45720"/>
                <wp:effectExtent l="3175" t="3175" r="3175" b="3175"/>
                <wp:wrapNone/>
                <wp:docPr id="54" name="Прямая со стрелкой 22"/>
                <wp:cNvGraphicFramePr/>
                <a:graphic xmlns:a="http://schemas.openxmlformats.org/drawingml/2006/main">
                  <a:graphicData uri="http://schemas.microsoft.com/office/word/2010/wordprocessingShape">
                    <wps:wsp>
                      <wps:cNvCnPr/>
                      <wps:spPr bwMode="auto">
                        <a:xfrm flipV="1">
                          <a:off x="0" y="0"/>
                          <a:ext cx="542924" cy="457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15F006E" id="Прямая со стрелкой 22" o:spid="_x0000_s1026" type="#_x0000_t32" style="position:absolute;margin-left:467.55pt;margin-top:163.1pt;width:42.75pt;height:3.6pt;flip:y;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809792" behindDoc="1" locked="0" layoutInCell="1" allowOverlap="1">
                <wp:simplePos x="0" y="0"/>
                <wp:positionH relativeFrom="column">
                  <wp:posOffset>5828347</wp:posOffset>
                </wp:positionH>
                <wp:positionV relativeFrom="paragraph">
                  <wp:posOffset>1529715</wp:posOffset>
                </wp:positionV>
                <wp:extent cx="795337" cy="552450"/>
                <wp:effectExtent l="6350" t="6350" r="6350" b="6350"/>
                <wp:wrapNone/>
                <wp:docPr id="55" name="Прямоугольник 24"/>
                <wp:cNvGraphicFramePr/>
                <a:graphic xmlns:a="http://schemas.openxmlformats.org/drawingml/2006/main">
                  <a:graphicData uri="http://schemas.microsoft.com/office/word/2010/wordprocessingShape">
                    <wps:wsp>
                      <wps:cNvSpPr/>
                      <wps:spPr bwMode="auto">
                        <a:xfrm>
                          <a:off x="0" y="0"/>
                          <a:ext cx="795337" cy="552449"/>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D602D4" w:rsidRDefault="000B4C86">
                            <w:pPr>
                              <w:jc w:val="center"/>
                              <w:rPr>
                                <w:sz w:val="16"/>
                                <w:szCs w:val="16"/>
                              </w:rPr>
                            </w:pPr>
                            <w:r>
                              <w:rPr>
                                <w:sz w:val="16"/>
                                <w:szCs w:val="16"/>
                              </w:rPr>
                              <w:t>Избрание / прекращение полномочий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4" o:spid="_x0000_s1053" style="position:absolute;margin-left:458.9pt;margin-top:120.45pt;width:62.6pt;height:43.5pt;z-index:-251506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" fillcolor="white [3201]" stroked="f" strokeweight="1pt">
                <v:textbox>
                  <w:txbxContent>
                    <w:p w:rsidR="00D602D4" w:rsidRDefault="000B4C86">
                      <w:pPr>
                        <w:jc w:val="center"/>
                        <w:rPr>
                          <w:sz w:val="16"/>
                          <w:szCs w:val="16"/>
                        </w:rPr>
                      </w:pPr>
                      <w:r>
                        <w:rPr>
                          <w:sz w:val="16"/>
                          <w:szCs w:val="16"/>
                        </w:rPr>
                        <w:t>Избрание / прекращение полномочий</w:t>
                      </w:r>
                    </w:p>
                  </w:txbxContent>
                </v:textbox>
              </v:rect>
            </w:pict>
          </mc:Fallback>
        </mc:AlternateContent>
      </w:r>
      <w:r>
        <w:rPr>
          <w:noProof/>
          <w:lang w:eastAsia="ru-RU"/>
        </w:rPr>
        <mc:AlternateContent>
          <mc:Choice Requires="wps">
            <w:drawing>
              <wp:anchor distT="0" distB="0" distL="114300" distR="114300" simplePos="0" relativeHeight="251807744" behindDoc="0" locked="0" layoutInCell="1" allowOverlap="1">
                <wp:simplePos x="0" y="0"/>
                <wp:positionH relativeFrom="column">
                  <wp:posOffset>5937885</wp:posOffset>
                </wp:positionH>
                <wp:positionV relativeFrom="paragraph">
                  <wp:posOffset>1486851</wp:posOffset>
                </wp:positionV>
                <wp:extent cx="0" cy="630555"/>
                <wp:effectExtent l="3175" t="3175" r="3175" b="3175"/>
                <wp:wrapNone/>
                <wp:docPr id="56" name="Прямая соединительная линия 4"/>
                <wp:cNvGraphicFramePr/>
                <a:graphic xmlns:a="http://schemas.openxmlformats.org/drawingml/2006/main">
                  <a:graphicData uri="http://schemas.microsoft.com/office/word/2010/wordprocessingShape">
                    <wps:wsp>
                      <wps:cNvCnPr/>
                      <wps:spPr bwMode="auto">
                        <a:xfrm>
                          <a:off x="0" y="0"/>
                          <a:ext cx="0" cy="63055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61A4271" id="Прямая соединительная линия 4" o:spid="_x0000_s1026" style="position:absolute;z-index:251807744;visibility:visible;mso-wrap-style:square;mso-wrap-distance-left:9pt;mso-wrap-distance-top:0;mso-wrap-distance-right:9pt;mso-wrap-distance-bottom:0;mso-position-horizontal:absolute;mso-position-horizontal-relative:text;mso-position-vertical:absolute;mso-position-vertical-relative:text" from="467.55pt,117.05pt" to="467.55pt,16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683840" behindDoc="0" locked="0" layoutInCell="1" allowOverlap="1">
                <wp:simplePos x="0" y="0"/>
                <wp:positionH relativeFrom="column">
                  <wp:posOffset>5781675</wp:posOffset>
                </wp:positionH>
                <wp:positionV relativeFrom="paragraph">
                  <wp:posOffset>1447381</wp:posOffset>
                </wp:positionV>
                <wp:extent cx="0" cy="717118"/>
                <wp:effectExtent l="76200" t="38100" r="57150" b="26034"/>
                <wp:wrapNone/>
                <wp:docPr id="57" name="Прямая со стрелкой 32"/>
                <wp:cNvGraphicFramePr/>
                <a:graphic xmlns:a="http://schemas.openxmlformats.org/drawingml/2006/main">
                  <a:graphicData uri="http://schemas.microsoft.com/office/word/2010/wordprocessingShape">
                    <wps:wsp>
                      <wps:cNvCnPr/>
                      <wps:spPr bwMode="auto">
                        <a:xfrm flipV="1">
                          <a:off x="0" y="0"/>
                          <a:ext cx="0" cy="71711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0EB35F" id="Прямая со стрелкой 32" o:spid="_x0000_s1026" type="#_x0000_t32" style="position:absolute;margin-left:455.25pt;margin-top:113.95pt;width:0;height:56.45pt;flip:y;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67808" behindDoc="1" locked="0" layoutInCell="1" allowOverlap="1">
                <wp:simplePos x="0" y="0"/>
                <wp:positionH relativeFrom="column">
                  <wp:posOffset>5194935</wp:posOffset>
                </wp:positionH>
                <wp:positionV relativeFrom="paragraph">
                  <wp:posOffset>1567815</wp:posOffset>
                </wp:positionV>
                <wp:extent cx="866775" cy="238125"/>
                <wp:effectExtent l="0" t="0" r="28575" b="28575"/>
                <wp:wrapNone/>
                <wp:docPr id="58" name="Прямоугольник 139"/>
                <wp:cNvGraphicFramePr/>
                <a:graphic xmlns:a="http://schemas.openxmlformats.org/drawingml/2006/main">
                  <a:graphicData uri="http://schemas.microsoft.com/office/word/2010/wordprocessingShape">
                    <wps:wsp>
                      <wps:cNvSpPr/>
                      <wps:spPr bwMode="auto">
                        <a:xfrm>
                          <a:off x="0" y="0"/>
                          <a:ext cx="866774" cy="238124"/>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отчеты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39" o:spid="_x0000_s1054" style="position:absolute;margin-left:409.05pt;margin-top:123.45pt;width:68.25pt;height:18.75pt;z-index:-251548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" fillcolor="white [3201]" strokecolor="white [3212]" strokeweight="1pt">
                <v:textbox>
                  <w:txbxContent>
                    <w:p w:rsidR="00D602D4" w:rsidRDefault="000B4C86">
                      <w:pPr>
                        <w:jc w:val="center"/>
                        <w:rPr>
                          <w:sz w:val="16"/>
                          <w:szCs w:val="16"/>
                        </w:rPr>
                      </w:pPr>
                      <w:r>
                        <w:rPr>
                          <w:sz w:val="16"/>
                          <w:szCs w:val="16"/>
                        </w:rPr>
                        <w:t>отчеты</w:t>
                      </w:r>
                    </w:p>
                  </w:txbxContent>
                </v:textbox>
              </v:rect>
            </w:pict>
          </mc:Fallback>
        </mc:AlternateContent>
      </w:r>
      <w:r>
        <w:rPr>
          <w:noProof/>
          <w:lang w:eastAsia="ru-RU"/>
        </w:rPr>
        <mc:AlternateContent>
          <mc:Choice Requires="wps">
            <w:drawing>
              <wp:anchor distT="0" distB="0" distL="114300" distR="114300" simplePos="0" relativeHeight="251768832" behindDoc="1" locked="0" layoutInCell="1" allowOverlap="1">
                <wp:simplePos x="0" y="0"/>
                <wp:positionH relativeFrom="column">
                  <wp:posOffset>4737735</wp:posOffset>
                </wp:positionH>
                <wp:positionV relativeFrom="paragraph">
                  <wp:posOffset>1558290</wp:posOffset>
                </wp:positionV>
                <wp:extent cx="685800" cy="228600"/>
                <wp:effectExtent l="0" t="0" r="19050" b="19050"/>
                <wp:wrapNone/>
                <wp:docPr id="59" name="Прямоугольник 140"/>
                <wp:cNvGraphicFramePr/>
                <a:graphic xmlns:a="http://schemas.openxmlformats.org/drawingml/2006/main">
                  <a:graphicData uri="http://schemas.microsoft.com/office/word/2010/wordprocessingShape">
                    <wps:wsp>
                      <wps:cNvSpPr/>
                      <wps:spPr bwMode="auto">
                        <a:xfrm>
                          <a:off x="0" y="0"/>
                          <a:ext cx="685800" cy="22860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поручения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40" o:spid="_x0000_s1055" style="position:absolute;margin-left:373.05pt;margin-top:122.7pt;width:54pt;height:18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" fillcolor="white [3201]" strokecolor="white [3212]" strokeweight="1pt">
                <v:textbox>
                  <w:txbxContent>
                    <w:p w:rsidR="00D602D4" w:rsidRDefault="000B4C86">
                      <w:pPr>
                        <w:jc w:val="center"/>
                        <w:rPr>
                          <w:sz w:val="16"/>
                          <w:szCs w:val="16"/>
                        </w:rPr>
                      </w:pPr>
                      <w:r>
                        <w:rPr>
                          <w:sz w:val="16"/>
                          <w:szCs w:val="16"/>
                        </w:rPr>
                        <w:t>поручения</w:t>
                      </w:r>
                    </w:p>
                  </w:txbxContent>
                </v:textbox>
              </v:rect>
            </w:pict>
          </mc:Fallback>
        </mc:AlternateContent>
      </w:r>
      <w:r>
        <w:rPr>
          <w:noProof/>
          <w:lang w:eastAsia="ru-RU"/>
        </w:rPr>
        <mc:AlternateContent>
          <mc:Choice Requires="wps">
            <w:drawing>
              <wp:anchor distT="0" distB="0" distL="114300" distR="114300" simplePos="0" relativeHeight="251682816" behindDoc="0" locked="0" layoutInCell="1" allowOverlap="1">
                <wp:simplePos x="0" y="0"/>
                <wp:positionH relativeFrom="column">
                  <wp:posOffset>5339715</wp:posOffset>
                </wp:positionH>
                <wp:positionV relativeFrom="paragraph">
                  <wp:posOffset>1501140</wp:posOffset>
                </wp:positionV>
                <wp:extent cx="0" cy="712851"/>
                <wp:effectExtent l="76200" t="0" r="57150" b="49530"/>
                <wp:wrapNone/>
                <wp:docPr id="60" name="Прямая со стрелкой 31"/>
                <wp:cNvGraphicFramePr/>
                <a:graphic xmlns:a="http://schemas.openxmlformats.org/drawingml/2006/main">
                  <a:graphicData uri="http://schemas.microsoft.com/office/word/2010/wordprocessingShape">
                    <wps:wsp>
                      <wps:cNvCnPr/>
                      <wps:spPr bwMode="auto">
                        <a:xfrm>
                          <a:off x="0" y="0"/>
                          <a:ext cx="0" cy="7128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AD24ACE" id="Прямая со стрелкой 31" o:spid="_x0000_s1026" type="#_x0000_t32" style="position:absolute;margin-left:420.45pt;margin-top:118.2pt;width:0;height:56.15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802624" behindDoc="0" locked="0" layoutInCell="1" allowOverlap="1">
                <wp:simplePos x="0" y="0"/>
                <wp:positionH relativeFrom="column">
                  <wp:posOffset>6499860</wp:posOffset>
                </wp:positionH>
                <wp:positionV relativeFrom="paragraph">
                  <wp:posOffset>1758315</wp:posOffset>
                </wp:positionV>
                <wp:extent cx="1114425" cy="476250"/>
                <wp:effectExtent l="0" t="0" r="28575" b="19050"/>
                <wp:wrapNone/>
                <wp:docPr id="61" name="Скругленный прямоугольник 2"/>
                <wp:cNvGraphicFramePr/>
                <a:graphic xmlns:a="http://schemas.openxmlformats.org/drawingml/2006/main">
                  <a:graphicData uri="http://schemas.microsoft.com/office/word/2010/wordprocessingShape">
                    <wps:wsp>
                      <wps:cNvSpPr/>
                      <wps:spPr bwMode="auto">
                        <a:xfrm>
                          <a:off x="0" y="0"/>
                          <a:ext cx="1114425" cy="476249"/>
                        </a:xfrm>
                        <a:prstGeom prst="roundRect">
                          <a:avLst>
                            <a:gd name="adj"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rPr>
                                <w:sz w:val="20"/>
                                <w:szCs w:val="20"/>
                              </w:rPr>
                            </w:pPr>
                            <w:r>
                              <w:rPr>
                                <w:sz w:val="20"/>
                                <w:szCs w:val="20"/>
                              </w:rPr>
                              <w:t>Корпоративный секретарь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 o:spid="_x0000_s1056" style="position:absolute;margin-left:511.8pt;margin-top:138.45pt;width:87.75pt;height:3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" fillcolor="#5b9bd5 [3204]" strokecolor="#1f4d78 [1604]" strokeweight="1pt">
                <v:stroke joinstyle="miter"/>
                <v:textbox>
                  <w:txbxContent>
                    <w:p w:rsidR="00D602D4" w:rsidRDefault="000B4C86">
                      <w:pPr>
                        <w:jc w:val="center"/>
                        <w:rPr>
                          <w:sz w:val="20"/>
                          <w:szCs w:val="20"/>
                        </w:rPr>
                      </w:pPr>
                      <w:r>
                        <w:rPr>
                          <w:sz w:val="20"/>
                          <w:szCs w:val="20"/>
                        </w:rPr>
                        <w:t>Корпоративный секретарь</w:t>
                      </w:r>
                    </w:p>
                  </w:txbxContent>
                </v:textbox>
              </v:roundrect>
            </w:pict>
          </mc:Fallback>
        </mc:AlternateContent>
      </w:r>
      <w:r>
        <w:rPr>
          <w:noProof/>
          <w:lang w:eastAsia="ru-RU"/>
        </w:rPr>
        <mc:AlternateContent>
          <mc:Choice Requires="wps">
            <w:drawing>
              <wp:anchor distT="0" distB="0" distL="114300" distR="114300" simplePos="0" relativeHeight="251654139" behindDoc="0" locked="0" layoutInCell="1" allowOverlap="1">
                <wp:simplePos x="0" y="0"/>
                <wp:positionH relativeFrom="column">
                  <wp:posOffset>6565900</wp:posOffset>
                </wp:positionH>
                <wp:positionV relativeFrom="paragraph">
                  <wp:posOffset>1510665</wp:posOffset>
                </wp:positionV>
                <wp:extent cx="771525" cy="276225"/>
                <wp:effectExtent l="0" t="0" r="9525" b="9525"/>
                <wp:wrapNone/>
                <wp:docPr id="62" name="Прямоугольник 21"/>
                <wp:cNvGraphicFramePr/>
                <a:graphic xmlns:a="http://schemas.openxmlformats.org/drawingml/2006/main">
                  <a:graphicData uri="http://schemas.microsoft.com/office/word/2010/wordprocessingShape">
                    <wps:wsp>
                      <wps:cNvSpPr/>
                      <wps:spPr bwMode="auto">
                        <a:xfrm>
                          <a:off x="0" y="0"/>
                          <a:ext cx="771525" cy="276224"/>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D602D4" w:rsidRDefault="000B4C86">
                            <w:pPr>
                              <w:jc w:val="center"/>
                              <w:rPr>
                                <w:sz w:val="16"/>
                                <w:szCs w:val="16"/>
                              </w:rPr>
                            </w:pPr>
                            <w:r>
                              <w:rPr>
                                <w:sz w:val="16"/>
                                <w:szCs w:val="16"/>
                              </w:rPr>
                              <w:t>отчеты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1" o:spid="_x0000_s1057" style="position:absolute;margin-left:517pt;margin-top:118.95pt;width:60.75pt;height:21.75pt;z-index:2516541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" fillcolor="white [3201]" stroked="f" strokeweight="1pt">
                <v:textbox>
                  <w:txbxContent>
                    <w:p w:rsidR="00D602D4" w:rsidRDefault="000B4C86">
                      <w:pPr>
                        <w:jc w:val="center"/>
                        <w:rPr>
                          <w:sz w:val="16"/>
                          <w:szCs w:val="16"/>
                        </w:rPr>
                      </w:pPr>
                      <w:r>
                        <w:rPr>
                          <w:sz w:val="16"/>
                          <w:szCs w:val="16"/>
                        </w:rPr>
                        <w:t>отчеты</w:t>
                      </w:r>
                    </w:p>
                  </w:txbxContent>
                </v:textbox>
              </v:rect>
            </w:pict>
          </mc:Fallback>
        </mc:AlternateContent>
      </w:r>
      <w:r>
        <w:rPr>
          <w:noProof/>
          <w:lang w:eastAsia="ru-RU"/>
        </w:rPr>
        <mc:AlternateContent>
          <mc:Choice Requires="wps">
            <w:drawing>
              <wp:anchor distT="0" distB="0" distL="114300" distR="114300" simplePos="0" relativeHeight="251806720" behindDoc="0" locked="0" layoutInCell="1" allowOverlap="1">
                <wp:simplePos x="0" y="0"/>
                <wp:positionH relativeFrom="column">
                  <wp:posOffset>6528435</wp:posOffset>
                </wp:positionH>
                <wp:positionV relativeFrom="paragraph">
                  <wp:posOffset>1339215</wp:posOffset>
                </wp:positionV>
                <wp:extent cx="209550" cy="0"/>
                <wp:effectExtent l="38100" t="76200" r="0" b="95250"/>
                <wp:wrapNone/>
                <wp:docPr id="63" name="Прямая со стрелкой 20"/>
                <wp:cNvGraphicFramePr/>
                <a:graphic xmlns:a="http://schemas.openxmlformats.org/drawingml/2006/main">
                  <a:graphicData uri="http://schemas.microsoft.com/office/word/2010/wordprocessingShape">
                    <wps:wsp>
                      <wps:cNvCnPr/>
                      <wps:spPr bwMode="auto">
                        <a:xfrm flipH="1">
                          <a:off x="0" y="0"/>
                          <a:ext cx="20954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F8715E5" id="Прямая со стрелкой 20" o:spid="_x0000_s1026" type="#_x0000_t32" style="position:absolute;margin-left:514.05pt;margin-top:105.45pt;width:16.5pt;height:0;flip:x;z-index:251806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803648" behindDoc="0" locked="0" layoutInCell="1" allowOverlap="1">
                <wp:simplePos x="0" y="0"/>
                <wp:positionH relativeFrom="column">
                  <wp:posOffset>6737985</wp:posOffset>
                </wp:positionH>
                <wp:positionV relativeFrom="paragraph">
                  <wp:posOffset>1329690</wp:posOffset>
                </wp:positionV>
                <wp:extent cx="0" cy="381000"/>
                <wp:effectExtent l="0" t="0" r="19050" b="19050"/>
                <wp:wrapNone/>
                <wp:docPr id="64" name="Прямая соединительная линия 3"/>
                <wp:cNvGraphicFramePr/>
                <a:graphic xmlns:a="http://schemas.openxmlformats.org/drawingml/2006/main">
                  <a:graphicData uri="http://schemas.microsoft.com/office/word/2010/wordprocessingShape">
                    <wps:wsp>
                      <wps:cNvCnPr/>
                      <wps:spPr bwMode="auto">
                        <a:xfrm flipV="1">
                          <a:off x="0" y="0"/>
                          <a:ext cx="0" cy="38099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47A10B" id="Прямая соединительная линия 3" o:spid="_x0000_s1026" style="position:absolute;flip:y;z-index:251803648;visibility:visible;mso-wrap-style:square;mso-wrap-distance-left:9pt;mso-wrap-distance-top:0;mso-wrap-distance-right:9pt;mso-wrap-distance-bottom:0;mso-position-horizontal:absolute;mso-position-horizontal-relative:text;mso-position-vertical:absolute;mso-position-vertical-relative:text" from="530.55pt,104.7pt" to="530.55pt,1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09440" behindDoc="1" locked="0" layoutInCell="1" allowOverlap="1">
                <wp:simplePos x="0" y="0"/>
                <wp:positionH relativeFrom="column">
                  <wp:posOffset>6699885</wp:posOffset>
                </wp:positionH>
                <wp:positionV relativeFrom="paragraph">
                  <wp:posOffset>1024890</wp:posOffset>
                </wp:positionV>
                <wp:extent cx="885825" cy="485775"/>
                <wp:effectExtent l="0" t="0" r="28575" b="28575"/>
                <wp:wrapNone/>
                <wp:docPr id="65" name="Прямоугольник 59"/>
                <wp:cNvGraphicFramePr/>
                <a:graphic xmlns:a="http://schemas.openxmlformats.org/drawingml/2006/main">
                  <a:graphicData uri="http://schemas.microsoft.com/office/word/2010/wordprocessingShape">
                    <wps:wsp>
                      <wps:cNvSpPr/>
                      <wps:spPr bwMode="auto">
                        <a:xfrm>
                          <a:off x="0" y="0"/>
                          <a:ext cx="885825" cy="48577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spacing w:line="240" w:lineRule="auto"/>
                              <w:contextualSpacing/>
                              <w:jc w:val="center"/>
                              <w:rPr>
                                <w:sz w:val="16"/>
                                <w:szCs w:val="16"/>
                              </w:rPr>
                            </w:pPr>
                            <w:r>
                              <w:rPr>
                                <w:sz w:val="16"/>
                                <w:szCs w:val="16"/>
                              </w:rPr>
                              <w:t>рекомендации, отчет о работе комитета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59" o:spid="_x0000_s1058" style="position:absolute;margin-left:527.55pt;margin-top:80.7pt;width:69.75pt;height:38.2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" fillcolor="white [3201]" strokecolor="white [3212]" strokeweight="1pt">
                <v:textbox>
                  <w:txbxContent>
                    <w:p w:rsidR="00D602D4" w:rsidRDefault="000B4C86">
                      <w:pPr>
                        <w:spacing w:line="240" w:lineRule="auto"/>
                        <w:contextualSpacing/>
                        <w:jc w:val="center"/>
                        <w:rPr>
                          <w:sz w:val="16"/>
                          <w:szCs w:val="16"/>
                        </w:rPr>
                      </w:pPr>
                      <w:r>
                        <w:rPr>
                          <w:sz w:val="16"/>
                          <w:szCs w:val="16"/>
                        </w:rPr>
                        <w:t>рекомендации, отчет о работе комитета</w:t>
                      </w:r>
                    </w:p>
                  </w:txbxContent>
                </v:textbox>
              </v:rect>
            </w:pict>
          </mc:Fallback>
        </mc:AlternateContent>
      </w:r>
      <w:r>
        <w:rPr>
          <w:noProof/>
          <w:lang w:eastAsia="ru-RU"/>
        </w:rPr>
        <mc:AlternateContent>
          <mc:Choice Requires="wps">
            <w:drawing>
              <wp:anchor distT="0" distB="0" distL="114300" distR="114300" simplePos="0" relativeHeight="251805696" behindDoc="0" locked="0" layoutInCell="1" allowOverlap="1">
                <wp:simplePos x="0" y="0"/>
                <wp:positionH relativeFrom="column">
                  <wp:posOffset>6576060</wp:posOffset>
                </wp:positionH>
                <wp:positionV relativeFrom="paragraph">
                  <wp:posOffset>1015365</wp:posOffset>
                </wp:positionV>
                <wp:extent cx="1047750" cy="9525"/>
                <wp:effectExtent l="38100" t="76200" r="0" b="85725"/>
                <wp:wrapNone/>
                <wp:docPr id="66" name="Прямая со стрелкой 9"/>
                <wp:cNvGraphicFramePr/>
                <a:graphic xmlns:a="http://schemas.openxmlformats.org/drawingml/2006/main">
                  <a:graphicData uri="http://schemas.microsoft.com/office/word/2010/wordprocessingShape">
                    <wps:wsp>
                      <wps:cNvCnPr/>
                      <wps:spPr bwMode="auto">
                        <a:xfrm flipH="1" flipV="1">
                          <a:off x="0" y="0"/>
                          <a:ext cx="1047749" cy="95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B2C8D66" id="Прямая со стрелкой 9" o:spid="_x0000_s1026" type="#_x0000_t32" style="position:absolute;margin-left:517.8pt;margin-top:79.95pt;width:82.5pt;height:.75pt;flip:x y;z-index:251805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800576" behindDoc="0" locked="0" layoutInCell="1" allowOverlap="1">
                <wp:simplePos x="0" y="0"/>
                <wp:positionH relativeFrom="column">
                  <wp:posOffset>6575425</wp:posOffset>
                </wp:positionH>
                <wp:positionV relativeFrom="paragraph">
                  <wp:posOffset>805815</wp:posOffset>
                </wp:positionV>
                <wp:extent cx="1076325" cy="0"/>
                <wp:effectExtent l="0" t="76200" r="9525" b="95250"/>
                <wp:wrapNone/>
                <wp:docPr id="67" name="Прямая со стрелкой 81"/>
                <wp:cNvGraphicFramePr/>
                <a:graphic xmlns:a="http://schemas.openxmlformats.org/drawingml/2006/main">
                  <a:graphicData uri="http://schemas.microsoft.com/office/word/2010/wordprocessingShape">
                    <wps:wsp>
                      <wps:cNvCnPr/>
                      <wps:spPr bwMode="auto">
                        <a:xfrm>
                          <a:off x="0" y="0"/>
                          <a:ext cx="1076324"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4120E6" id="Прямая со стрелкой 81" o:spid="_x0000_s1026" type="#_x0000_t32" style="position:absolute;margin-left:517.75pt;margin-top:63.45pt;width:84.75pt;height:0;z-index:251800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08416" behindDoc="1" locked="0" layoutInCell="1" allowOverlap="1">
                <wp:simplePos x="0" y="0"/>
                <wp:positionH relativeFrom="column">
                  <wp:posOffset>6623685</wp:posOffset>
                </wp:positionH>
                <wp:positionV relativeFrom="paragraph">
                  <wp:posOffset>100965</wp:posOffset>
                </wp:positionV>
                <wp:extent cx="876300" cy="581025"/>
                <wp:effectExtent l="0" t="0" r="19050" b="28575"/>
                <wp:wrapNone/>
                <wp:docPr id="68" name="Прямоугольник 58"/>
                <wp:cNvGraphicFramePr/>
                <a:graphic xmlns:a="http://schemas.openxmlformats.org/drawingml/2006/main">
                  <a:graphicData uri="http://schemas.microsoft.com/office/word/2010/wordprocessingShape">
                    <wps:wsp>
                      <wps:cNvSpPr/>
                      <wps:spPr bwMode="auto">
                        <a:xfrm>
                          <a:off x="0" y="0"/>
                          <a:ext cx="876298" cy="581024"/>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spacing w:line="240" w:lineRule="auto"/>
                              <w:contextualSpacing/>
                              <w:jc w:val="center"/>
                              <w:rPr>
                                <w:sz w:val="16"/>
                                <w:szCs w:val="16"/>
                              </w:rPr>
                            </w:pPr>
                            <w:r>
                              <w:rPr>
                                <w:sz w:val="16"/>
                                <w:szCs w:val="16"/>
                              </w:rPr>
                              <w:t>создание, избрание/</w:t>
                            </w:r>
                          </w:p>
                          <w:p w:rsidR="00D602D4" w:rsidRDefault="000B4C86">
                            <w:pPr>
                              <w:spacing w:line="240" w:lineRule="auto"/>
                              <w:contextualSpacing/>
                              <w:jc w:val="center"/>
                              <w:rPr>
                                <w:sz w:val="16"/>
                                <w:szCs w:val="16"/>
                              </w:rPr>
                            </w:pPr>
                            <w:r>
                              <w:rPr>
                                <w:sz w:val="16"/>
                                <w:szCs w:val="16"/>
                              </w:rPr>
                              <w:t>прекращение полномочий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58" o:spid="_x0000_s1059" style="position:absolute;margin-left:521.55pt;margin-top:7.95pt;width:69pt;height:45.7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" fillcolor="white [3201]" strokecolor="white [3212]" strokeweight="1pt">
                <v:textbox>
                  <w:txbxContent>
                    <w:p w:rsidR="00D602D4" w:rsidRDefault="000B4C86">
                      <w:pPr>
                        <w:spacing w:line="240" w:lineRule="auto"/>
                        <w:contextualSpacing/>
                        <w:jc w:val="center"/>
                        <w:rPr>
                          <w:sz w:val="16"/>
                          <w:szCs w:val="16"/>
                        </w:rPr>
                      </w:pPr>
                      <w:r>
                        <w:rPr>
                          <w:sz w:val="16"/>
                          <w:szCs w:val="16"/>
                        </w:rPr>
                        <w:t>создание, избрание/</w:t>
                      </w:r>
                    </w:p>
                    <w:p w:rsidR="00D602D4" w:rsidRDefault="000B4C86">
                      <w:pPr>
                        <w:spacing w:line="240" w:lineRule="auto"/>
                        <w:contextualSpacing/>
                        <w:jc w:val="center"/>
                        <w:rPr>
                          <w:sz w:val="16"/>
                          <w:szCs w:val="16"/>
                        </w:rPr>
                      </w:pPr>
                      <w:r>
                        <w:rPr>
                          <w:sz w:val="16"/>
                          <w:szCs w:val="16"/>
                        </w:rPr>
                        <w:t>прекращение полномочий</w:t>
                      </w:r>
                    </w:p>
                  </w:txbxContent>
                </v:textbox>
              </v:rect>
            </w:pict>
          </mc:Fallback>
        </mc:AlternateContent>
      </w:r>
      <w:r>
        <w:rPr>
          <w:noProof/>
          <w:lang w:eastAsia="ru-RU"/>
        </w:rPr>
        <mc:AlternateContent>
          <mc:Choice Requires="wps">
            <w:drawing>
              <wp:anchor distT="0" distB="0" distL="114300" distR="114300" simplePos="0" relativeHeight="251704320" behindDoc="1" locked="0" layoutInCell="1" allowOverlap="1">
                <wp:simplePos x="0" y="0"/>
                <wp:positionH relativeFrom="column">
                  <wp:posOffset>6928485</wp:posOffset>
                </wp:positionH>
                <wp:positionV relativeFrom="paragraph">
                  <wp:posOffset>2977515</wp:posOffset>
                </wp:positionV>
                <wp:extent cx="552450" cy="219075"/>
                <wp:effectExtent l="0" t="0" r="19050" b="28575"/>
                <wp:wrapNone/>
                <wp:docPr id="69" name="Прямоугольник 53"/>
                <wp:cNvGraphicFramePr/>
                <a:graphic xmlns:a="http://schemas.openxmlformats.org/drawingml/2006/main">
                  <a:graphicData uri="http://schemas.microsoft.com/office/word/2010/wordprocessingShape">
                    <wps:wsp>
                      <wps:cNvSpPr/>
                      <wps:spPr bwMode="auto">
                        <a:xfrm>
                          <a:off x="0" y="0"/>
                          <a:ext cx="552449" cy="219073"/>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отчет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53" o:spid="_x0000_s1060" style="position:absolute;margin-left:545.55pt;margin-top:234.45pt;width:43.5pt;height:17.25pt;z-index:-251612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" fillcolor="white [3201]" strokecolor="white [3212]" strokeweight="1pt">
                <v:textbox>
                  <w:txbxContent>
                    <w:p w:rsidR="00D602D4" w:rsidRDefault="000B4C86">
                      <w:pPr>
                        <w:jc w:val="center"/>
                        <w:rPr>
                          <w:sz w:val="16"/>
                          <w:szCs w:val="16"/>
                        </w:rPr>
                      </w:pPr>
                      <w:r>
                        <w:rPr>
                          <w:sz w:val="16"/>
                          <w:szCs w:val="16"/>
                        </w:rPr>
                        <w:t>отчет</w:t>
                      </w:r>
                    </w:p>
                  </w:txbxContent>
                </v:textbox>
              </v:rect>
            </w:pict>
          </mc:Fallback>
        </mc:AlternateContent>
      </w:r>
      <w:r>
        <w:rPr>
          <w:noProof/>
          <w:lang w:eastAsia="ru-RU"/>
        </w:rPr>
        <mc:AlternateContent>
          <mc:Choice Requires="wps">
            <w:drawing>
              <wp:anchor distT="0" distB="0" distL="114300" distR="114300" simplePos="0" relativeHeight="251703296" behindDoc="1" locked="0" layoutInCell="1" allowOverlap="1">
                <wp:simplePos x="0" y="0"/>
                <wp:positionH relativeFrom="column">
                  <wp:posOffset>7433310</wp:posOffset>
                </wp:positionH>
                <wp:positionV relativeFrom="paragraph">
                  <wp:posOffset>2910840</wp:posOffset>
                </wp:positionV>
                <wp:extent cx="609600" cy="257175"/>
                <wp:effectExtent l="0" t="0" r="19050" b="28575"/>
                <wp:wrapNone/>
                <wp:docPr id="70" name="Прямоугольник 51"/>
                <wp:cNvGraphicFramePr/>
                <a:graphic xmlns:a="http://schemas.openxmlformats.org/drawingml/2006/main">
                  <a:graphicData uri="http://schemas.microsoft.com/office/word/2010/wordprocessingShape">
                    <wps:wsp>
                      <wps:cNvSpPr/>
                      <wps:spPr bwMode="auto">
                        <a:xfrm>
                          <a:off x="0" y="0"/>
                          <a:ext cx="609599" cy="25717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контроль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51" o:spid="_x0000_s1061" style="position:absolute;margin-left:585.3pt;margin-top:229.2pt;width:48pt;height:20.2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" fillcolor="white [3201]" strokecolor="white [3212]" strokeweight="1pt">
                <v:textbox>
                  <w:txbxContent>
                    <w:p w:rsidR="00D602D4" w:rsidRDefault="000B4C86">
                      <w:pPr>
                        <w:jc w:val="center"/>
                        <w:rPr>
                          <w:sz w:val="16"/>
                          <w:szCs w:val="16"/>
                        </w:rPr>
                      </w:pPr>
                      <w:r>
                        <w:rPr>
                          <w:sz w:val="16"/>
                          <w:szCs w:val="16"/>
                        </w:rPr>
                        <w:t>контроль</w:t>
                      </w:r>
                    </w:p>
                  </w:txbxContent>
                </v:textbox>
              </v:rect>
            </w:pict>
          </mc:Fallback>
        </mc:AlternateContent>
      </w:r>
      <w:r>
        <w:rPr>
          <w:noProof/>
          <w:lang w:eastAsia="ru-RU"/>
        </w:rPr>
        <mc:AlternateContent>
          <mc:Choice Requires="wps">
            <w:drawing>
              <wp:anchor distT="0" distB="0" distL="114300" distR="114300" simplePos="0" relativeHeight="251799552" behindDoc="0" locked="0" layoutInCell="1" allowOverlap="1">
                <wp:simplePos x="0" y="0"/>
                <wp:positionH relativeFrom="column">
                  <wp:posOffset>7357110</wp:posOffset>
                </wp:positionH>
                <wp:positionV relativeFrom="paragraph">
                  <wp:posOffset>2825115</wp:posOffset>
                </wp:positionV>
                <wp:extent cx="9525" cy="352425"/>
                <wp:effectExtent l="0" t="0" r="28575" b="28575"/>
                <wp:wrapNone/>
                <wp:docPr id="71" name="Прямая соединительная линия 77"/>
                <wp:cNvGraphicFramePr/>
                <a:graphic xmlns:a="http://schemas.openxmlformats.org/drawingml/2006/main">
                  <a:graphicData uri="http://schemas.microsoft.com/office/word/2010/wordprocessingShape">
                    <wps:wsp>
                      <wps:cNvCnPr/>
                      <wps:spPr bwMode="auto">
                        <a:xfrm>
                          <a:off x="0" y="0"/>
                          <a:ext cx="9524" cy="35242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1DFDE8" id="Прямая соединительная линия 77" o:spid="_x0000_s1026" style="position:absolute;z-index:251799552;visibility:visible;mso-wrap-style:square;mso-wrap-distance-left:9pt;mso-wrap-distance-top:0;mso-wrap-distance-right:9pt;mso-wrap-distance-bottom:0;mso-position-horizontal:absolute;mso-position-horizontal-relative:text;mso-position-vertical:absolute;mso-position-vertical-relative:text" from="579.3pt,222.45pt" to="580.05pt,25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98528" behindDoc="0" locked="0" layoutInCell="1" allowOverlap="1">
                <wp:simplePos x="0" y="0"/>
                <wp:positionH relativeFrom="column">
                  <wp:posOffset>7471410</wp:posOffset>
                </wp:positionH>
                <wp:positionV relativeFrom="paragraph">
                  <wp:posOffset>2634615</wp:posOffset>
                </wp:positionV>
                <wp:extent cx="9525" cy="571500"/>
                <wp:effectExtent l="38100" t="0" r="66675" b="57150"/>
                <wp:wrapNone/>
                <wp:docPr id="72" name="Прямая со стрелкой 57"/>
                <wp:cNvGraphicFramePr/>
                <a:graphic xmlns:a="http://schemas.openxmlformats.org/drawingml/2006/main">
                  <a:graphicData uri="http://schemas.microsoft.com/office/word/2010/wordprocessingShape">
                    <wps:wsp>
                      <wps:cNvCnPr/>
                      <wps:spPr bwMode="auto">
                        <a:xfrm>
                          <a:off x="0" y="0"/>
                          <a:ext cx="9524" cy="571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639062" id="Прямая со стрелкой 57" o:spid="_x0000_s1026" type="#_x0000_t32" style="position:absolute;margin-left:588.3pt;margin-top:207.45pt;width:.75pt;height:45pt;z-index:251798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668480" behindDoc="0" locked="0" layoutInCell="1" allowOverlap="1">
                <wp:simplePos x="0" y="0"/>
                <wp:positionH relativeFrom="column">
                  <wp:posOffset>7290435</wp:posOffset>
                </wp:positionH>
                <wp:positionV relativeFrom="paragraph">
                  <wp:posOffset>3196590</wp:posOffset>
                </wp:positionV>
                <wp:extent cx="1333500" cy="323850"/>
                <wp:effectExtent l="0" t="0" r="19050" b="19050"/>
                <wp:wrapNone/>
                <wp:docPr id="73" name="Прямоугольник 11"/>
                <wp:cNvGraphicFramePr/>
                <a:graphic xmlns:a="http://schemas.openxmlformats.org/drawingml/2006/main">
                  <a:graphicData uri="http://schemas.microsoft.com/office/word/2010/wordprocessingShape">
                    <wps:wsp>
                      <wps:cNvSpPr/>
                      <wps:spPr bwMode="auto">
                        <a:xfrm>
                          <a:off x="0" y="0"/>
                          <a:ext cx="1333499" cy="323849"/>
                        </a:xfrm>
                        <a:prstGeom prst="rect">
                          <a:avLst/>
                        </a:prstGeom>
                        <a:solidFill>
                          <a:schemeClr val="accent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pPr>
                            <w:r>
                              <w:t>Филиалы (8)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1" o:spid="_x0000_s1062" style="position:absolute;margin-left:574.05pt;margin-top:251.7pt;width:105pt;height:2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" fillcolor="#f4b083 [1941]" strokecolor="#1f4d78 [1604]" strokeweight="1pt">
                <v:textbox>
                  <w:txbxContent>
                    <w:p w:rsidR="00D602D4" w:rsidRDefault="000B4C86">
                      <w:pPr>
                        <w:jc w:val="center"/>
                      </w:pPr>
                      <w:r>
                        <w:t>Филиалы (8)</w:t>
                      </w:r>
                    </w:p>
                  </w:txbxContent>
                </v:textbox>
              </v:rect>
            </w:pict>
          </mc:Fallback>
        </mc:AlternateContent>
      </w:r>
      <w:r>
        <w:rPr>
          <w:noProof/>
          <w:lang w:eastAsia="ru-RU"/>
        </w:rPr>
        <mc:AlternateContent>
          <mc:Choice Requires="wps">
            <w:drawing>
              <wp:anchor distT="0" distB="0" distL="114300" distR="114300" simplePos="0" relativeHeight="251742208" behindDoc="1" locked="0" layoutInCell="1" allowOverlap="1">
                <wp:simplePos x="0" y="0"/>
                <wp:positionH relativeFrom="column">
                  <wp:posOffset>7614285</wp:posOffset>
                </wp:positionH>
                <wp:positionV relativeFrom="paragraph">
                  <wp:posOffset>3910965</wp:posOffset>
                </wp:positionV>
                <wp:extent cx="819150" cy="628650"/>
                <wp:effectExtent l="0" t="0" r="19050" b="19050"/>
                <wp:wrapNone/>
                <wp:docPr id="74" name="Прямоугольник 108"/>
                <wp:cNvGraphicFramePr/>
                <a:graphic xmlns:a="http://schemas.openxmlformats.org/drawingml/2006/main">
                  <a:graphicData uri="http://schemas.microsoft.com/office/word/2010/wordprocessingShape">
                    <wps:wsp>
                      <wps:cNvSpPr/>
                      <wps:spPr bwMode="auto">
                        <a:xfrm>
                          <a:off x="0" y="0"/>
                          <a:ext cx="819149" cy="628649"/>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spacing w:line="240" w:lineRule="auto"/>
                              <w:contextualSpacing/>
                              <w:jc w:val="center"/>
                              <w:rPr>
                                <w:sz w:val="16"/>
                                <w:szCs w:val="16"/>
                              </w:rPr>
                            </w:pPr>
                            <w:r>
                              <w:rPr>
                                <w:sz w:val="16"/>
                                <w:szCs w:val="16"/>
                              </w:rPr>
                              <w:t>Избрание/</w:t>
                            </w:r>
                          </w:p>
                          <w:p w:rsidR="00D602D4" w:rsidRDefault="000B4C86">
                            <w:pPr>
                              <w:spacing w:line="240" w:lineRule="auto"/>
                              <w:contextualSpacing/>
                              <w:jc w:val="center"/>
                              <w:rPr>
                                <w:sz w:val="16"/>
                                <w:szCs w:val="16"/>
                              </w:rPr>
                            </w:pPr>
                            <w:r>
                              <w:rPr>
                                <w:sz w:val="16"/>
                                <w:szCs w:val="16"/>
                              </w:rPr>
                              <w:t>прекращение полномочий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08" o:spid="_x0000_s1063" style="position:absolute;margin-left:599.55pt;margin-top:307.95pt;width:64.5pt;height:49.5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" fillcolor="white [3201]" strokecolor="white [3212]" strokeweight="1pt">
                <v:textbox>
                  <w:txbxContent>
                    <w:p w:rsidR="00D602D4" w:rsidRDefault="000B4C86">
                      <w:pPr>
                        <w:spacing w:line="240" w:lineRule="auto"/>
                        <w:contextualSpacing/>
                        <w:jc w:val="center"/>
                        <w:rPr>
                          <w:sz w:val="16"/>
                          <w:szCs w:val="16"/>
                        </w:rPr>
                      </w:pPr>
                      <w:r>
                        <w:rPr>
                          <w:sz w:val="16"/>
                          <w:szCs w:val="16"/>
                        </w:rPr>
                        <w:t>Избрание/</w:t>
                      </w:r>
                    </w:p>
                    <w:p w:rsidR="00D602D4" w:rsidRDefault="000B4C86">
                      <w:pPr>
                        <w:spacing w:line="240" w:lineRule="auto"/>
                        <w:contextualSpacing/>
                        <w:jc w:val="center"/>
                        <w:rPr>
                          <w:sz w:val="16"/>
                          <w:szCs w:val="16"/>
                        </w:rPr>
                      </w:pPr>
                      <w:r>
                        <w:rPr>
                          <w:sz w:val="16"/>
                          <w:szCs w:val="16"/>
                        </w:rPr>
                        <w:t>прекращение полномочий</w:t>
                      </w:r>
                    </w:p>
                  </w:txbxContent>
                </v:textbox>
              </v:rect>
            </w:pict>
          </mc:Fallback>
        </mc:AlternateContent>
      </w:r>
      <w:r>
        <w:rPr>
          <w:noProof/>
          <w:lang w:eastAsia="ru-RU"/>
        </w:rPr>
        <mc:AlternateContent>
          <mc:Choice Requires="wps">
            <w:drawing>
              <wp:anchor distT="0" distB="0" distL="114300" distR="114300" simplePos="0" relativeHeight="251797504" behindDoc="0" locked="0" layoutInCell="1" allowOverlap="1">
                <wp:simplePos x="0" y="0"/>
                <wp:positionH relativeFrom="column">
                  <wp:posOffset>9109710</wp:posOffset>
                </wp:positionH>
                <wp:positionV relativeFrom="paragraph">
                  <wp:posOffset>2825115</wp:posOffset>
                </wp:positionV>
                <wp:extent cx="38100" cy="3057525"/>
                <wp:effectExtent l="0" t="0" r="19050" b="28575"/>
                <wp:wrapNone/>
                <wp:docPr id="75" name="Прямая соединительная линия 56"/>
                <wp:cNvGraphicFramePr/>
                <a:graphic xmlns:a="http://schemas.openxmlformats.org/drawingml/2006/main">
                  <a:graphicData uri="http://schemas.microsoft.com/office/word/2010/wordprocessingShape">
                    <wps:wsp>
                      <wps:cNvCnPr/>
                      <wps:spPr bwMode="auto">
                        <a:xfrm flipH="1" flipV="1">
                          <a:off x="0" y="0"/>
                          <a:ext cx="38099" cy="3057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749CDE" id="Прямая соединительная линия 56" o:spid="_x0000_s1026" style="position:absolute;flip:x y;z-index:251797504;visibility:visible;mso-wrap-style:square;mso-wrap-distance-left:9pt;mso-wrap-distance-top:0;mso-wrap-distance-right:9pt;mso-wrap-distance-bottom:0;mso-position-horizontal:absolute;mso-position-horizontal-relative:text;mso-position-vertical:absolute;mso-position-vertical-relative:text" from="717.3pt,222.45pt" to="720.3pt,46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" strokecolor="#5b9bd5 [3204]" strokeweight=".5pt">
                <v:stroke joinstyle="miter"/>
              </v:line>
            </w:pict>
          </mc:Fallback>
        </mc:AlternateContent>
      </w:r>
      <w:r>
        <w:rPr>
          <w:noProof/>
          <w:lang w:eastAsia="ru-RU"/>
        </w:rPr>
        <mc:AlternateContent>
          <mc:Choice Requires="wps">
            <w:drawing>
              <wp:anchor distT="0" distB="0" distL="114300" distR="114300" simplePos="0" relativeHeight="251796480" behindDoc="0" locked="0" layoutInCell="1" allowOverlap="1">
                <wp:simplePos x="0" y="0"/>
                <wp:positionH relativeFrom="column">
                  <wp:posOffset>9481185</wp:posOffset>
                </wp:positionH>
                <wp:positionV relativeFrom="paragraph">
                  <wp:posOffset>2586990</wp:posOffset>
                </wp:positionV>
                <wp:extent cx="352425" cy="0"/>
                <wp:effectExtent l="38100" t="76200" r="0" b="95250"/>
                <wp:wrapNone/>
                <wp:docPr id="76" name="Прямая со стрелкой 55"/>
                <wp:cNvGraphicFramePr/>
                <a:graphic xmlns:a="http://schemas.openxmlformats.org/drawingml/2006/main">
                  <a:graphicData uri="http://schemas.microsoft.com/office/word/2010/wordprocessingShape">
                    <wps:wsp>
                      <wps:cNvCnPr/>
                      <wps:spPr bwMode="auto">
                        <a:xfrm flipH="1">
                          <a:off x="0" y="0"/>
                          <a:ext cx="352424"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760DCF" id="Прямая со стрелкой 55" o:spid="_x0000_s1026" type="#_x0000_t32" style="position:absolute;margin-left:746.55pt;margin-top:203.7pt;width:27.75pt;height:0;flip:x;z-index:251796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95456" behindDoc="0" locked="0" layoutInCell="1" allowOverlap="1">
                <wp:simplePos x="0" y="0"/>
                <wp:positionH relativeFrom="column">
                  <wp:posOffset>9833610</wp:posOffset>
                </wp:positionH>
                <wp:positionV relativeFrom="paragraph">
                  <wp:posOffset>2586990</wp:posOffset>
                </wp:positionV>
                <wp:extent cx="28575" cy="3810000"/>
                <wp:effectExtent l="0" t="0" r="28575" b="19050"/>
                <wp:wrapNone/>
                <wp:docPr id="77" name="Прямая соединительная линия 54"/>
                <wp:cNvGraphicFramePr/>
                <a:graphic xmlns:a="http://schemas.openxmlformats.org/drawingml/2006/main">
                  <a:graphicData uri="http://schemas.microsoft.com/office/word/2010/wordprocessingShape">
                    <wps:wsp>
                      <wps:cNvCnPr/>
                      <wps:spPr bwMode="auto">
                        <a:xfrm flipH="1" flipV="1">
                          <a:off x="0" y="0"/>
                          <a:ext cx="28575" cy="380999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7944A76" id="Прямая соединительная линия 54" o:spid="_x0000_s1026" style="position:absolute;flip:x y;z-index:251795456;visibility:visible;mso-wrap-style:square;mso-wrap-distance-left:9pt;mso-wrap-distance-top:0;mso-wrap-distance-right:9pt;mso-wrap-distance-bottom:0;mso-position-horizontal:absolute;mso-position-horizontal-relative:text;mso-position-vertical:absolute;mso-position-vertical-relative:text" from="774.3pt,203.7pt" to="776.55pt,50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93408" behindDoc="0" locked="0" layoutInCell="1" allowOverlap="1">
                <wp:simplePos x="0" y="0"/>
                <wp:positionH relativeFrom="column">
                  <wp:posOffset>4061460</wp:posOffset>
                </wp:positionH>
                <wp:positionV relativeFrom="paragraph">
                  <wp:posOffset>2063115</wp:posOffset>
                </wp:positionV>
                <wp:extent cx="0" cy="247650"/>
                <wp:effectExtent l="76200" t="0" r="57150" b="57150"/>
                <wp:wrapNone/>
                <wp:docPr id="78" name="Прямая со стрелкой 50"/>
                <wp:cNvGraphicFramePr/>
                <a:graphic xmlns:a="http://schemas.openxmlformats.org/drawingml/2006/main">
                  <a:graphicData uri="http://schemas.microsoft.com/office/word/2010/wordprocessingShape">
                    <wps:wsp>
                      <wps:cNvCnPr/>
                      <wps:spPr bwMode="auto">
                        <a:xfrm>
                          <a:off x="0" y="0"/>
                          <a:ext cx="0" cy="2476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75E228A" id="Прямая со стрелкой 50" o:spid="_x0000_s1026" type="#_x0000_t32" style="position:absolute;margin-left:319.8pt;margin-top:162.45pt;width:0;height:19.5pt;z-index:251793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663360" behindDoc="0" locked="0" layoutInCell="1" allowOverlap="1">
                <wp:simplePos x="0" y="0"/>
                <wp:positionH relativeFrom="column">
                  <wp:posOffset>2089785</wp:posOffset>
                </wp:positionH>
                <wp:positionV relativeFrom="paragraph">
                  <wp:posOffset>2294890</wp:posOffset>
                </wp:positionV>
                <wp:extent cx="2219325" cy="685800"/>
                <wp:effectExtent l="0" t="0" r="28575" b="19050"/>
                <wp:wrapNone/>
                <wp:docPr id="79" name="Прямоугольник: скругленные углы 6"/>
                <wp:cNvGraphicFramePr/>
                <a:graphic xmlns:a="http://schemas.openxmlformats.org/drawingml/2006/main">
                  <a:graphicData uri="http://schemas.microsoft.com/office/word/2010/wordprocessingShape">
                    <wps:wsp>
                      <wps:cNvSpPr/>
                      <wps:spPr bwMode="auto">
                        <a:xfrm>
                          <a:off x="0" y="0"/>
                          <a:ext cx="2219324" cy="685800"/>
                        </a:xfrm>
                        <a:prstGeom prst="roundRect">
                          <a:avLst>
                            <a:gd name="adj"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spacing w:line="240" w:lineRule="auto"/>
                              <w:jc w:val="center"/>
                            </w:pPr>
                            <w:r>
                              <w:t xml:space="preserve">Правление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Прямоугольник: скругленные углы 6" o:spid="_x0000_s1064" style="position:absolute;margin-left:164.55pt;margin-top:180.7pt;width:174.75pt;height:54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" fillcolor="#5b9bd5 [3204]" strokecolor="#1f4d78 [1604]" strokeweight="1pt">
                <v:stroke joinstyle="miter"/>
                <v:textbox>
                  <w:txbxContent>
                    <w:p w:rsidR="00D602D4" w:rsidRDefault="000B4C86">
                      <w:pPr>
                        <w:spacing w:line="240" w:lineRule="auto"/>
                        <w:jc w:val="center"/>
                      </w:pPr>
                      <w:r>
                        <w:t xml:space="preserve">Правление </w:t>
                      </w:r>
                    </w:p>
                  </w:txbxContent>
                </v:textbox>
              </v:roundrect>
            </w:pict>
          </mc:Fallback>
        </mc:AlternateContent>
      </w:r>
      <w:r>
        <w:rPr>
          <w:noProof/>
          <w:lang w:eastAsia="ru-RU"/>
        </w:rPr>
        <mc:AlternateContent>
          <mc:Choice Requires="wps">
            <w:drawing>
              <wp:anchor distT="0" distB="0" distL="114300" distR="114300" simplePos="0" relativeHeight="251792384" behindDoc="0" locked="0" layoutInCell="1" allowOverlap="1">
                <wp:simplePos x="0" y="0"/>
                <wp:positionH relativeFrom="column">
                  <wp:posOffset>4051935</wp:posOffset>
                </wp:positionH>
                <wp:positionV relativeFrom="paragraph">
                  <wp:posOffset>2063115</wp:posOffset>
                </wp:positionV>
                <wp:extent cx="809625" cy="0"/>
                <wp:effectExtent l="0" t="0" r="9525" b="19050"/>
                <wp:wrapNone/>
                <wp:docPr id="80" name="Прямая соединительная линия 46"/>
                <wp:cNvGraphicFramePr/>
                <a:graphic xmlns:a="http://schemas.openxmlformats.org/drawingml/2006/main">
                  <a:graphicData uri="http://schemas.microsoft.com/office/word/2010/wordprocessingShape">
                    <wps:wsp>
                      <wps:cNvCnPr/>
                      <wps:spPr bwMode="auto">
                        <a:xfrm flipH="1">
                          <a:off x="0" y="0"/>
                          <a:ext cx="80962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1BB0D6" id="Прямая соединительная линия 46" o:spid="_x0000_s1026" style="position:absolute;flip:x;z-index:251792384;visibility:visible;mso-wrap-style:square;mso-wrap-distance-left:9pt;mso-wrap-distance-top:0;mso-wrap-distance-right:9pt;mso-wrap-distance-bottom:0;mso-position-horizontal:absolute;mso-position-horizontal-relative:text;mso-position-vertical:absolute;mso-position-vertical-relative:text" from="319.05pt,162.45pt" to="382.8pt,16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91360" behindDoc="0" locked="0" layoutInCell="1" allowOverlap="1">
                <wp:simplePos x="0" y="0"/>
                <wp:positionH relativeFrom="column">
                  <wp:posOffset>4861560</wp:posOffset>
                </wp:positionH>
                <wp:positionV relativeFrom="paragraph">
                  <wp:posOffset>2063115</wp:posOffset>
                </wp:positionV>
                <wp:extent cx="0" cy="209550"/>
                <wp:effectExtent l="0" t="0" r="19050" b="19050"/>
                <wp:wrapNone/>
                <wp:docPr id="81" name="Прямая соединительная линия 42"/>
                <wp:cNvGraphicFramePr/>
                <a:graphic xmlns:a="http://schemas.openxmlformats.org/drawingml/2006/main">
                  <a:graphicData uri="http://schemas.microsoft.com/office/word/2010/wordprocessingShape">
                    <wps:wsp>
                      <wps:cNvCnPr/>
                      <wps:spPr bwMode="auto">
                        <a:xfrm flipV="1">
                          <a:off x="0" y="0"/>
                          <a:ext cx="0" cy="20954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4D5A8D" id="Прямая соединительная линия 42" o:spid="_x0000_s1026" style="position:absolute;flip:y;z-index:251791360;visibility:visible;mso-wrap-style:square;mso-wrap-distance-left:9pt;mso-wrap-distance-top:0;mso-wrap-distance-right:9pt;mso-wrap-distance-bottom:0;mso-position-horizontal:absolute;mso-position-horizontal-relative:text;mso-position-vertical:absolute;mso-position-vertical-relative:text" from="382.8pt,162.45pt" to="382.8pt,17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697152" behindDoc="1" locked="0" layoutInCell="1" allowOverlap="1">
                <wp:simplePos x="0" y="0"/>
                <wp:positionH relativeFrom="column">
                  <wp:posOffset>4109085</wp:posOffset>
                </wp:positionH>
                <wp:positionV relativeFrom="paragraph">
                  <wp:posOffset>1720215</wp:posOffset>
                </wp:positionV>
                <wp:extent cx="828675" cy="381000"/>
                <wp:effectExtent l="0" t="0" r="28575" b="19050"/>
                <wp:wrapNone/>
                <wp:docPr id="82" name="Прямоугольник 43"/>
                <wp:cNvGraphicFramePr/>
                <a:graphic xmlns:a="http://schemas.openxmlformats.org/drawingml/2006/main">
                  <a:graphicData uri="http://schemas.microsoft.com/office/word/2010/wordprocessingShape">
                    <wps:wsp>
                      <wps:cNvSpPr/>
                      <wps:spPr bwMode="auto">
                        <a:xfrm>
                          <a:off x="0" y="0"/>
                          <a:ext cx="828675" cy="380999"/>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Председатель Правления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43" o:spid="_x0000_s1065" style="position:absolute;margin-left:323.55pt;margin-top:135.45pt;width:65.25pt;height:30pt;z-index:-251619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" fillcolor="white [3201]" strokecolor="white [3212]" strokeweight="1pt">
                <v:textbox>
                  <w:txbxContent>
                    <w:p w:rsidR="00D602D4" w:rsidRDefault="000B4C86">
                      <w:pPr>
                        <w:jc w:val="center"/>
                        <w:rPr>
                          <w:sz w:val="16"/>
                          <w:szCs w:val="16"/>
                        </w:rPr>
                      </w:pPr>
                      <w:r>
                        <w:rPr>
                          <w:sz w:val="16"/>
                          <w:szCs w:val="16"/>
                        </w:rPr>
                        <w:t>Председатель Правления</w:t>
                      </w:r>
                    </w:p>
                  </w:txbxContent>
                </v:textbox>
              </v:rect>
            </w:pict>
          </mc:Fallback>
        </mc:AlternateContent>
      </w:r>
      <w:r>
        <w:rPr>
          <w:noProof/>
          <w:lang w:eastAsia="ru-RU"/>
        </w:rPr>
        <mc:AlternateContent>
          <mc:Choice Requires="wps">
            <w:drawing>
              <wp:anchor distT="0" distB="0" distL="114300" distR="114300" simplePos="0" relativeHeight="251720704" behindDoc="0" locked="0" layoutInCell="1" allowOverlap="1">
                <wp:simplePos x="0" y="0"/>
                <wp:positionH relativeFrom="column">
                  <wp:posOffset>7633335</wp:posOffset>
                </wp:positionH>
                <wp:positionV relativeFrom="paragraph">
                  <wp:posOffset>2472690</wp:posOffset>
                </wp:positionV>
                <wp:extent cx="1847850" cy="304800"/>
                <wp:effectExtent l="0" t="0" r="19050" b="19050"/>
                <wp:wrapNone/>
                <wp:docPr id="83" name="Прямоугольник 74"/>
                <wp:cNvGraphicFramePr/>
                <a:graphic xmlns:a="http://schemas.openxmlformats.org/drawingml/2006/main">
                  <a:graphicData uri="http://schemas.microsoft.com/office/word/2010/wordprocessingShape">
                    <wps:wsp>
                      <wps:cNvSpPr/>
                      <wps:spPr bwMode="auto">
                        <a:xfrm>
                          <a:off x="0" y="0"/>
                          <a:ext cx="1847849" cy="30479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pPr>
                            <w:r>
                              <w:t>Комитет по аудиту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74" o:spid="_x0000_s1066" style="position:absolute;margin-left:601.05pt;margin-top:194.7pt;width:145.5pt;height:24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" fillcolor="#5b9bd5 [3204]" strokecolor="#1f4d78 [1604]" strokeweight="1pt">
                <v:textbox>
                  <w:txbxContent>
                    <w:p w:rsidR="00D602D4" w:rsidRDefault="000B4C86">
                      <w:pPr>
                        <w:jc w:val="center"/>
                      </w:pPr>
                      <w:r>
                        <w:t>Комитет по аудиту</w:t>
                      </w:r>
                    </w:p>
                  </w:txbxContent>
                </v:textbox>
              </v:rect>
            </w:pict>
          </mc:Fallback>
        </mc:AlternateContent>
      </w:r>
      <w:r>
        <w:rPr>
          <w:noProof/>
          <w:lang w:eastAsia="ru-RU"/>
        </w:rPr>
        <mc:AlternateContent>
          <mc:Choice Requires="wps">
            <w:drawing>
              <wp:anchor distT="0" distB="0" distL="114300" distR="114300" simplePos="0" relativeHeight="251719680" behindDoc="0" locked="0" layoutInCell="1" allowOverlap="1">
                <wp:simplePos x="0" y="0"/>
                <wp:positionH relativeFrom="column">
                  <wp:posOffset>7642860</wp:posOffset>
                </wp:positionH>
                <wp:positionV relativeFrom="paragraph">
                  <wp:posOffset>1510665</wp:posOffset>
                </wp:positionV>
                <wp:extent cx="1838325" cy="876300"/>
                <wp:effectExtent l="0" t="0" r="28575" b="19050"/>
                <wp:wrapNone/>
                <wp:docPr id="84" name="Прямоугольник 73"/>
                <wp:cNvGraphicFramePr/>
                <a:graphic xmlns:a="http://schemas.openxmlformats.org/drawingml/2006/main">
                  <a:graphicData uri="http://schemas.microsoft.com/office/word/2010/wordprocessingShape">
                    <wps:wsp>
                      <wps:cNvSpPr/>
                      <wps:spPr bwMode="auto">
                        <a:xfrm>
                          <a:off x="0" y="0"/>
                          <a:ext cx="1838324" cy="8762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pPr>
                            <w:r>
                              <w:t>Комитет по технологическому присоединению к электрическим сетям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73" o:spid="_x0000_s1067" style="position:absolute;margin-left:601.8pt;margin-top:118.95pt;width:144.75pt;height:6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" fillcolor="#5b9bd5 [3204]" strokecolor="#1f4d78 [1604]" strokeweight="1pt">
                <v:textbox>
                  <w:txbxContent>
                    <w:p w:rsidR="00D602D4" w:rsidRDefault="000B4C86">
                      <w:pPr>
                        <w:jc w:val="center"/>
                      </w:pPr>
                      <w:r>
                        <w:t>Комитет по технологическому присоединению к электрическим сетям</w:t>
                      </w:r>
                    </w:p>
                  </w:txbxContent>
                </v:textbox>
              </v:rect>
            </w:pict>
          </mc:Fallback>
        </mc:AlternateContent>
      </w:r>
      <w:r>
        <w:rPr>
          <w:noProof/>
          <w:lang w:eastAsia="ru-RU"/>
        </w:rPr>
        <mc:AlternateContent>
          <mc:Choice Requires="wps">
            <w:drawing>
              <wp:anchor distT="0" distB="0" distL="114300" distR="114300" simplePos="0" relativeHeight="251718656" behindDoc="0" locked="0" layoutInCell="1" allowOverlap="1">
                <wp:simplePos x="0" y="0"/>
                <wp:positionH relativeFrom="column">
                  <wp:posOffset>7642225</wp:posOffset>
                </wp:positionH>
                <wp:positionV relativeFrom="paragraph">
                  <wp:posOffset>977265</wp:posOffset>
                </wp:positionV>
                <wp:extent cx="1819275" cy="447675"/>
                <wp:effectExtent l="0" t="0" r="28575" b="28575"/>
                <wp:wrapNone/>
                <wp:docPr id="85" name="Прямоугольник 72"/>
                <wp:cNvGraphicFramePr/>
                <a:graphic xmlns:a="http://schemas.openxmlformats.org/drawingml/2006/main">
                  <a:graphicData uri="http://schemas.microsoft.com/office/word/2010/wordprocessingShape">
                    <wps:wsp>
                      <wps:cNvSpPr/>
                      <wps:spPr bwMode="auto">
                        <a:xfrm>
                          <a:off x="0" y="0"/>
                          <a:ext cx="1819274" cy="44767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pPr>
                            <w:r>
                              <w:t>Комитет по кадрам и вознаграждениям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72" o:spid="_x0000_s1068" style="position:absolute;margin-left:601.75pt;margin-top:76.95pt;width:143.25pt;height:35.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" fillcolor="#5b9bd5 [3204]" strokecolor="#1f4d78 [1604]" strokeweight="1pt">
                <v:textbox>
                  <w:txbxContent>
                    <w:p w:rsidR="00D602D4" w:rsidRDefault="000B4C86">
                      <w:pPr>
                        <w:jc w:val="center"/>
                      </w:pPr>
                      <w:r>
                        <w:t>Комитет по кадрам и вознаграждениям</w:t>
                      </w:r>
                    </w:p>
                  </w:txbxContent>
                </v:textbox>
              </v:rect>
            </w:pict>
          </mc:Fallback>
        </mc:AlternateContent>
      </w:r>
      <w:r>
        <w:rPr>
          <w:noProof/>
          <w:lang w:eastAsia="ru-RU"/>
        </w:rPr>
        <mc:AlternateContent>
          <mc:Choice Requires="wps">
            <w:drawing>
              <wp:anchor distT="0" distB="0" distL="114300" distR="114300" simplePos="0" relativeHeight="251717632" behindDoc="0" locked="0" layoutInCell="1" allowOverlap="1">
                <wp:simplePos x="0" y="0"/>
                <wp:positionH relativeFrom="column">
                  <wp:posOffset>7642860</wp:posOffset>
                </wp:positionH>
                <wp:positionV relativeFrom="paragraph">
                  <wp:posOffset>653415</wp:posOffset>
                </wp:positionV>
                <wp:extent cx="1809750" cy="238125"/>
                <wp:effectExtent l="0" t="0" r="19050" b="28575"/>
                <wp:wrapNone/>
                <wp:docPr id="86" name="Прямоугольник 71"/>
                <wp:cNvGraphicFramePr/>
                <a:graphic xmlns:a="http://schemas.openxmlformats.org/drawingml/2006/main">
                  <a:graphicData uri="http://schemas.microsoft.com/office/word/2010/wordprocessingShape">
                    <wps:wsp>
                      <wps:cNvSpPr/>
                      <wps:spPr bwMode="auto">
                        <a:xfrm>
                          <a:off x="0" y="0"/>
                          <a:ext cx="1809749" cy="23812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pPr>
                            <w:r>
                              <w:t>Комитет по надежности</w:t>
                            </w:r>
                          </w:p>
                          <w:p w:rsidR="00D602D4" w:rsidRDefault="00D602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71" o:spid="_x0000_s1069" style="position:absolute;margin-left:601.8pt;margin-top:51.45pt;width:142.5pt;height:18.75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" fillcolor="#5b9bd5 [3204]" strokecolor="#1f4d78 [1604]" strokeweight="1pt">
                <v:textbox>
                  <w:txbxContent>
                    <w:p w:rsidR="00D602D4" w:rsidRDefault="000B4C86">
                      <w:pPr>
                        <w:jc w:val="center"/>
                      </w:pPr>
                      <w:r>
                        <w:t>Комитет по надежности</w:t>
                      </w:r>
                    </w:p>
                    <w:p w:rsidR="00D602D4" w:rsidRDefault="00D602D4">
                      <w:pPr>
                        <w:jc w:val="center"/>
                      </w:pPr>
                    </w:p>
                  </w:txbxContent>
                </v:textbox>
              </v:rect>
            </w:pict>
          </mc:Fallback>
        </mc:AlternateContent>
      </w:r>
      <w:r>
        <w:rPr>
          <w:noProof/>
          <w:lang w:eastAsia="ru-RU"/>
        </w:rPr>
        <mc:AlternateContent>
          <mc:Choice Requires="wps">
            <w:drawing>
              <wp:anchor distT="0" distB="0" distL="114300" distR="114300" simplePos="0" relativeHeight="251716608" behindDoc="0" locked="0" layoutInCell="1" allowOverlap="1">
                <wp:simplePos x="0" y="0"/>
                <wp:positionH relativeFrom="margin">
                  <wp:posOffset>7633335</wp:posOffset>
                </wp:positionH>
                <wp:positionV relativeFrom="paragraph">
                  <wp:posOffset>339090</wp:posOffset>
                </wp:positionV>
                <wp:extent cx="1809750" cy="257175"/>
                <wp:effectExtent l="0" t="0" r="19050" b="28575"/>
                <wp:wrapNone/>
                <wp:docPr id="87" name="Прямоугольник 70"/>
                <wp:cNvGraphicFramePr/>
                <a:graphic xmlns:a="http://schemas.openxmlformats.org/drawingml/2006/main">
                  <a:graphicData uri="http://schemas.microsoft.com/office/word/2010/wordprocessingShape">
                    <wps:wsp>
                      <wps:cNvSpPr/>
                      <wps:spPr bwMode="auto">
                        <a:xfrm>
                          <a:off x="0" y="0"/>
                          <a:ext cx="1809749" cy="2571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pPr>
                            <w:r>
                              <w:t>Комитет по стратегии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70" o:spid="_x0000_s1070" style="position:absolute;margin-left:601.05pt;margin-top:26.7pt;width:142.5pt;height:20.25pt;z-index:2517166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" fillcolor="#5b9bd5 [3204]" strokecolor="#1f4d78 [1604]" strokeweight="1pt">
                <v:textbox>
                  <w:txbxContent>
                    <w:p w:rsidR="00D602D4" w:rsidRDefault="000B4C86">
                      <w:pPr>
                        <w:jc w:val="center"/>
                      </w:pPr>
                      <w:r>
                        <w:t>Комитет по стратегии</w:t>
                      </w:r>
                    </w:p>
                  </w:txbxContent>
                </v:textbox>
                <w10:wrap anchorx="margin"/>
              </v:rect>
            </w:pict>
          </mc:Fallback>
        </mc:AlternateContent>
      </w:r>
      <w:r>
        <w:rPr>
          <w:noProof/>
          <w:lang w:eastAsia="ru-RU"/>
        </w:rPr>
        <mc:AlternateContent>
          <mc:Choice Requires="wps">
            <w:drawing>
              <wp:anchor distT="0" distB="0" distL="114300" distR="114300" simplePos="0" relativeHeight="251790336" behindDoc="1" locked="0" layoutInCell="1" allowOverlap="1">
                <wp:simplePos x="0" y="0"/>
                <wp:positionH relativeFrom="column">
                  <wp:posOffset>8090535</wp:posOffset>
                </wp:positionH>
                <wp:positionV relativeFrom="paragraph">
                  <wp:posOffset>5673090</wp:posOffset>
                </wp:positionV>
                <wp:extent cx="942975" cy="238125"/>
                <wp:effectExtent l="0" t="0" r="28575" b="28575"/>
                <wp:wrapNone/>
                <wp:docPr id="88" name="Прямоугольник 80"/>
                <wp:cNvGraphicFramePr/>
                <a:graphic xmlns:a="http://schemas.openxmlformats.org/drawingml/2006/main">
                  <a:graphicData uri="http://schemas.microsoft.com/office/word/2010/wordprocessingShape">
                    <wps:wsp>
                      <wps:cNvSpPr/>
                      <wps:spPr bwMode="auto">
                        <a:xfrm>
                          <a:off x="0" y="0"/>
                          <a:ext cx="942975" cy="238124"/>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решения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80" o:spid="_x0000_s1071" style="position:absolute;margin-left:637.05pt;margin-top:446.7pt;width:74.25pt;height:18.75pt;z-index:-251526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" fillcolor="white [3201]" strokecolor="white [3212]" strokeweight="1pt">
                <v:textbox>
                  <w:txbxContent>
                    <w:p w:rsidR="00D602D4" w:rsidRDefault="000B4C86">
                      <w:pPr>
                        <w:jc w:val="center"/>
                        <w:rPr>
                          <w:sz w:val="16"/>
                          <w:szCs w:val="16"/>
                        </w:rPr>
                      </w:pPr>
                      <w:r>
                        <w:rPr>
                          <w:sz w:val="16"/>
                          <w:szCs w:val="16"/>
                        </w:rPr>
                        <w:t>решения</w:t>
                      </w:r>
                    </w:p>
                  </w:txbxContent>
                </v:textbox>
              </v:rect>
            </w:pict>
          </mc:Fallback>
        </mc:AlternateContent>
      </w:r>
      <w:r>
        <w:rPr>
          <w:noProof/>
          <w:lang w:eastAsia="ru-RU"/>
        </w:rPr>
        <mc:AlternateContent>
          <mc:Choice Requires="wps">
            <w:drawing>
              <wp:anchor distT="0" distB="0" distL="114300" distR="114300" simplePos="0" relativeHeight="251789312" behindDoc="0" locked="0" layoutInCell="1" allowOverlap="1">
                <wp:simplePos x="0" y="0"/>
                <wp:positionH relativeFrom="column">
                  <wp:posOffset>842010</wp:posOffset>
                </wp:positionH>
                <wp:positionV relativeFrom="paragraph">
                  <wp:posOffset>4806315</wp:posOffset>
                </wp:positionV>
                <wp:extent cx="9525" cy="1095375"/>
                <wp:effectExtent l="38100" t="38100" r="66675" b="28575"/>
                <wp:wrapNone/>
                <wp:docPr id="89" name="Прямая со стрелкой 79"/>
                <wp:cNvGraphicFramePr/>
                <a:graphic xmlns:a="http://schemas.openxmlformats.org/drawingml/2006/main">
                  <a:graphicData uri="http://schemas.microsoft.com/office/word/2010/wordprocessingShape">
                    <wps:wsp>
                      <wps:cNvCnPr/>
                      <wps:spPr bwMode="auto">
                        <a:xfrm flipV="1">
                          <a:off x="0" y="0"/>
                          <a:ext cx="9524" cy="109537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F47D099" id="Прямая со стрелкой 79" o:spid="_x0000_s1026" type="#_x0000_t32" style="position:absolute;margin-left:66.3pt;margin-top:378.45pt;width:.75pt;height:86.25pt;flip:y;z-index:251789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88288" behindDoc="0" locked="0" layoutInCell="1" allowOverlap="1">
                <wp:simplePos x="0" y="0"/>
                <wp:positionH relativeFrom="column">
                  <wp:posOffset>842010</wp:posOffset>
                </wp:positionH>
                <wp:positionV relativeFrom="paragraph">
                  <wp:posOffset>5882640</wp:posOffset>
                </wp:positionV>
                <wp:extent cx="8286750" cy="9525"/>
                <wp:effectExtent l="0" t="0" r="19050" b="28575"/>
                <wp:wrapNone/>
                <wp:docPr id="90" name="Прямая соединительная линия 75"/>
                <wp:cNvGraphicFramePr/>
                <a:graphic xmlns:a="http://schemas.openxmlformats.org/drawingml/2006/main">
                  <a:graphicData uri="http://schemas.microsoft.com/office/word/2010/wordprocessingShape">
                    <wps:wsp>
                      <wps:cNvCnPr/>
                      <wps:spPr bwMode="auto">
                        <a:xfrm flipH="1">
                          <a:off x="0" y="0"/>
                          <a:ext cx="8286750" cy="952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A5F2D4" id="Прямая соединительная линия 75" o:spid="_x0000_s1026" style="position:absolute;flip:x;z-index:251788288;visibility:visible;mso-wrap-style:square;mso-wrap-distance-left:9pt;mso-wrap-distance-top:0;mso-wrap-distance-right:9pt;mso-wrap-distance-bottom:0;mso-position-horizontal:absolute;mso-position-horizontal-relative:text;mso-position-vertical:absolute;mso-position-vertical-relative:text" from="66.3pt,463.2pt" to="718.8pt,46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86240" behindDoc="1" locked="0" layoutInCell="1" allowOverlap="1">
                <wp:simplePos x="0" y="0"/>
                <wp:positionH relativeFrom="column">
                  <wp:posOffset>4909185</wp:posOffset>
                </wp:positionH>
                <wp:positionV relativeFrom="paragraph">
                  <wp:posOffset>3063240</wp:posOffset>
                </wp:positionV>
                <wp:extent cx="981075" cy="333375"/>
                <wp:effectExtent l="0" t="0" r="28575" b="28575"/>
                <wp:wrapNone/>
                <wp:docPr id="91" name="Прямоугольник 67"/>
                <wp:cNvGraphicFramePr/>
                <a:graphic xmlns:a="http://schemas.openxmlformats.org/drawingml/2006/main">
                  <a:graphicData uri="http://schemas.microsoft.com/office/word/2010/wordprocessingShape">
                    <wps:wsp>
                      <wps:cNvSpPr/>
                      <wps:spPr bwMode="auto">
                        <a:xfrm>
                          <a:off x="0" y="0"/>
                          <a:ext cx="981073" cy="333374"/>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отчетность по РСБУ и МСФО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67" o:spid="_x0000_s1072" style="position:absolute;margin-left:386.55pt;margin-top:241.2pt;width:77.25pt;height:26.25pt;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" fillcolor="white [3201]" strokecolor="white [3212]" strokeweight="1pt">
                <v:textbox>
                  <w:txbxContent>
                    <w:p w:rsidR="00D602D4" w:rsidRDefault="000B4C86">
                      <w:pPr>
                        <w:jc w:val="center"/>
                        <w:rPr>
                          <w:sz w:val="16"/>
                          <w:szCs w:val="16"/>
                        </w:rPr>
                      </w:pPr>
                      <w:r>
                        <w:rPr>
                          <w:sz w:val="16"/>
                          <w:szCs w:val="16"/>
                        </w:rPr>
                        <w:t>отчетность по РСБУ и МСФО</w:t>
                      </w:r>
                    </w:p>
                  </w:txbxContent>
                </v:textbox>
              </v:rect>
            </w:pict>
          </mc:Fallback>
        </mc:AlternateContent>
      </w:r>
      <w:r>
        <w:rPr>
          <w:noProof/>
          <w:lang w:eastAsia="ru-RU"/>
        </w:rPr>
        <mc:AlternateContent>
          <mc:Choice Requires="wps">
            <w:drawing>
              <wp:anchor distT="0" distB="0" distL="114300" distR="114300" simplePos="0" relativeHeight="251764736" behindDoc="1" locked="0" layoutInCell="1" allowOverlap="1">
                <wp:simplePos x="0" y="0"/>
                <wp:positionH relativeFrom="column">
                  <wp:posOffset>4566285</wp:posOffset>
                </wp:positionH>
                <wp:positionV relativeFrom="paragraph">
                  <wp:posOffset>4920615</wp:posOffset>
                </wp:positionV>
                <wp:extent cx="1123950" cy="361950"/>
                <wp:effectExtent l="0" t="0" r="19050" b="19050"/>
                <wp:wrapNone/>
                <wp:docPr id="92" name="Прямоугольник 136"/>
                <wp:cNvGraphicFramePr/>
                <a:graphic xmlns:a="http://schemas.openxmlformats.org/drawingml/2006/main">
                  <a:graphicData uri="http://schemas.microsoft.com/office/word/2010/wordprocessingShape">
                    <wps:wsp>
                      <wps:cNvSpPr/>
                      <wps:spPr bwMode="auto">
                        <a:xfrm>
                          <a:off x="0" y="0"/>
                          <a:ext cx="1123949" cy="361949"/>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spacing w:line="240" w:lineRule="auto"/>
                              <w:contextualSpacing/>
                              <w:jc w:val="center"/>
                              <w:rPr>
                                <w:sz w:val="16"/>
                                <w:szCs w:val="16"/>
                              </w:rPr>
                            </w:pPr>
                            <w:r>
                              <w:rPr>
                                <w:sz w:val="16"/>
                                <w:szCs w:val="16"/>
                              </w:rPr>
                              <w:t>Аудиторское заключение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36" o:spid="_x0000_s1073" style="position:absolute;margin-left:359.55pt;margin-top:387.45pt;width:88.5pt;height:28.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" fillcolor="white [3201]" strokecolor="white [3212]" strokeweight="1pt">
                <v:textbox>
                  <w:txbxContent>
                    <w:p w:rsidR="00D602D4" w:rsidRDefault="000B4C86">
                      <w:pPr>
                        <w:spacing w:line="240" w:lineRule="auto"/>
                        <w:contextualSpacing/>
                        <w:jc w:val="center"/>
                        <w:rPr>
                          <w:sz w:val="16"/>
                          <w:szCs w:val="16"/>
                        </w:rPr>
                      </w:pPr>
                      <w:r>
                        <w:rPr>
                          <w:sz w:val="16"/>
                          <w:szCs w:val="16"/>
                        </w:rPr>
                        <w:t>Аудиторское заключение</w:t>
                      </w:r>
                    </w:p>
                  </w:txbxContent>
                </v:textbox>
              </v:rect>
            </w:pict>
          </mc:Fallback>
        </mc:AlternateContent>
      </w:r>
      <w:r>
        <w:rPr>
          <w:noProof/>
          <w:lang w:eastAsia="ru-RU"/>
        </w:rPr>
        <mc:AlternateContent>
          <mc:Choice Requires="wps">
            <w:drawing>
              <wp:anchor distT="0" distB="0" distL="114300" distR="114300" simplePos="0" relativeHeight="251785216" behindDoc="0" locked="0" layoutInCell="1" allowOverlap="1">
                <wp:simplePos x="0" y="0"/>
                <wp:positionH relativeFrom="column">
                  <wp:posOffset>4747260</wp:posOffset>
                </wp:positionH>
                <wp:positionV relativeFrom="paragraph">
                  <wp:posOffset>3034665</wp:posOffset>
                </wp:positionV>
                <wp:extent cx="19050" cy="1847850"/>
                <wp:effectExtent l="76200" t="38100" r="57150" b="19050"/>
                <wp:wrapNone/>
                <wp:docPr id="93" name="Прямая со стрелкой 66"/>
                <wp:cNvGraphicFramePr/>
                <a:graphic xmlns:a="http://schemas.openxmlformats.org/drawingml/2006/main">
                  <a:graphicData uri="http://schemas.microsoft.com/office/word/2010/wordprocessingShape">
                    <wps:wsp>
                      <wps:cNvCnPr/>
                      <wps:spPr bwMode="auto">
                        <a:xfrm flipH="1" flipV="1">
                          <a:off x="0" y="0"/>
                          <a:ext cx="19049" cy="18478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704DB0" id="Прямая со стрелкой 66" o:spid="_x0000_s1026" type="#_x0000_t32" style="position:absolute;margin-left:373.8pt;margin-top:238.95pt;width:1.5pt;height:145.5pt;flip:x y;z-index:251785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84192" behindDoc="0" locked="0" layoutInCell="1" allowOverlap="1">
                <wp:simplePos x="0" y="0"/>
                <wp:positionH relativeFrom="column">
                  <wp:posOffset>4766310</wp:posOffset>
                </wp:positionH>
                <wp:positionV relativeFrom="paragraph">
                  <wp:posOffset>4872990</wp:posOffset>
                </wp:positionV>
                <wp:extent cx="571500" cy="0"/>
                <wp:effectExtent l="0" t="0" r="19050" b="19050"/>
                <wp:wrapNone/>
                <wp:docPr id="94" name="Прямая соединительная линия 65"/>
                <wp:cNvGraphicFramePr/>
                <a:graphic xmlns:a="http://schemas.openxmlformats.org/drawingml/2006/main">
                  <a:graphicData uri="http://schemas.microsoft.com/office/word/2010/wordprocessingShape">
                    <wps:wsp>
                      <wps:cNvCnPr/>
                      <wps:spPr bwMode="auto">
                        <a:xfrm flipH="1">
                          <a:off x="0" y="0"/>
                          <a:ext cx="571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0C013C6" id="Прямая соединительная линия 65" o:spid="_x0000_s1026" style="position:absolute;flip:x;z-index:251784192;visibility:visible;mso-wrap-style:square;mso-wrap-distance-left:9pt;mso-wrap-distance-top:0;mso-wrap-distance-right:9pt;mso-wrap-distance-bottom:0;mso-position-horizontal:absolute;mso-position-horizontal-relative:text;mso-position-vertical:absolute;mso-position-vertical-relative:text" from="375.3pt,383.7pt" to="420.3pt,38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83168" behindDoc="0" locked="0" layoutInCell="1" allowOverlap="1">
                <wp:simplePos x="0" y="0"/>
                <wp:positionH relativeFrom="column">
                  <wp:posOffset>5080635</wp:posOffset>
                </wp:positionH>
                <wp:positionV relativeFrom="paragraph">
                  <wp:posOffset>4596765</wp:posOffset>
                </wp:positionV>
                <wp:extent cx="295275" cy="0"/>
                <wp:effectExtent l="0" t="76200" r="9525" b="95250"/>
                <wp:wrapNone/>
                <wp:docPr id="95" name="Прямая со стрелкой 61"/>
                <wp:cNvGraphicFramePr/>
                <a:graphic xmlns:a="http://schemas.openxmlformats.org/drawingml/2006/main">
                  <a:graphicData uri="http://schemas.microsoft.com/office/word/2010/wordprocessingShape">
                    <wps:wsp>
                      <wps:cNvCnPr/>
                      <wps:spPr bwMode="auto">
                        <a:xfrm>
                          <a:off x="0" y="0"/>
                          <a:ext cx="295273"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C0E095" id="Прямая со стрелкой 61" o:spid="_x0000_s1026" type="#_x0000_t32" style="position:absolute;margin-left:400.05pt;margin-top:361.95pt;width:23.25pt;height:0;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82144" behindDoc="0" locked="0" layoutInCell="1" allowOverlap="1">
                <wp:simplePos x="0" y="0"/>
                <wp:positionH relativeFrom="column">
                  <wp:posOffset>5061585</wp:posOffset>
                </wp:positionH>
                <wp:positionV relativeFrom="paragraph">
                  <wp:posOffset>3025140</wp:posOffset>
                </wp:positionV>
                <wp:extent cx="9525" cy="1581150"/>
                <wp:effectExtent l="0" t="0" r="28575" b="19050"/>
                <wp:wrapNone/>
                <wp:docPr id="96" name="Прямая соединительная линия 60"/>
                <wp:cNvGraphicFramePr/>
                <a:graphic xmlns:a="http://schemas.openxmlformats.org/drawingml/2006/main">
                  <a:graphicData uri="http://schemas.microsoft.com/office/word/2010/wordprocessingShape">
                    <wps:wsp>
                      <wps:cNvCnPr/>
                      <wps:spPr bwMode="auto">
                        <a:xfrm flipH="1" flipV="1">
                          <a:off x="0" y="0"/>
                          <a:ext cx="9524" cy="158114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D7C1F52" id="Прямая соединительная линия 60" o:spid="_x0000_s1026" style="position:absolute;flip:x y;z-index:251782144;visibility:visible;mso-wrap-style:square;mso-wrap-distance-left:9pt;mso-wrap-distance-top:0;mso-wrap-distance-right:9pt;mso-wrap-distance-bottom:0;mso-position-horizontal:absolute;mso-position-horizontal-relative:text;mso-position-vertical:absolute;mso-position-vertical-relative:text" from="398.55pt,238.2pt" to="399.3pt,36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80096" behindDoc="1" locked="0" layoutInCell="1" allowOverlap="1">
                <wp:simplePos x="0" y="0"/>
                <wp:positionH relativeFrom="column">
                  <wp:posOffset>5328285</wp:posOffset>
                </wp:positionH>
                <wp:positionV relativeFrom="paragraph">
                  <wp:posOffset>3501390</wp:posOffset>
                </wp:positionV>
                <wp:extent cx="771525" cy="257175"/>
                <wp:effectExtent l="0" t="0" r="28575" b="28575"/>
                <wp:wrapNone/>
                <wp:docPr id="97" name="Прямоугольник 47"/>
                <wp:cNvGraphicFramePr/>
                <a:graphic xmlns:a="http://schemas.openxmlformats.org/drawingml/2006/main">
                  <a:graphicData uri="http://schemas.microsoft.com/office/word/2010/wordprocessingShape">
                    <wps:wsp>
                      <wps:cNvSpPr/>
                      <wps:spPr bwMode="auto">
                        <a:xfrm>
                          <a:off x="0" y="0"/>
                          <a:ext cx="771525" cy="25717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отчет ФХД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7" o:spid="_x0000_s1074" style="position:absolute;margin-left:419.55pt;margin-top:275.7pt;width:60.75pt;height:20.25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" fillcolor="white [3201]" strokecolor="white [3212]" strokeweight="1pt">
                <v:textbox>
                  <w:txbxContent>
                    <w:p w:rsidR="00D602D4" w:rsidRDefault="000B4C86">
                      <w:pPr>
                        <w:jc w:val="center"/>
                        <w:rPr>
                          <w:sz w:val="16"/>
                          <w:szCs w:val="16"/>
                        </w:rPr>
                      </w:pPr>
                      <w:r>
                        <w:rPr>
                          <w:sz w:val="16"/>
                          <w:szCs w:val="16"/>
                        </w:rPr>
                        <w:t>отчет ФХД</w:t>
                      </w:r>
                    </w:p>
                  </w:txbxContent>
                </v:textbox>
              </v:rect>
            </w:pict>
          </mc:Fallback>
        </mc:AlternateContent>
      </w:r>
      <w:r>
        <w:rPr>
          <w:noProof/>
          <w:lang w:eastAsia="ru-RU"/>
        </w:rPr>
        <mc:AlternateContent>
          <mc:Choice Requires="wps">
            <w:drawing>
              <wp:anchor distT="0" distB="0" distL="114300" distR="114300" simplePos="0" relativeHeight="251763712" behindDoc="1" locked="0" layoutInCell="1" allowOverlap="1">
                <wp:simplePos x="0" y="0"/>
                <wp:positionH relativeFrom="column">
                  <wp:posOffset>6203950</wp:posOffset>
                </wp:positionH>
                <wp:positionV relativeFrom="paragraph">
                  <wp:posOffset>3463290</wp:posOffset>
                </wp:positionV>
                <wp:extent cx="1019175" cy="361950"/>
                <wp:effectExtent l="0" t="0" r="28575" b="19050"/>
                <wp:wrapNone/>
                <wp:docPr id="98" name="Прямоугольник 135"/>
                <wp:cNvGraphicFramePr/>
                <a:graphic xmlns:a="http://schemas.openxmlformats.org/drawingml/2006/main">
                  <a:graphicData uri="http://schemas.microsoft.com/office/word/2010/wordprocessingShape">
                    <wps:wsp>
                      <wps:cNvSpPr/>
                      <wps:spPr bwMode="auto">
                        <a:xfrm>
                          <a:off x="0" y="0"/>
                          <a:ext cx="1019173" cy="361949"/>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 xml:space="preserve">заключение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35" o:spid="_x0000_s1075" style="position:absolute;margin-left:488.5pt;margin-top:272.7pt;width:80.25pt;height:28.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" fillcolor="white [3201]" strokecolor="white [3212]" strokeweight="1pt">
                <v:textbox>
                  <w:txbxContent>
                    <w:p w:rsidR="00D602D4" w:rsidRDefault="000B4C86">
                      <w:pPr>
                        <w:jc w:val="center"/>
                        <w:rPr>
                          <w:sz w:val="16"/>
                          <w:szCs w:val="16"/>
                        </w:rPr>
                      </w:pPr>
                      <w:r>
                        <w:rPr>
                          <w:sz w:val="16"/>
                          <w:szCs w:val="16"/>
                        </w:rPr>
                        <w:t xml:space="preserve">заключение </w:t>
                      </w:r>
                    </w:p>
                  </w:txbxContent>
                </v:textbox>
              </v:rect>
            </w:pict>
          </mc:Fallback>
        </mc:AlternateContent>
      </w:r>
      <w:r>
        <w:rPr>
          <w:noProof/>
          <w:lang w:eastAsia="ru-RU"/>
        </w:rPr>
        <mc:AlternateContent>
          <mc:Choice Requires="wps">
            <w:drawing>
              <wp:anchor distT="0" distB="0" distL="114300" distR="114300" simplePos="0" relativeHeight="251779072" behindDoc="0" locked="0" layoutInCell="1" allowOverlap="1">
                <wp:simplePos x="0" y="0"/>
                <wp:positionH relativeFrom="column">
                  <wp:posOffset>5975985</wp:posOffset>
                </wp:positionH>
                <wp:positionV relativeFrom="paragraph">
                  <wp:posOffset>3025140</wp:posOffset>
                </wp:positionV>
                <wp:extent cx="9525" cy="885825"/>
                <wp:effectExtent l="38100" t="0" r="66675" b="47625"/>
                <wp:wrapNone/>
                <wp:docPr id="99" name="Прямая со стрелкой 41"/>
                <wp:cNvGraphicFramePr/>
                <a:graphic xmlns:a="http://schemas.openxmlformats.org/drawingml/2006/main">
                  <a:graphicData uri="http://schemas.microsoft.com/office/word/2010/wordprocessingShape">
                    <wps:wsp>
                      <wps:cNvCnPr/>
                      <wps:spPr bwMode="auto">
                        <a:xfrm>
                          <a:off x="0" y="0"/>
                          <a:ext cx="9524" cy="8858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4AF983" id="Прямая со стрелкой 41" o:spid="_x0000_s1026" type="#_x0000_t32" style="position:absolute;margin-left:470.55pt;margin-top:238.2pt;width:.75pt;height:69.75pt;z-index:251779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78048" behindDoc="0" locked="0" layoutInCell="1" allowOverlap="1">
                <wp:simplePos x="0" y="0"/>
                <wp:positionH relativeFrom="column">
                  <wp:posOffset>6385560</wp:posOffset>
                </wp:positionH>
                <wp:positionV relativeFrom="paragraph">
                  <wp:posOffset>3025140</wp:posOffset>
                </wp:positionV>
                <wp:extent cx="9525" cy="857250"/>
                <wp:effectExtent l="76200" t="38100" r="66675" b="19050"/>
                <wp:wrapNone/>
                <wp:docPr id="100" name="Прямая со стрелкой 38"/>
                <wp:cNvGraphicFramePr/>
                <a:graphic xmlns:a="http://schemas.openxmlformats.org/drawingml/2006/main">
                  <a:graphicData uri="http://schemas.microsoft.com/office/word/2010/wordprocessingShape">
                    <wps:wsp>
                      <wps:cNvCnPr/>
                      <wps:spPr bwMode="auto">
                        <a:xfrm flipH="1" flipV="1">
                          <a:off x="0" y="0"/>
                          <a:ext cx="9524" cy="8572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EFF592" id="Прямая со стрелкой 38" o:spid="_x0000_s1026" type="#_x0000_t32" style="position:absolute;margin-left:502.8pt;margin-top:238.2pt;width:.75pt;height:67.5pt;flip:x y;z-index:251778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45280" behindDoc="1" locked="0" layoutInCell="1" allowOverlap="1">
                <wp:simplePos x="0" y="0"/>
                <wp:positionH relativeFrom="column">
                  <wp:posOffset>7652385</wp:posOffset>
                </wp:positionH>
                <wp:positionV relativeFrom="paragraph">
                  <wp:posOffset>4549140</wp:posOffset>
                </wp:positionV>
                <wp:extent cx="723900" cy="247650"/>
                <wp:effectExtent l="0" t="0" r="19050" b="19050"/>
                <wp:wrapNone/>
                <wp:docPr id="101" name="Прямоугольник 114"/>
                <wp:cNvGraphicFramePr/>
                <a:graphic xmlns:a="http://schemas.openxmlformats.org/drawingml/2006/main">
                  <a:graphicData uri="http://schemas.microsoft.com/office/word/2010/wordprocessingShape">
                    <wps:wsp>
                      <wps:cNvSpPr/>
                      <wps:spPr bwMode="auto">
                        <a:xfrm>
                          <a:off x="0" y="0"/>
                          <a:ext cx="723899" cy="247649"/>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назначение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14" o:spid="_x0000_s1076" style="position:absolute;margin-left:602.55pt;margin-top:358.2pt;width:57pt;height:19.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" fillcolor="white [3201]" strokecolor="white [3212]" strokeweight="1pt">
                <v:textbox>
                  <w:txbxContent>
                    <w:p w:rsidR="00D602D4" w:rsidRDefault="000B4C86">
                      <w:pPr>
                        <w:jc w:val="center"/>
                        <w:rPr>
                          <w:sz w:val="16"/>
                          <w:szCs w:val="16"/>
                        </w:rPr>
                      </w:pPr>
                      <w:r>
                        <w:rPr>
                          <w:sz w:val="16"/>
                          <w:szCs w:val="16"/>
                        </w:rPr>
                        <w:t>назначение</w:t>
                      </w:r>
                    </w:p>
                  </w:txbxContent>
                </v:textbox>
              </v:rect>
            </w:pict>
          </mc:Fallback>
        </mc:AlternateContent>
      </w:r>
      <w:r>
        <w:rPr>
          <w:noProof/>
          <w:lang w:eastAsia="ru-RU"/>
        </w:rPr>
        <mc:AlternateContent>
          <mc:Choice Requires="wps">
            <w:drawing>
              <wp:anchor distT="0" distB="0" distL="114300" distR="114300" simplePos="0" relativeHeight="251777024" behindDoc="0" locked="0" layoutInCell="1" allowOverlap="1">
                <wp:simplePos x="0" y="0"/>
                <wp:positionH relativeFrom="column">
                  <wp:posOffset>7614285</wp:posOffset>
                </wp:positionH>
                <wp:positionV relativeFrom="paragraph">
                  <wp:posOffset>4730115</wp:posOffset>
                </wp:positionV>
                <wp:extent cx="2066925" cy="9525"/>
                <wp:effectExtent l="19050" t="57150" r="0" b="85725"/>
                <wp:wrapNone/>
                <wp:docPr id="102" name="Прямая со стрелкой 37"/>
                <wp:cNvGraphicFramePr/>
                <a:graphic xmlns:a="http://schemas.openxmlformats.org/drawingml/2006/main">
                  <a:graphicData uri="http://schemas.microsoft.com/office/word/2010/wordprocessingShape">
                    <wps:wsp>
                      <wps:cNvCnPr/>
                      <wps:spPr bwMode="auto">
                        <a:xfrm flipH="1">
                          <a:off x="0" y="0"/>
                          <a:ext cx="2066924" cy="95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C7CDC81" id="Прямая со стрелкой 37" o:spid="_x0000_s1026" type="#_x0000_t32" style="position:absolute;margin-left:599.55pt;margin-top:372.45pt;width:162.75pt;height:.75pt;flip:x;z-index:251777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76000" behindDoc="0" locked="0" layoutInCell="1" allowOverlap="1">
                <wp:simplePos x="0" y="0"/>
                <wp:positionH relativeFrom="column">
                  <wp:posOffset>7614285</wp:posOffset>
                </wp:positionH>
                <wp:positionV relativeFrom="paragraph">
                  <wp:posOffset>4110990</wp:posOffset>
                </wp:positionV>
                <wp:extent cx="2066925" cy="19050"/>
                <wp:effectExtent l="38100" t="57150" r="0" b="95250"/>
                <wp:wrapNone/>
                <wp:docPr id="103" name="Прямая со стрелкой 36"/>
                <wp:cNvGraphicFramePr/>
                <a:graphic xmlns:a="http://schemas.openxmlformats.org/drawingml/2006/main">
                  <a:graphicData uri="http://schemas.microsoft.com/office/word/2010/wordprocessingShape">
                    <wps:wsp>
                      <wps:cNvCnPr/>
                      <wps:spPr bwMode="auto">
                        <a:xfrm flipH="1">
                          <a:off x="0" y="0"/>
                          <a:ext cx="2066924" cy="190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657A899" id="Прямая со стрелкой 36" o:spid="_x0000_s1026" type="#_x0000_t32" style="position:absolute;margin-left:599.55pt;margin-top:323.7pt;width:162.75pt;height:1.5pt;flip:x;z-index:251776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73952" behindDoc="0" locked="0" layoutInCell="1" allowOverlap="1">
                <wp:simplePos x="0" y="0"/>
                <wp:positionH relativeFrom="column">
                  <wp:posOffset>9671685</wp:posOffset>
                </wp:positionH>
                <wp:positionV relativeFrom="paragraph">
                  <wp:posOffset>-384811</wp:posOffset>
                </wp:positionV>
                <wp:extent cx="19050" cy="5095875"/>
                <wp:effectExtent l="0" t="0" r="19050" b="28575"/>
                <wp:wrapNone/>
                <wp:docPr id="104" name="Прямая соединительная линия 34"/>
                <wp:cNvGraphicFramePr/>
                <a:graphic xmlns:a="http://schemas.openxmlformats.org/drawingml/2006/main">
                  <a:graphicData uri="http://schemas.microsoft.com/office/word/2010/wordprocessingShape">
                    <wps:wsp>
                      <wps:cNvCnPr/>
                      <wps:spPr bwMode="auto">
                        <a:xfrm flipH="1">
                          <a:off x="0" y="0"/>
                          <a:ext cx="19049" cy="509587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8E8C41" id="Прямая соединительная линия 34" o:spid="_x0000_s1026" style="position:absolute;flip:x;z-index:251773952;visibility:visible;mso-wrap-style:square;mso-wrap-distance-left:9pt;mso-wrap-distance-top:0;mso-wrap-distance-right:9pt;mso-wrap-distance-bottom:0;mso-position-horizontal:absolute;mso-position-horizontal-relative:text;mso-position-vertical:absolute;mso-position-vertical-relative:text" from="761.55pt,-30.3pt" to="763.05pt,37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670528" behindDoc="0" locked="0" layoutInCell="1" allowOverlap="1">
                <wp:simplePos x="0" y="0"/>
                <wp:positionH relativeFrom="margin">
                  <wp:posOffset>5375911</wp:posOffset>
                </wp:positionH>
                <wp:positionV relativeFrom="paragraph">
                  <wp:posOffset>4501515</wp:posOffset>
                </wp:positionV>
                <wp:extent cx="2190750" cy="400050"/>
                <wp:effectExtent l="0" t="0" r="19050" b="19050"/>
                <wp:wrapNone/>
                <wp:docPr id="105" name="Прямоугольник 13"/>
                <wp:cNvGraphicFramePr/>
                <a:graphic xmlns:a="http://schemas.openxmlformats.org/drawingml/2006/main">
                  <a:graphicData uri="http://schemas.microsoft.com/office/word/2010/wordprocessingShape">
                    <wps:wsp>
                      <wps:cNvSpPr/>
                      <wps:spPr bwMode="auto">
                        <a:xfrm>
                          <a:off x="0" y="0"/>
                          <a:ext cx="2190749" cy="400050"/>
                        </a:xfrm>
                        <a:prstGeom prst="rect">
                          <a:avLst/>
                        </a:prstGeom>
                        <a:solidFill>
                          <a:schemeClr val="accent1">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pPr>
                            <w:r>
                              <w:t>Аудиторская организация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3" o:spid="_x0000_s1077" style="position:absolute;margin-left:423.3pt;margin-top:354.45pt;width:172.5pt;height:31.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" fillcolor="#9cc2e5 [1940]" strokecolor="#1f4d78 [1604]" strokeweight="1pt">
                <v:textbox>
                  <w:txbxContent>
                    <w:p w:rsidR="00D602D4" w:rsidRDefault="000B4C86">
                      <w:pPr>
                        <w:jc w:val="center"/>
                      </w:pPr>
                      <w:r>
                        <w:t>Аудиторская организация</w:t>
                      </w:r>
                    </w:p>
                  </w:txbxContent>
                </v:textbox>
                <w10:wrap anchorx="margin"/>
              </v:rect>
            </w:pict>
          </mc:Fallback>
        </mc:AlternateContent>
      </w:r>
      <w:r>
        <w:rPr>
          <w:noProof/>
          <w:lang w:eastAsia="ru-RU"/>
        </w:rPr>
        <mc:AlternateContent>
          <mc:Choice Requires="wps">
            <w:drawing>
              <wp:anchor distT="0" distB="0" distL="114300" distR="114300" simplePos="0" relativeHeight="251667456" behindDoc="0" locked="0" layoutInCell="1" allowOverlap="1">
                <wp:simplePos x="0" y="0"/>
                <wp:positionH relativeFrom="column">
                  <wp:posOffset>5375910</wp:posOffset>
                </wp:positionH>
                <wp:positionV relativeFrom="paragraph">
                  <wp:posOffset>3920490</wp:posOffset>
                </wp:positionV>
                <wp:extent cx="2181225" cy="466725"/>
                <wp:effectExtent l="0" t="0" r="28575" b="28575"/>
                <wp:wrapNone/>
                <wp:docPr id="106" name="Прямоугольник: скругленные углы 10"/>
                <wp:cNvGraphicFramePr/>
                <a:graphic xmlns:a="http://schemas.openxmlformats.org/drawingml/2006/main">
                  <a:graphicData uri="http://schemas.microsoft.com/office/word/2010/wordprocessingShape">
                    <wps:wsp>
                      <wps:cNvSpPr/>
                      <wps:spPr bwMode="auto">
                        <a:xfrm>
                          <a:off x="0" y="0"/>
                          <a:ext cx="2181224" cy="466724"/>
                        </a:xfrm>
                        <a:prstGeom prst="roundRect">
                          <a:avLst>
                            <a:gd name="adj" fmla="val 0"/>
                          </a:avLst>
                        </a:prstGeom>
                        <a:solidFill>
                          <a:schemeClr val="accent1">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spacing w:line="240" w:lineRule="auto"/>
                              <w:contextualSpacing/>
                              <w:jc w:val="center"/>
                            </w:pPr>
                            <w:r>
                              <w:t xml:space="preserve">Ревизионная комиссия </w:t>
                            </w:r>
                          </w:p>
                          <w:p w:rsidR="00D602D4" w:rsidRDefault="00D602D4">
                            <w:pPr>
                              <w:spacing w:line="240" w:lineRule="auto"/>
                              <w:contextualSpacing/>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0" o:spid="_x0000_s1078" style="position:absolute;margin-left:423.3pt;margin-top:308.7pt;width:171.75pt;height:36.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" fillcolor="#9cc2e5 [1940]" strokecolor="#1f4d78 [1604]" strokeweight="1pt">
                <v:stroke joinstyle="miter"/>
                <v:textbox>
                  <w:txbxContent>
                    <w:p w:rsidR="00D602D4" w:rsidRDefault="000B4C86">
                      <w:pPr>
                        <w:spacing w:line="240" w:lineRule="auto"/>
                        <w:contextualSpacing/>
                        <w:jc w:val="center"/>
                      </w:pPr>
                      <w:r>
                        <w:t xml:space="preserve">Ревизионная комиссия </w:t>
                      </w:r>
                    </w:p>
                    <w:p w:rsidR="00D602D4" w:rsidRDefault="00D602D4">
                      <w:pPr>
                        <w:spacing w:line="240" w:lineRule="auto"/>
                        <w:contextualSpacing/>
                        <w:jc w:val="center"/>
                      </w:pPr>
                    </w:p>
                  </w:txbxContent>
                </v:textbox>
              </v:roundrect>
            </w:pict>
          </mc:Fallback>
        </mc:AlternateContent>
      </w:r>
      <w:r>
        <w:rPr>
          <w:noProof/>
          <w:lang w:eastAsia="ru-RU"/>
        </w:rPr>
        <mc:AlternateContent>
          <mc:Choice Requires="wps">
            <w:drawing>
              <wp:anchor distT="0" distB="0" distL="114300" distR="114300" simplePos="0" relativeHeight="251770880" behindDoc="1" locked="0" layoutInCell="1" allowOverlap="1">
                <wp:simplePos x="0" y="0"/>
                <wp:positionH relativeFrom="column">
                  <wp:posOffset>3089910</wp:posOffset>
                </wp:positionH>
                <wp:positionV relativeFrom="paragraph">
                  <wp:posOffset>1634490</wp:posOffset>
                </wp:positionV>
                <wp:extent cx="1047750" cy="238125"/>
                <wp:effectExtent l="0" t="0" r="19050" b="28575"/>
                <wp:wrapNone/>
                <wp:docPr id="107" name="Прямоугольник 15"/>
                <wp:cNvGraphicFramePr/>
                <a:graphic xmlns:a="http://schemas.openxmlformats.org/drawingml/2006/main">
                  <a:graphicData uri="http://schemas.microsoft.com/office/word/2010/wordprocessingShape">
                    <wps:wsp>
                      <wps:cNvSpPr/>
                      <wps:spPr bwMode="auto">
                        <a:xfrm>
                          <a:off x="0" y="0"/>
                          <a:ext cx="1047749" cy="238124"/>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рекомендации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5" o:spid="_x0000_s1079" style="position:absolute;margin-left:243.3pt;margin-top:128.7pt;width:82.5pt;height:18.75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" fillcolor="white [3201]" strokecolor="white [3212]" strokeweight="1pt">
                <v:textbox>
                  <w:txbxContent>
                    <w:p w:rsidR="00D602D4" w:rsidRDefault="000B4C86">
                      <w:pPr>
                        <w:jc w:val="center"/>
                        <w:rPr>
                          <w:sz w:val="16"/>
                          <w:szCs w:val="16"/>
                        </w:rPr>
                      </w:pPr>
                      <w:r>
                        <w:rPr>
                          <w:sz w:val="16"/>
                          <w:szCs w:val="16"/>
                        </w:rPr>
                        <w:t>рекомендации</w:t>
                      </w:r>
                    </w:p>
                  </w:txbxContent>
                </v:textbox>
              </v:rect>
            </w:pict>
          </mc:Fallback>
        </mc:AlternateContent>
      </w:r>
      <w:r>
        <w:rPr>
          <w:noProof/>
          <w:lang w:eastAsia="ru-RU"/>
        </w:rPr>
        <mc:AlternateContent>
          <mc:Choice Requires="wps">
            <w:drawing>
              <wp:anchor distT="0" distB="0" distL="114300" distR="114300" simplePos="0" relativeHeight="251769856" behindDoc="0" locked="0" layoutInCell="1" allowOverlap="1">
                <wp:simplePos x="0" y="0"/>
                <wp:positionH relativeFrom="column">
                  <wp:posOffset>3204210</wp:posOffset>
                </wp:positionH>
                <wp:positionV relativeFrom="paragraph">
                  <wp:posOffset>1529715</wp:posOffset>
                </wp:positionV>
                <wp:extent cx="9525" cy="659765"/>
                <wp:effectExtent l="76200" t="38100" r="66675" b="26034"/>
                <wp:wrapNone/>
                <wp:docPr id="108" name="Прямая со стрелкой 14"/>
                <wp:cNvGraphicFramePr/>
                <a:graphic xmlns:a="http://schemas.openxmlformats.org/drawingml/2006/main">
                  <a:graphicData uri="http://schemas.microsoft.com/office/word/2010/wordprocessingShape">
                    <wps:wsp>
                      <wps:cNvCnPr/>
                      <wps:spPr bwMode="auto">
                        <a:xfrm flipH="1" flipV="1">
                          <a:off x="0" y="0"/>
                          <a:ext cx="9524" cy="6597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79053E" id="Прямая со стрелкой 14" o:spid="_x0000_s1026" type="#_x0000_t32" style="position:absolute;margin-left:252.3pt;margin-top:120.45pt;width:.75pt;height:51.95pt;flip:x y;z-index:251769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680768" behindDoc="0" locked="0" layoutInCell="1" allowOverlap="1">
                <wp:simplePos x="0" y="0"/>
                <wp:positionH relativeFrom="column">
                  <wp:posOffset>2896870</wp:posOffset>
                </wp:positionH>
                <wp:positionV relativeFrom="paragraph">
                  <wp:posOffset>1526540</wp:posOffset>
                </wp:positionV>
                <wp:extent cx="0" cy="676656"/>
                <wp:effectExtent l="76200" t="0" r="95250" b="47625"/>
                <wp:wrapNone/>
                <wp:docPr id="109" name="Прямая со стрелкой 29"/>
                <wp:cNvGraphicFramePr/>
                <a:graphic xmlns:a="http://schemas.openxmlformats.org/drawingml/2006/main">
                  <a:graphicData uri="http://schemas.microsoft.com/office/word/2010/wordprocessingShape">
                    <wps:wsp>
                      <wps:cNvCnPr/>
                      <wps:spPr bwMode="auto">
                        <a:xfrm>
                          <a:off x="0" y="0"/>
                          <a:ext cx="0" cy="6766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E9E4C2" id="Прямая со стрелкой 29" o:spid="_x0000_s1026" type="#_x0000_t32" style="position:absolute;margin-left:228.1pt;margin-top:120.2pt;width:0;height:53.3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65760" behindDoc="1" locked="0" layoutInCell="1" allowOverlap="1">
                <wp:simplePos x="0" y="0"/>
                <wp:positionH relativeFrom="column">
                  <wp:posOffset>1689735</wp:posOffset>
                </wp:positionH>
                <wp:positionV relativeFrom="paragraph">
                  <wp:posOffset>1567815</wp:posOffset>
                </wp:positionV>
                <wp:extent cx="1266825" cy="371475"/>
                <wp:effectExtent l="0" t="0" r="28575" b="28575"/>
                <wp:wrapNone/>
                <wp:docPr id="110" name="Прямоугольник 137"/>
                <wp:cNvGraphicFramePr/>
                <a:graphic xmlns:a="http://schemas.openxmlformats.org/drawingml/2006/main">
                  <a:graphicData uri="http://schemas.microsoft.com/office/word/2010/wordprocessingShape">
                    <wps:wsp>
                      <wps:cNvSpPr/>
                      <wps:spPr bwMode="auto">
                        <a:xfrm>
                          <a:off x="0" y="0"/>
                          <a:ext cx="1266824" cy="37147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избрание/прекращение полномочий, контроль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37" o:spid="_x0000_s1080" style="position:absolute;margin-left:133.05pt;margin-top:123.45pt;width:99.75pt;height:29.25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" fillcolor="white [3201]" strokecolor="white [3212]" strokeweight="1pt">
                <v:textbox>
                  <w:txbxContent>
                    <w:p w:rsidR="00D602D4" w:rsidRDefault="000B4C86">
                      <w:pPr>
                        <w:jc w:val="center"/>
                        <w:rPr>
                          <w:sz w:val="16"/>
                          <w:szCs w:val="16"/>
                        </w:rPr>
                      </w:pPr>
                      <w:r>
                        <w:rPr>
                          <w:sz w:val="16"/>
                          <w:szCs w:val="16"/>
                        </w:rPr>
                        <w:t>избрание/прекращение полномочий, контроль</w:t>
                      </w:r>
                    </w:p>
                  </w:txbxContent>
                </v:textbox>
              </v:rect>
            </w:pict>
          </mc:Fallback>
        </mc:AlternateContent>
      </w:r>
      <w:r>
        <w:rPr>
          <w:noProof/>
          <w:lang w:eastAsia="ru-RU"/>
        </w:rPr>
        <mc:AlternateContent>
          <mc:Choice Requires="wps">
            <w:drawing>
              <wp:anchor distT="0" distB="0" distL="114300" distR="114300" simplePos="0" relativeHeight="251698176" behindDoc="1" locked="0" layoutInCell="1" allowOverlap="1">
                <wp:simplePos x="0" y="0"/>
                <wp:positionH relativeFrom="column">
                  <wp:posOffset>3013075</wp:posOffset>
                </wp:positionH>
                <wp:positionV relativeFrom="paragraph">
                  <wp:posOffset>3168015</wp:posOffset>
                </wp:positionV>
                <wp:extent cx="790575" cy="685800"/>
                <wp:effectExtent l="0" t="0" r="28575" b="19050"/>
                <wp:wrapNone/>
                <wp:docPr id="111" name="Прямоугольник 44"/>
                <wp:cNvGraphicFramePr/>
                <a:graphic xmlns:a="http://schemas.openxmlformats.org/drawingml/2006/main">
                  <a:graphicData uri="http://schemas.microsoft.com/office/word/2010/wordprocessingShape">
                    <wps:wsp>
                      <wps:cNvSpPr/>
                      <wps:spPr bwMode="auto">
                        <a:xfrm>
                          <a:off x="0" y="0"/>
                          <a:ext cx="790574" cy="68580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spacing w:line="240" w:lineRule="auto"/>
                              <w:contextualSpacing/>
                              <w:jc w:val="center"/>
                              <w:rPr>
                                <w:sz w:val="16"/>
                                <w:szCs w:val="16"/>
                              </w:rPr>
                            </w:pPr>
                            <w:r>
                              <w:rPr>
                                <w:sz w:val="16"/>
                                <w:szCs w:val="16"/>
                              </w:rPr>
                              <w:t>годовой отчет и бух. отчетность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4" o:spid="_x0000_s1081" style="position:absolute;margin-left:237.25pt;margin-top:249.45pt;width:62.25pt;height:54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" fillcolor="white [3201]" strokecolor="white [3212]" strokeweight="1pt">
                <v:textbox>
                  <w:txbxContent>
                    <w:p w:rsidR="00D602D4" w:rsidRDefault="000B4C86">
                      <w:pPr>
                        <w:spacing w:line="240" w:lineRule="auto"/>
                        <w:contextualSpacing/>
                        <w:jc w:val="center"/>
                        <w:rPr>
                          <w:sz w:val="16"/>
                          <w:szCs w:val="16"/>
                        </w:rPr>
                      </w:pPr>
                      <w:r>
                        <w:rPr>
                          <w:sz w:val="16"/>
                          <w:szCs w:val="16"/>
                        </w:rPr>
                        <w:t>годовой отчет и бух. отчетность</w:t>
                      </w:r>
                    </w:p>
                  </w:txbxContent>
                </v:textbox>
              </v:rect>
            </w:pict>
          </mc:Fallback>
        </mc:AlternateContent>
      </w:r>
      <w:r>
        <w:rPr>
          <w:noProof/>
          <w:lang w:eastAsia="ru-RU"/>
        </w:rPr>
        <mc:AlternateContent>
          <mc:Choice Requires="wps">
            <w:drawing>
              <wp:anchor distT="0" distB="0" distL="114300" distR="114300" simplePos="0" relativeHeight="251664384" behindDoc="0" locked="0" layoutInCell="1" allowOverlap="1">
                <wp:simplePos x="0" y="0"/>
                <wp:positionH relativeFrom="column">
                  <wp:posOffset>4432935</wp:posOffset>
                </wp:positionH>
                <wp:positionV relativeFrom="paragraph">
                  <wp:posOffset>2291715</wp:posOffset>
                </wp:positionV>
                <wp:extent cx="2638425" cy="687070"/>
                <wp:effectExtent l="0" t="0" r="28575" b="17780"/>
                <wp:wrapNone/>
                <wp:docPr id="112" name="Прямоугольник: скругленные углы 7"/>
                <wp:cNvGraphicFramePr/>
                <a:graphic xmlns:a="http://schemas.openxmlformats.org/drawingml/2006/main">
                  <a:graphicData uri="http://schemas.microsoft.com/office/word/2010/wordprocessingShape">
                    <wps:wsp>
                      <wps:cNvSpPr/>
                      <wps:spPr bwMode="auto">
                        <a:xfrm>
                          <a:off x="0" y="0"/>
                          <a:ext cx="2638424" cy="687068"/>
                        </a:xfrm>
                        <a:prstGeom prst="roundRect">
                          <a:avLst>
                            <a:gd name="adj"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spacing w:line="240" w:lineRule="auto"/>
                              <w:contextualSpacing/>
                              <w:jc w:val="center"/>
                            </w:pPr>
                            <w:r>
                              <w:t>Генеральный директор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7" o:spid="_x0000_s1082" style="position:absolute;margin-left:349.05pt;margin-top:180.45pt;width:207.75pt;height:54.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" fillcolor="#5b9bd5 [3204]" strokecolor="#1f4d78 [1604]" strokeweight="1pt">
                <v:stroke joinstyle="miter"/>
                <v:textbox>
                  <w:txbxContent>
                    <w:p w:rsidR="00D602D4" w:rsidRDefault="000B4C86">
                      <w:pPr>
                        <w:spacing w:line="240" w:lineRule="auto"/>
                        <w:contextualSpacing/>
                        <w:jc w:val="center"/>
                      </w:pPr>
                      <w:r>
                        <w:t>Генеральный директор</w:t>
                      </w:r>
                    </w:p>
                  </w:txbxContent>
                </v:textbox>
              </v:roundrect>
            </w:pict>
          </mc:Fallback>
        </mc:AlternateContent>
      </w:r>
      <w:r>
        <w:rPr>
          <w:noProof/>
          <w:lang w:eastAsia="ru-RU"/>
        </w:rPr>
        <mc:AlternateContent>
          <mc:Choice Requires="wps">
            <w:drawing>
              <wp:anchor distT="0" distB="0" distL="114300" distR="114300" simplePos="0" relativeHeight="251755520" behindDoc="0" locked="0" layoutInCell="1" allowOverlap="1">
                <wp:simplePos x="0" y="0"/>
                <wp:positionH relativeFrom="column">
                  <wp:posOffset>7071360</wp:posOffset>
                </wp:positionH>
                <wp:positionV relativeFrom="paragraph">
                  <wp:posOffset>2815590</wp:posOffset>
                </wp:positionV>
                <wp:extent cx="266700" cy="0"/>
                <wp:effectExtent l="38100" t="76200" r="0" b="95250"/>
                <wp:wrapNone/>
                <wp:docPr id="113" name="Прямая со стрелкой 126"/>
                <wp:cNvGraphicFramePr/>
                <a:graphic xmlns:a="http://schemas.openxmlformats.org/drawingml/2006/main">
                  <a:graphicData uri="http://schemas.microsoft.com/office/word/2010/wordprocessingShape">
                    <wps:wsp>
                      <wps:cNvCnPr/>
                      <wps:spPr bwMode="auto">
                        <a:xfrm flipH="1">
                          <a:off x="0" y="0"/>
                          <a:ext cx="26669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133820" id="Прямая со стрелкой 126" o:spid="_x0000_s1026" type="#_x0000_t32" style="position:absolute;margin-left:556.8pt;margin-top:221.7pt;width:21pt;height:0;flip:x;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52448" behindDoc="0" locked="0" layoutInCell="1" allowOverlap="1">
                <wp:simplePos x="0" y="0"/>
                <wp:positionH relativeFrom="column">
                  <wp:posOffset>7099935</wp:posOffset>
                </wp:positionH>
                <wp:positionV relativeFrom="paragraph">
                  <wp:posOffset>2634615</wp:posOffset>
                </wp:positionV>
                <wp:extent cx="361950" cy="0"/>
                <wp:effectExtent l="0" t="0" r="19050" b="19050"/>
                <wp:wrapNone/>
                <wp:docPr id="114" name="Прямая соединительная линия 122"/>
                <wp:cNvGraphicFramePr/>
                <a:graphic xmlns:a="http://schemas.openxmlformats.org/drawingml/2006/main">
                  <a:graphicData uri="http://schemas.microsoft.com/office/word/2010/wordprocessingShape">
                    <wps:wsp>
                      <wps:cNvCnPr/>
                      <wps:spPr bwMode="auto">
                        <a:xfrm>
                          <a:off x="0" y="0"/>
                          <a:ext cx="36194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A46FAE" id="Прямая соединительная линия 122" o:spid="_x0000_s1026" style="position:absolute;z-index:251752448;visibility:visible;mso-wrap-style:square;mso-wrap-distance-left:9pt;mso-wrap-distance-top:0;mso-wrap-distance-right:9pt;mso-wrap-distance-bottom:0;mso-position-horizontal:absolute;mso-position-horizontal-relative:text;mso-position-vertical:absolute;mso-position-vertical-relative:text" from="559.05pt,207.45pt" to="587.55pt,20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22752" behindDoc="1" locked="0" layoutInCell="1" allowOverlap="1">
                <wp:simplePos x="0" y="0"/>
                <wp:positionH relativeFrom="margin">
                  <wp:posOffset>-371475</wp:posOffset>
                </wp:positionH>
                <wp:positionV relativeFrom="paragraph">
                  <wp:posOffset>5253990</wp:posOffset>
                </wp:positionV>
                <wp:extent cx="876300" cy="276225"/>
                <wp:effectExtent l="0" t="0" r="19050" b="28575"/>
                <wp:wrapNone/>
                <wp:docPr id="115" name="Прямоугольник 76"/>
                <wp:cNvGraphicFramePr/>
                <a:graphic xmlns:a="http://schemas.openxmlformats.org/drawingml/2006/main">
                  <a:graphicData uri="http://schemas.microsoft.com/office/word/2010/wordprocessingShape">
                    <wps:wsp>
                      <wps:cNvSpPr/>
                      <wps:spPr bwMode="auto">
                        <a:xfrm>
                          <a:off x="0" y="0"/>
                          <a:ext cx="876298" cy="276224"/>
                        </a:xfrm>
                        <a:prstGeom prst="rect">
                          <a:avLst/>
                        </a:prstGeom>
                        <a:solidFill>
                          <a:schemeClr val="bg1"/>
                        </a:solidFill>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планы, отчеты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76" o:spid="_x0000_s1083" style="position:absolute;margin-left:-29.25pt;margin-top:413.7pt;width:69pt;height:21.75pt;z-index:-251593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" fillcolor="white [3212]" strokecolor="white [3212]" strokeweight="1pt">
                <v:textbox>
                  <w:txbxContent>
                    <w:p w:rsidR="00D602D4" w:rsidRDefault="000B4C86">
                      <w:pPr>
                        <w:jc w:val="center"/>
                        <w:rPr>
                          <w:sz w:val="16"/>
                          <w:szCs w:val="16"/>
                        </w:rPr>
                      </w:pPr>
                      <w:r>
                        <w:rPr>
                          <w:sz w:val="16"/>
                          <w:szCs w:val="16"/>
                        </w:rPr>
                        <w:t>планы, отчеты</w:t>
                      </w:r>
                    </w:p>
                  </w:txbxContent>
                </v:textbox>
                <w10:wrap anchorx="margin"/>
              </v:rect>
            </w:pict>
          </mc:Fallback>
        </mc:AlternateContent>
      </w:r>
      <w:r>
        <w:rPr>
          <w:noProof/>
          <w:lang w:eastAsia="ru-RU"/>
        </w:rPr>
        <mc:AlternateContent>
          <mc:Choice Requires="wps">
            <w:drawing>
              <wp:anchor distT="0" distB="0" distL="114300" distR="114300" simplePos="0" relativeHeight="251747328" behindDoc="0" locked="0" layoutInCell="1" allowOverlap="1">
                <wp:simplePos x="0" y="0"/>
                <wp:positionH relativeFrom="column">
                  <wp:posOffset>413385</wp:posOffset>
                </wp:positionH>
                <wp:positionV relativeFrom="paragraph">
                  <wp:posOffset>6406514</wp:posOffset>
                </wp:positionV>
                <wp:extent cx="10053637" cy="0"/>
                <wp:effectExtent l="3175" t="3175" r="3175" b="3175"/>
                <wp:wrapNone/>
                <wp:docPr id="116" name="Прямая соединительная линия 116"/>
                <wp:cNvGraphicFramePr/>
                <a:graphic xmlns:a="http://schemas.openxmlformats.org/drawingml/2006/main">
                  <a:graphicData uri="http://schemas.microsoft.com/office/word/2010/wordprocessingShape">
                    <wps:wsp>
                      <wps:cNvCnPr/>
                      <wps:spPr bwMode="auto">
                        <a:xfrm flipV="1">
                          <a:off x="0" y="0"/>
                          <a:ext cx="10053637"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635CC90" id="Прямая соединительная линия 116" o:spid="_x0000_s1026" style="position:absolute;flip:y;z-index:251747328;visibility:visible;mso-wrap-style:square;mso-wrap-distance-left:9pt;mso-wrap-distance-top:0;mso-wrap-distance-right:9pt;mso-wrap-distance-bottom:0;mso-position-horizontal:absolute;mso-position-horizontal-relative:text;mso-position-vertical:absolute;mso-position-vertical-relative:text" from="32.55pt,504.45pt" to="824.15pt,50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46304" behindDoc="0" locked="0" layoutInCell="1" allowOverlap="1">
                <wp:simplePos x="0" y="0"/>
                <wp:positionH relativeFrom="column">
                  <wp:posOffset>413385</wp:posOffset>
                </wp:positionH>
                <wp:positionV relativeFrom="paragraph">
                  <wp:posOffset>4787265</wp:posOffset>
                </wp:positionV>
                <wp:extent cx="0" cy="1628774"/>
                <wp:effectExtent l="3175" t="3175" r="3175" b="3175"/>
                <wp:wrapNone/>
                <wp:docPr id="117" name="Прямая соединительная линия 115"/>
                <wp:cNvGraphicFramePr/>
                <a:graphic xmlns:a="http://schemas.openxmlformats.org/drawingml/2006/main">
                  <a:graphicData uri="http://schemas.microsoft.com/office/word/2010/wordprocessingShape">
                    <wps:wsp>
                      <wps:cNvCnPr/>
                      <wps:spPr bwMode="auto">
                        <a:xfrm>
                          <a:off x="0" y="0"/>
                          <a:ext cx="0" cy="162877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A0649D3" id="Прямая соединительная линия 115" o:spid="_x0000_s1026" style="position:absolute;z-index:251746304;visibility:visible;mso-wrap-style:square;mso-wrap-distance-left:9pt;mso-wrap-distance-top:0;mso-wrap-distance-right:9pt;mso-wrap-distance-bottom:0;mso-position-horizontal:absolute;mso-position-horizontal-relative:text;mso-position-vertical:absolute;mso-position-vertical-relative:text" from="32.55pt,376.95pt" to="32.55pt,50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38112" behindDoc="0" locked="0" layoutInCell="1" allowOverlap="1">
                <wp:simplePos x="0" y="0"/>
                <wp:positionH relativeFrom="column">
                  <wp:posOffset>6118860</wp:posOffset>
                </wp:positionH>
                <wp:positionV relativeFrom="paragraph">
                  <wp:posOffset>-384810</wp:posOffset>
                </wp:positionV>
                <wp:extent cx="3562350" cy="19050"/>
                <wp:effectExtent l="0" t="0" r="19050" b="19050"/>
                <wp:wrapNone/>
                <wp:docPr id="118" name="Прямая соединительная линия 98"/>
                <wp:cNvGraphicFramePr/>
                <a:graphic xmlns:a="http://schemas.openxmlformats.org/drawingml/2006/main">
                  <a:graphicData uri="http://schemas.microsoft.com/office/word/2010/wordprocessingShape">
                    <wps:wsp>
                      <wps:cNvCnPr/>
                      <wps:spPr bwMode="auto">
                        <a:xfrm flipV="1">
                          <a:off x="0" y="0"/>
                          <a:ext cx="3562349" cy="1904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BB7872" id="Прямая соединительная линия 98" o:spid="_x0000_s1026" style="position:absolute;flip:y;z-index:251738112;visibility:visible;mso-wrap-style:square;mso-wrap-distance-left:9pt;mso-wrap-distance-top:0;mso-wrap-distance-right:9pt;mso-wrap-distance-bottom:0;mso-position-horizontal:absolute;mso-position-horizontal-relative:text;mso-position-vertical:absolute;mso-position-vertical-relative:text" from="481.8pt,-30.3pt" to="762.3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669504" behindDoc="0" locked="0" layoutInCell="1" allowOverlap="1">
                <wp:simplePos x="0" y="0"/>
                <wp:positionH relativeFrom="column">
                  <wp:posOffset>2185035</wp:posOffset>
                </wp:positionH>
                <wp:positionV relativeFrom="paragraph">
                  <wp:posOffset>3825240</wp:posOffset>
                </wp:positionV>
                <wp:extent cx="1657350" cy="438150"/>
                <wp:effectExtent l="0" t="0" r="19050" b="19050"/>
                <wp:wrapNone/>
                <wp:docPr id="119" name="Прямоугольник 12"/>
                <wp:cNvGraphicFramePr/>
                <a:graphic xmlns:a="http://schemas.openxmlformats.org/drawingml/2006/main">
                  <a:graphicData uri="http://schemas.microsoft.com/office/word/2010/wordprocessingShape">
                    <wps:wsp>
                      <wps:cNvSpPr/>
                      <wps:spPr bwMode="auto">
                        <a:xfrm>
                          <a:off x="0" y="0"/>
                          <a:ext cx="1657350" cy="438148"/>
                        </a:xfrm>
                        <a:prstGeom prst="rect">
                          <a:avLst/>
                        </a:prstGeom>
                        <a:solidFill>
                          <a:schemeClr val="accent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spacing w:line="240" w:lineRule="auto"/>
                              <w:contextualSpacing/>
                              <w:jc w:val="center"/>
                            </w:pPr>
                            <w:r>
                              <w:t>Дочерние Общества</w:t>
                            </w:r>
                          </w:p>
                          <w:p w:rsidR="00D602D4" w:rsidRDefault="000B4C86">
                            <w:pPr>
                              <w:spacing w:line="240" w:lineRule="auto"/>
                              <w:contextualSpacing/>
                              <w:jc w:val="center"/>
                            </w:pPr>
                            <w:r>
                              <w:t xml:space="preserve">(100%)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2" o:spid="_x0000_s1084" style="position:absolute;margin-left:172.05pt;margin-top:301.2pt;width:130.5pt;height:34.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" fillcolor="#f4b083 [1941]" strokecolor="#1f4d78 [1604]" strokeweight="1pt">
                <v:textbox>
                  <w:txbxContent>
                    <w:p w:rsidR="00D602D4" w:rsidRDefault="000B4C86">
                      <w:pPr>
                        <w:spacing w:line="240" w:lineRule="auto"/>
                        <w:contextualSpacing/>
                        <w:jc w:val="center"/>
                      </w:pPr>
                      <w:r>
                        <w:t>Дочерние Общества</w:t>
                      </w:r>
                    </w:p>
                    <w:p w:rsidR="00D602D4" w:rsidRDefault="000B4C86">
                      <w:pPr>
                        <w:spacing w:line="240" w:lineRule="auto"/>
                        <w:contextualSpacing/>
                        <w:jc w:val="center"/>
                      </w:pPr>
                      <w:r>
                        <w:t xml:space="preserve">(100%) </w:t>
                      </w:r>
                    </w:p>
                  </w:txbxContent>
                </v:textbox>
              </v:rect>
            </w:pict>
          </mc:Fallback>
        </mc:AlternateContent>
      </w:r>
      <w:r>
        <w:rPr>
          <w:noProof/>
          <w:lang w:eastAsia="ru-RU"/>
        </w:rPr>
        <mc:AlternateContent>
          <mc:Choice Requires="wps">
            <w:drawing>
              <wp:anchor distT="0" distB="0" distL="114300" distR="114300" simplePos="0" relativeHeight="251737088" behindDoc="1" locked="0" layoutInCell="1" allowOverlap="1">
                <wp:simplePos x="0" y="0"/>
                <wp:positionH relativeFrom="column">
                  <wp:posOffset>1965960</wp:posOffset>
                </wp:positionH>
                <wp:positionV relativeFrom="paragraph">
                  <wp:posOffset>5168265</wp:posOffset>
                </wp:positionV>
                <wp:extent cx="866775" cy="228600"/>
                <wp:effectExtent l="0" t="0" r="28575" b="19050"/>
                <wp:wrapNone/>
                <wp:docPr id="120" name="Прямоугольник 97"/>
                <wp:cNvGraphicFramePr/>
                <a:graphic xmlns:a="http://schemas.openxmlformats.org/drawingml/2006/main">
                  <a:graphicData uri="http://schemas.microsoft.com/office/word/2010/wordprocessingShape">
                    <wps:wsp>
                      <wps:cNvSpPr/>
                      <wps:spPr bwMode="auto">
                        <a:xfrm>
                          <a:off x="0" y="0"/>
                          <a:ext cx="866774" cy="22860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проверка ФХД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97" o:spid="_x0000_s1085" style="position:absolute;margin-left:154.8pt;margin-top:406.95pt;width:68.25pt;height:18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" fillcolor="white [3201]" strokecolor="white [3212]" strokeweight="1pt">
                <v:textbox>
                  <w:txbxContent>
                    <w:p w:rsidR="00D602D4" w:rsidRDefault="000B4C86">
                      <w:pPr>
                        <w:jc w:val="center"/>
                        <w:rPr>
                          <w:sz w:val="16"/>
                          <w:szCs w:val="16"/>
                        </w:rPr>
                      </w:pPr>
                      <w:r>
                        <w:rPr>
                          <w:sz w:val="16"/>
                          <w:szCs w:val="16"/>
                        </w:rPr>
                        <w:t>проверка ФХД</w:t>
                      </w:r>
                    </w:p>
                  </w:txbxContent>
                </v:textbox>
              </v:rect>
            </w:pict>
          </mc:Fallback>
        </mc:AlternateContent>
      </w:r>
      <w:r>
        <w:rPr>
          <w:noProof/>
          <w:lang w:eastAsia="ru-RU"/>
        </w:rPr>
        <mc:AlternateContent>
          <mc:Choice Requires="wps">
            <w:drawing>
              <wp:anchor distT="0" distB="0" distL="114300" distR="114300" simplePos="0" relativeHeight="251736064" behindDoc="0" locked="0" layoutInCell="1" allowOverlap="1">
                <wp:simplePos x="0" y="0"/>
                <wp:positionH relativeFrom="column">
                  <wp:posOffset>4556760</wp:posOffset>
                </wp:positionH>
                <wp:positionV relativeFrom="paragraph">
                  <wp:posOffset>3034665</wp:posOffset>
                </wp:positionV>
                <wp:extent cx="19050" cy="2343150"/>
                <wp:effectExtent l="76200" t="38100" r="57150" b="19050"/>
                <wp:wrapNone/>
                <wp:docPr id="121" name="Прямая со стрелкой 96"/>
                <wp:cNvGraphicFramePr/>
                <a:graphic xmlns:a="http://schemas.openxmlformats.org/drawingml/2006/main">
                  <a:graphicData uri="http://schemas.microsoft.com/office/word/2010/wordprocessingShape">
                    <wps:wsp>
                      <wps:cNvCnPr/>
                      <wps:spPr bwMode="auto">
                        <a:xfrm flipH="1" flipV="1">
                          <a:off x="0" y="0"/>
                          <a:ext cx="19049" cy="2343150"/>
                        </a:xfrm>
                        <a:prstGeom prst="straightConnector1">
                          <a:avLst/>
                        </a:prstGeom>
                        <a:ln>
                          <a:solidFill>
                            <a:schemeClr val="accent1"/>
                          </a:solidFill>
                          <a:miter lim="800000"/>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68E9C55" id="Прямая со стрелкой 96" o:spid="_x0000_s1026" type="#_x0000_t32" style="position:absolute;margin-left:358.8pt;margin-top:238.95pt;width:1.5pt;height:184.5pt;flip:x y;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35040" behindDoc="0" locked="0" layoutInCell="1" allowOverlap="1">
                <wp:simplePos x="0" y="0"/>
                <wp:positionH relativeFrom="column">
                  <wp:posOffset>1594485</wp:posOffset>
                </wp:positionH>
                <wp:positionV relativeFrom="paragraph">
                  <wp:posOffset>5368289</wp:posOffset>
                </wp:positionV>
                <wp:extent cx="2971800" cy="19050"/>
                <wp:effectExtent l="0" t="0" r="19050" b="19050"/>
                <wp:wrapNone/>
                <wp:docPr id="122" name="Прямая соединительная линия 94"/>
                <wp:cNvGraphicFramePr/>
                <a:graphic xmlns:a="http://schemas.openxmlformats.org/drawingml/2006/main">
                  <a:graphicData uri="http://schemas.microsoft.com/office/word/2010/wordprocessingShape">
                    <wps:wsp>
                      <wps:cNvCnPr/>
                      <wps:spPr bwMode="auto">
                        <a:xfrm flipV="1">
                          <a:off x="0" y="0"/>
                          <a:ext cx="2971800" cy="1904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74F886" id="Прямая соединительная линия 94" o:spid="_x0000_s1026" style="position:absolute;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55pt,422.7pt" to="359.55pt,4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34016" behindDoc="0" locked="0" layoutInCell="1" allowOverlap="1">
                <wp:simplePos x="0" y="0"/>
                <wp:positionH relativeFrom="column">
                  <wp:posOffset>1584960</wp:posOffset>
                </wp:positionH>
                <wp:positionV relativeFrom="paragraph">
                  <wp:posOffset>4825365</wp:posOffset>
                </wp:positionV>
                <wp:extent cx="0" cy="533400"/>
                <wp:effectExtent l="0" t="0" r="19050" b="19050"/>
                <wp:wrapNone/>
                <wp:docPr id="123" name="Прямая соединительная линия 93"/>
                <wp:cNvGraphicFramePr/>
                <a:graphic xmlns:a="http://schemas.openxmlformats.org/drawingml/2006/main">
                  <a:graphicData uri="http://schemas.microsoft.com/office/word/2010/wordprocessingShape">
                    <wps:wsp>
                      <wps:cNvCnPr/>
                      <wps:spPr bwMode="auto">
                        <a:xfrm>
                          <a:off x="0" y="0"/>
                          <a:ext cx="0" cy="53339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DF4E4AB" id="Прямая соединительная линия 93" o:spid="_x0000_s1026" style="position:absolute;z-index:251734016;visibility:visible;mso-wrap-style:square;mso-wrap-distance-left:9pt;mso-wrap-distance-top:0;mso-wrap-distance-right:9pt;mso-wrap-distance-bottom:0;mso-position-horizontal:absolute;mso-position-horizontal-relative:text;mso-position-vertical:absolute;mso-position-vertical-relative:text" from="124.8pt,379.95pt" to="124.8pt,4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28896" behindDoc="0" locked="0" layoutInCell="1" allowOverlap="1">
                <wp:simplePos x="0" y="0"/>
                <wp:positionH relativeFrom="column">
                  <wp:posOffset>1651635</wp:posOffset>
                </wp:positionH>
                <wp:positionV relativeFrom="paragraph">
                  <wp:posOffset>1310640</wp:posOffset>
                </wp:positionV>
                <wp:extent cx="877570" cy="9525"/>
                <wp:effectExtent l="0" t="0" r="17780" b="28575"/>
                <wp:wrapNone/>
                <wp:docPr id="124" name="Прямая соединительная линия 84"/>
                <wp:cNvGraphicFramePr/>
                <a:graphic xmlns:a="http://schemas.openxmlformats.org/drawingml/2006/main">
                  <a:graphicData uri="http://schemas.microsoft.com/office/word/2010/wordprocessingShape">
                    <wps:wsp>
                      <wps:cNvCnPr/>
                      <wps:spPr bwMode="auto">
                        <a:xfrm flipH="1">
                          <a:off x="0" y="0"/>
                          <a:ext cx="877569" cy="952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687F85" id="Прямая соединительная линия 84" o:spid="_x0000_s1026" style="position:absolute;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05pt,103.2pt" to="199.15pt,10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27872" behindDoc="1" locked="0" layoutInCell="1" allowOverlap="1">
                <wp:simplePos x="0" y="0"/>
                <wp:positionH relativeFrom="column">
                  <wp:posOffset>880110</wp:posOffset>
                </wp:positionH>
                <wp:positionV relativeFrom="paragraph">
                  <wp:posOffset>3253740</wp:posOffset>
                </wp:positionV>
                <wp:extent cx="838200" cy="561975"/>
                <wp:effectExtent l="0" t="0" r="19050" b="28575"/>
                <wp:wrapNone/>
                <wp:docPr id="125" name="Прямоугольник 83"/>
                <wp:cNvGraphicFramePr/>
                <a:graphic xmlns:a="http://schemas.openxmlformats.org/drawingml/2006/main">
                  <a:graphicData uri="http://schemas.microsoft.com/office/word/2010/wordprocessingShape">
                    <wps:wsp>
                      <wps:cNvSpPr/>
                      <wps:spPr bwMode="auto">
                        <a:xfrm>
                          <a:off x="0" y="0"/>
                          <a:ext cx="838198" cy="561974"/>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spacing w:line="240" w:lineRule="auto"/>
                              <w:contextualSpacing/>
                              <w:jc w:val="center"/>
                              <w:rPr>
                                <w:sz w:val="16"/>
                                <w:szCs w:val="16"/>
                              </w:rPr>
                            </w:pPr>
                            <w:r>
                              <w:rPr>
                                <w:sz w:val="16"/>
                                <w:szCs w:val="16"/>
                              </w:rPr>
                              <w:t>определение позиции по отдельным вопросам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83" o:spid="_x0000_s1086" style="position:absolute;margin-left:69.3pt;margin-top:256.2pt;width:66pt;height:44.2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" fillcolor="white [3201]" strokecolor="white [3212]" strokeweight="1pt">
                <v:textbox>
                  <w:txbxContent>
                    <w:p w:rsidR="00D602D4" w:rsidRDefault="000B4C86">
                      <w:pPr>
                        <w:spacing w:line="240" w:lineRule="auto"/>
                        <w:contextualSpacing/>
                        <w:jc w:val="center"/>
                        <w:rPr>
                          <w:sz w:val="16"/>
                          <w:szCs w:val="16"/>
                        </w:rPr>
                      </w:pPr>
                      <w:r>
                        <w:rPr>
                          <w:sz w:val="16"/>
                          <w:szCs w:val="16"/>
                        </w:rPr>
                        <w:t>определение позиции по отдельным вопросам</w:t>
                      </w:r>
                    </w:p>
                  </w:txbxContent>
                </v:textbox>
              </v:rect>
            </w:pict>
          </mc:Fallback>
        </mc:AlternateContent>
      </w:r>
      <w:r>
        <w:rPr>
          <w:noProof/>
          <w:lang w:eastAsia="ru-RU"/>
        </w:rPr>
        <mc:AlternateContent>
          <mc:Choice Requires="wps">
            <w:drawing>
              <wp:anchor distT="0" distB="0" distL="114300" distR="114300" simplePos="0" relativeHeight="251732992" behindDoc="0" locked="0" layoutInCell="1" allowOverlap="1">
                <wp:simplePos x="0" y="0"/>
                <wp:positionH relativeFrom="column">
                  <wp:posOffset>1661160</wp:posOffset>
                </wp:positionH>
                <wp:positionV relativeFrom="paragraph">
                  <wp:posOffset>4044315</wp:posOffset>
                </wp:positionV>
                <wp:extent cx="533400" cy="0"/>
                <wp:effectExtent l="0" t="76200" r="19050" b="95250"/>
                <wp:wrapNone/>
                <wp:docPr id="126" name="Прямая со стрелкой 91"/>
                <wp:cNvGraphicFramePr/>
                <a:graphic xmlns:a="http://schemas.openxmlformats.org/drawingml/2006/main">
                  <a:graphicData uri="http://schemas.microsoft.com/office/word/2010/wordprocessingShape">
                    <wps:wsp>
                      <wps:cNvCnPr/>
                      <wps:spPr bwMode="auto">
                        <a:xfrm>
                          <a:off x="0" y="0"/>
                          <a:ext cx="53339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0E647C" id="Прямая со стрелкой 91" o:spid="_x0000_s1026" type="#_x0000_t32" style="position:absolute;margin-left:130.8pt;margin-top:318.45pt;width:42pt;height:0;z-index:251732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31968" behindDoc="0" locked="0" layoutInCell="1" allowOverlap="1">
                <wp:simplePos x="0" y="0"/>
                <wp:positionH relativeFrom="column">
                  <wp:posOffset>3099435</wp:posOffset>
                </wp:positionH>
                <wp:positionV relativeFrom="paragraph">
                  <wp:posOffset>3110865</wp:posOffset>
                </wp:positionV>
                <wp:extent cx="9525" cy="657225"/>
                <wp:effectExtent l="76200" t="38100" r="66675" b="28575"/>
                <wp:wrapNone/>
                <wp:docPr id="127" name="Прямая со стрелкой 89"/>
                <wp:cNvGraphicFramePr/>
                <a:graphic xmlns:a="http://schemas.openxmlformats.org/drawingml/2006/main">
                  <a:graphicData uri="http://schemas.microsoft.com/office/word/2010/wordprocessingShape">
                    <wps:wsp>
                      <wps:cNvCnPr/>
                      <wps:spPr bwMode="auto">
                        <a:xfrm flipH="1" flipV="1">
                          <a:off x="0" y="0"/>
                          <a:ext cx="9524" cy="657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A45900" id="Прямая со стрелкой 89" o:spid="_x0000_s1026" type="#_x0000_t32" style="position:absolute;margin-left:244.05pt;margin-top:244.95pt;width:.75pt;height:51.75pt;flip:x y;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730944" behindDoc="0" locked="0" layoutInCell="1" allowOverlap="1">
                <wp:simplePos x="0" y="0"/>
                <wp:positionH relativeFrom="column">
                  <wp:posOffset>2870835</wp:posOffset>
                </wp:positionH>
                <wp:positionV relativeFrom="paragraph">
                  <wp:posOffset>3110865</wp:posOffset>
                </wp:positionV>
                <wp:extent cx="0" cy="666750"/>
                <wp:effectExtent l="76200" t="0" r="95250" b="57150"/>
                <wp:wrapNone/>
                <wp:docPr id="128" name="Прямая со стрелкой 86"/>
                <wp:cNvGraphicFramePr/>
                <a:graphic xmlns:a="http://schemas.openxmlformats.org/drawingml/2006/main">
                  <a:graphicData uri="http://schemas.microsoft.com/office/word/2010/wordprocessingShape">
                    <wps:wsp>
                      <wps:cNvCnPr/>
                      <wps:spPr bwMode="auto">
                        <a:xfrm>
                          <a:off x="0" y="0"/>
                          <a:ext cx="0" cy="6667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6E549D" id="Прямая со стрелкой 86" o:spid="_x0000_s1026" type="#_x0000_t32" style="position:absolute;margin-left:226.05pt;margin-top:244.95pt;width:0;height:52.5pt;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699200" behindDoc="1" locked="0" layoutInCell="1" allowOverlap="1">
                <wp:simplePos x="0" y="0"/>
                <wp:positionH relativeFrom="column">
                  <wp:posOffset>2175510</wp:posOffset>
                </wp:positionH>
                <wp:positionV relativeFrom="paragraph">
                  <wp:posOffset>3215640</wp:posOffset>
                </wp:positionV>
                <wp:extent cx="752475" cy="419100"/>
                <wp:effectExtent l="0" t="0" r="28575" b="19050"/>
                <wp:wrapNone/>
                <wp:docPr id="129" name="Прямоугольник 45"/>
                <wp:cNvGraphicFramePr/>
                <a:graphic xmlns:a="http://schemas.openxmlformats.org/drawingml/2006/main">
                  <a:graphicData uri="http://schemas.microsoft.com/office/word/2010/wordprocessingShape">
                    <wps:wsp>
                      <wps:cNvSpPr/>
                      <wps:spPr bwMode="auto">
                        <a:xfrm>
                          <a:off x="0" y="0"/>
                          <a:ext cx="752474" cy="419099"/>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jc w:val="center"/>
                              <w:rPr>
                                <w:sz w:val="16"/>
                                <w:szCs w:val="16"/>
                              </w:rPr>
                            </w:pPr>
                            <w:r>
                              <w:rPr>
                                <w:sz w:val="16"/>
                                <w:szCs w:val="16"/>
                              </w:rPr>
                              <w:t>функции ед. акционера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5" o:spid="_x0000_s1087" style="position:absolute;margin-left:171.3pt;margin-top:253.2pt;width:59.25pt;height:33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" fillcolor="white [3201]" strokecolor="white [3212]" strokeweight="1pt">
                <v:textbox>
                  <w:txbxContent>
                    <w:p w:rsidR="00D602D4" w:rsidRDefault="000B4C86">
                      <w:pPr>
                        <w:jc w:val="center"/>
                        <w:rPr>
                          <w:sz w:val="16"/>
                          <w:szCs w:val="16"/>
                        </w:rPr>
                      </w:pPr>
                      <w:r>
                        <w:rPr>
                          <w:sz w:val="16"/>
                          <w:szCs w:val="16"/>
                        </w:rPr>
                        <w:t>функции ед. акционера</w:t>
                      </w:r>
                    </w:p>
                  </w:txbxContent>
                </v:textbox>
              </v:rect>
            </w:pict>
          </mc:Fallback>
        </mc:AlternateContent>
      </w:r>
      <w:r>
        <w:rPr>
          <w:noProof/>
          <w:lang w:eastAsia="ru-RU"/>
        </w:rPr>
        <mc:AlternateContent>
          <mc:Choice Requires="wps">
            <w:drawing>
              <wp:anchor distT="0" distB="0" distL="114300" distR="114300" simplePos="0" relativeHeight="251729920" behindDoc="0" locked="0" layoutInCell="1" allowOverlap="1">
                <wp:simplePos x="0" y="0"/>
                <wp:positionH relativeFrom="column">
                  <wp:posOffset>1651635</wp:posOffset>
                </wp:positionH>
                <wp:positionV relativeFrom="paragraph">
                  <wp:posOffset>1339214</wp:posOffset>
                </wp:positionV>
                <wp:extent cx="9525" cy="2714625"/>
                <wp:effectExtent l="0" t="0" r="28575" b="28575"/>
                <wp:wrapNone/>
                <wp:docPr id="130" name="Прямая соединительная линия 85"/>
                <wp:cNvGraphicFramePr/>
                <a:graphic xmlns:a="http://schemas.openxmlformats.org/drawingml/2006/main">
                  <a:graphicData uri="http://schemas.microsoft.com/office/word/2010/wordprocessingShape">
                    <wps:wsp>
                      <wps:cNvCnPr/>
                      <wps:spPr bwMode="auto">
                        <a:xfrm flipH="1">
                          <a:off x="0" y="0"/>
                          <a:ext cx="9524" cy="27146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3249AFB" id="Прямая соединительная линия 85" o:spid="_x0000_s1026" style="position:absolute;flip:x;z-index:251729920;visibility:visible;mso-wrap-style:square;mso-wrap-distance-left:9pt;mso-wrap-distance-top:0;mso-wrap-distance-right:9pt;mso-wrap-distance-bottom:0;mso-position-horizontal:absolute;mso-position-horizontal-relative:text;mso-position-vertical:absolute;mso-position-vertical-relative:text" from="130.05pt,105.45pt" to="130.8pt,3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711488" behindDoc="1" locked="0" layoutInCell="1" allowOverlap="1">
                <wp:simplePos x="0" y="0"/>
                <wp:positionH relativeFrom="column">
                  <wp:posOffset>613410</wp:posOffset>
                </wp:positionH>
                <wp:positionV relativeFrom="paragraph">
                  <wp:posOffset>1186815</wp:posOffset>
                </wp:positionV>
                <wp:extent cx="1133475" cy="742950"/>
                <wp:effectExtent l="0" t="0" r="28575" b="19050"/>
                <wp:wrapNone/>
                <wp:docPr id="131" name="Прямоугольник 63"/>
                <wp:cNvGraphicFramePr/>
                <a:graphic xmlns:a="http://schemas.openxmlformats.org/drawingml/2006/main">
                  <a:graphicData uri="http://schemas.microsoft.com/office/word/2010/wordprocessingShape">
                    <wps:wsp>
                      <wps:cNvSpPr/>
                      <wps:spPr bwMode="auto">
                        <a:xfrm>
                          <a:off x="0" y="0"/>
                          <a:ext cx="1133474" cy="74295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D602D4" w:rsidRDefault="000B4C86">
                            <w:pPr>
                              <w:spacing w:line="240" w:lineRule="auto"/>
                              <w:contextualSpacing/>
                              <w:jc w:val="center"/>
                              <w:rPr>
                                <w:sz w:val="16"/>
                                <w:szCs w:val="16"/>
                              </w:rPr>
                            </w:pPr>
                            <w:r>
                              <w:rPr>
                                <w:sz w:val="16"/>
                                <w:szCs w:val="16"/>
                              </w:rPr>
                              <w:t xml:space="preserve">согласование руководителя, бюджета, </w:t>
                            </w:r>
                          </w:p>
                          <w:p w:rsidR="00D602D4" w:rsidRDefault="000B4C86">
                            <w:pPr>
                              <w:spacing w:line="240" w:lineRule="auto"/>
                              <w:contextualSpacing/>
                              <w:jc w:val="center"/>
                              <w:rPr>
                                <w:sz w:val="16"/>
                                <w:szCs w:val="16"/>
                              </w:rPr>
                            </w:pPr>
                            <w:r>
                              <w:rPr>
                                <w:sz w:val="16"/>
                                <w:szCs w:val="16"/>
                              </w:rPr>
                              <w:t>положения о департаменте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63" o:spid="_x0000_s1088" style="position:absolute;margin-left:48.3pt;margin-top:93.45pt;width:89.25pt;height:58.5pt;z-index:-251604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" fillcolor="white [3201]" strokecolor="white [3212]" strokeweight="1pt">
                <v:textbox>
                  <w:txbxContent>
                    <w:p w:rsidR="00D602D4" w:rsidRDefault="000B4C86">
                      <w:pPr>
                        <w:spacing w:line="240" w:lineRule="auto"/>
                        <w:contextualSpacing/>
                        <w:jc w:val="center"/>
                        <w:rPr>
                          <w:sz w:val="16"/>
                          <w:szCs w:val="16"/>
                        </w:rPr>
                      </w:pPr>
                      <w:r>
                        <w:rPr>
                          <w:sz w:val="16"/>
                          <w:szCs w:val="16"/>
                        </w:rPr>
                        <w:t xml:space="preserve">согласование руководителя, бюджета, </w:t>
                      </w:r>
                    </w:p>
                    <w:p w:rsidR="00D602D4" w:rsidRDefault="000B4C86">
                      <w:pPr>
                        <w:spacing w:line="240" w:lineRule="auto"/>
                        <w:contextualSpacing/>
                        <w:jc w:val="center"/>
                        <w:rPr>
                          <w:sz w:val="16"/>
                          <w:szCs w:val="16"/>
                        </w:rPr>
                      </w:pPr>
                      <w:r>
                        <w:rPr>
                          <w:sz w:val="16"/>
                          <w:szCs w:val="16"/>
                        </w:rPr>
                        <w:t>положения о департаменте</w:t>
                      </w:r>
                    </w:p>
                  </w:txbxContent>
                </v:textbox>
              </v:rect>
            </w:pict>
          </mc:Fallback>
        </mc:AlternateContent>
      </w:r>
      <w:r>
        <w:rPr>
          <w:noProof/>
          <w:lang w:eastAsia="ru-RU"/>
        </w:rPr>
        <mc:AlternateContent>
          <mc:Choice Requires="wps">
            <w:drawing>
              <wp:anchor distT="0" distB="0" distL="114300" distR="114300" simplePos="0" relativeHeight="251679744" behindDoc="0" locked="0" layoutInCell="1" allowOverlap="1">
                <wp:simplePos x="0" y="0"/>
                <wp:positionH relativeFrom="column">
                  <wp:posOffset>1291590</wp:posOffset>
                </wp:positionH>
                <wp:positionV relativeFrom="paragraph">
                  <wp:posOffset>591185</wp:posOffset>
                </wp:positionV>
                <wp:extent cx="595985" cy="259384"/>
                <wp:effectExtent l="0" t="0" r="13970" b="26670"/>
                <wp:wrapNone/>
                <wp:docPr id="132" name="Прямоугольник 28"/>
                <wp:cNvGraphicFramePr/>
                <a:graphic xmlns:a="http://schemas.openxmlformats.org/drawingml/2006/main">
                  <a:graphicData uri="http://schemas.microsoft.com/office/word/2010/wordprocessingShape">
                    <wps:wsp>
                      <wps:cNvSpPr/>
                      <wps:spPr bwMode="auto">
                        <a:xfrm>
                          <a:off x="0" y="0"/>
                          <a:ext cx="595984" cy="25938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rPr>
                                <w:color w:val="3B3838" w:themeColor="background2" w:themeShade="40"/>
                                <w:sz w:val="16"/>
                                <w:szCs w:val="16"/>
                              </w:rPr>
                            </w:pPr>
                            <w:r>
                              <w:rPr>
                                <w:color w:val="3B3838" w:themeColor="background2" w:themeShade="40"/>
                                <w:sz w:val="16"/>
                                <w:szCs w:val="16"/>
                              </w:rPr>
                              <w:t>отчет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8" o:spid="_x0000_s1089" style="position:absolute;margin-left:101.7pt;margin-top:46.55pt;width:46.95pt;height:20.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" fillcolor="white [3212]" strokecolor="white [3212]" strokeweight="1pt">
                <v:textbox>
                  <w:txbxContent>
                    <w:p w:rsidR="00D602D4" w:rsidRDefault="000B4C86">
                      <w:pPr>
                        <w:jc w:val="center"/>
                        <w:rPr>
                          <w:color w:val="3B3838" w:themeColor="background2" w:themeShade="40"/>
                          <w:sz w:val="16"/>
                          <w:szCs w:val="16"/>
                        </w:rPr>
                      </w:pPr>
                      <w:r>
                        <w:rPr>
                          <w:color w:val="3B3838" w:themeColor="background2" w:themeShade="40"/>
                          <w:sz w:val="16"/>
                          <w:szCs w:val="16"/>
                        </w:rPr>
                        <w:t>отчет</w:t>
                      </w:r>
                    </w:p>
                  </w:txbxContent>
                </v:textbox>
              </v:rect>
            </w:pict>
          </mc:Fallback>
        </mc:AlternateContent>
      </w:r>
      <w:r>
        <w:rPr>
          <w:noProof/>
          <w:lang w:eastAsia="ru-RU"/>
        </w:rPr>
        <mc:AlternateContent>
          <mc:Choice Requires="wps">
            <w:drawing>
              <wp:anchor distT="0" distB="0" distL="114300" distR="114300" simplePos="0" relativeHeight="251710464" behindDoc="0" locked="0" layoutInCell="1" allowOverlap="1">
                <wp:simplePos x="0" y="0"/>
                <wp:positionH relativeFrom="column">
                  <wp:posOffset>308610</wp:posOffset>
                </wp:positionH>
                <wp:positionV relativeFrom="paragraph">
                  <wp:posOffset>882015</wp:posOffset>
                </wp:positionV>
                <wp:extent cx="2247900" cy="9525"/>
                <wp:effectExtent l="0" t="76200" r="19050" b="85725"/>
                <wp:wrapNone/>
                <wp:docPr id="133" name="Прямая со стрелкой 62"/>
                <wp:cNvGraphicFramePr/>
                <a:graphic xmlns:a="http://schemas.openxmlformats.org/drawingml/2006/main">
                  <a:graphicData uri="http://schemas.microsoft.com/office/word/2010/wordprocessingShape">
                    <wps:wsp>
                      <wps:cNvCnPr/>
                      <wps:spPr bwMode="auto">
                        <a:xfrm flipV="1">
                          <a:off x="0" y="0"/>
                          <a:ext cx="2247899" cy="95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5C3662A" id="Прямая со стрелкой 62" o:spid="_x0000_s1026" type="#_x0000_t32" style="position:absolute;margin-left:24.3pt;margin-top:69.45pt;width:177pt;height:.75pt;flip:y;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674624" behindDoc="0" locked="0" layoutInCell="1" allowOverlap="1">
                <wp:simplePos x="0" y="0"/>
                <wp:positionH relativeFrom="column">
                  <wp:posOffset>308610</wp:posOffset>
                </wp:positionH>
                <wp:positionV relativeFrom="paragraph">
                  <wp:posOffset>882015</wp:posOffset>
                </wp:positionV>
                <wp:extent cx="9525" cy="3238500"/>
                <wp:effectExtent l="0" t="0" r="28575" b="19050"/>
                <wp:wrapNone/>
                <wp:docPr id="134" name="Прямая соединительная линия 23"/>
                <wp:cNvGraphicFramePr/>
                <a:graphic xmlns:a="http://schemas.openxmlformats.org/drawingml/2006/main">
                  <a:graphicData uri="http://schemas.microsoft.com/office/word/2010/wordprocessingShape">
                    <wps:wsp>
                      <wps:cNvCnPr/>
                      <wps:spPr bwMode="auto">
                        <a:xfrm flipH="1" flipV="1">
                          <a:off x="0" y="0"/>
                          <a:ext cx="9524" cy="323849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DEBD635" id="Прямая соединительная линия 23" o:spid="_x0000_s1026" style="position:absolute;flip:x y;z-index:251674624;visibility:visible;mso-wrap-style:square;mso-wrap-distance-left:9pt;mso-wrap-distance-top:0;mso-wrap-distance-right:9pt;mso-wrap-distance-bottom:0;mso-position-horizontal:absolute;mso-position-horizontal-relative:text;mso-position-vertical:absolute;mso-position-vertical-relative:text" from="24.3pt,69.45pt" to="25.05pt,3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676672" behindDoc="0" locked="0" layoutInCell="1" allowOverlap="1">
                <wp:simplePos x="0" y="0"/>
                <wp:positionH relativeFrom="column">
                  <wp:posOffset>813435</wp:posOffset>
                </wp:positionH>
                <wp:positionV relativeFrom="paragraph">
                  <wp:posOffset>1139190</wp:posOffset>
                </wp:positionV>
                <wp:extent cx="1715770" cy="9525"/>
                <wp:effectExtent l="0" t="0" r="17780" b="28575"/>
                <wp:wrapNone/>
                <wp:docPr id="135" name="Прямая соединительная линия 25"/>
                <wp:cNvGraphicFramePr/>
                <a:graphic xmlns:a="http://schemas.openxmlformats.org/drawingml/2006/main">
                  <a:graphicData uri="http://schemas.microsoft.com/office/word/2010/wordprocessingShape">
                    <wps:wsp>
                      <wps:cNvCnPr/>
                      <wps:spPr bwMode="auto">
                        <a:xfrm flipH="1">
                          <a:off x="0" y="0"/>
                          <a:ext cx="1715769" cy="952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6086239" id="Прямая соединительная линия 25"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05pt,89.7pt" to="199.15pt,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" strokecolor="#5b9bd5 [3204]" strokeweight=".5pt">
                <v:stroke joinstyle="miter"/>
              </v:line>
            </w:pict>
          </mc:Fallback>
        </mc:AlternateContent>
      </w:r>
      <w:r>
        <w:rPr>
          <w:noProof/>
          <w:lang w:eastAsia="ru-RU"/>
        </w:rPr>
        <mc:AlternateContent>
          <mc:Choice Requires="wps">
            <w:drawing>
              <wp:anchor distT="0" distB="0" distL="114300" distR="114300" simplePos="0" relativeHeight="251678720" behindDoc="0" locked="0" layoutInCell="1" allowOverlap="1">
                <wp:simplePos x="0" y="0"/>
                <wp:positionH relativeFrom="column">
                  <wp:posOffset>799465</wp:posOffset>
                </wp:positionH>
                <wp:positionV relativeFrom="paragraph">
                  <wp:posOffset>1135380</wp:posOffset>
                </wp:positionV>
                <wp:extent cx="0" cy="3024835"/>
                <wp:effectExtent l="76200" t="0" r="57150" b="61594"/>
                <wp:wrapNone/>
                <wp:docPr id="136" name="Прямая со стрелкой 27"/>
                <wp:cNvGraphicFramePr/>
                <a:graphic xmlns:a="http://schemas.openxmlformats.org/drawingml/2006/main">
                  <a:graphicData uri="http://schemas.microsoft.com/office/word/2010/wordprocessingShape">
                    <wps:wsp>
                      <wps:cNvCnPr/>
                      <wps:spPr bwMode="auto">
                        <a:xfrm>
                          <a:off x="0" y="0"/>
                          <a:ext cx="0" cy="30248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0161117" id="Прямая со стрелкой 27" o:spid="_x0000_s1026" type="#_x0000_t32" style="position:absolute;margin-left:62.95pt;margin-top:89.4pt;width:0;height:238.2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665408" behindDoc="0" locked="0" layoutInCell="1" allowOverlap="1">
                <wp:simplePos x="0" y="0"/>
                <wp:positionH relativeFrom="column">
                  <wp:posOffset>-230800</wp:posOffset>
                </wp:positionH>
                <wp:positionV relativeFrom="paragraph">
                  <wp:posOffset>4177665</wp:posOffset>
                </wp:positionV>
                <wp:extent cx="2118375" cy="609600"/>
                <wp:effectExtent l="6350" t="6350" r="6350" b="6350"/>
                <wp:wrapNone/>
                <wp:docPr id="137" name="Прямоугольник: скругленные углы 8"/>
                <wp:cNvGraphicFramePr/>
                <a:graphic xmlns:a="http://schemas.openxmlformats.org/drawingml/2006/main">
                  <a:graphicData uri="http://schemas.microsoft.com/office/word/2010/wordprocessingShape">
                    <wps:wsp>
                      <wps:cNvSpPr/>
                      <wps:spPr bwMode="auto">
                        <a:xfrm>
                          <a:off x="0" y="0"/>
                          <a:ext cx="2118375" cy="609599"/>
                        </a:xfrm>
                        <a:prstGeom prst="roundRect">
                          <a:avLst>
                            <a:gd name="adj" fmla="val 16667"/>
                          </a:avLst>
                        </a:prstGeom>
                        <a:solidFill>
                          <a:schemeClr val="accent1">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pPr>
                            <w:r>
                              <w:t>Департамент внутреннего аудита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Прямоугольник: скругленные углы 8" o:spid="_x0000_s1090" style="position:absolute;margin-left:-18.15pt;margin-top:328.95pt;width:166.8pt;height:48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" fillcolor="#9cc2e5 [1940]" strokecolor="#1f4d78 [1604]" strokeweight="1pt">
                <v:stroke joinstyle="miter"/>
                <v:textbox>
                  <w:txbxContent>
                    <w:p w:rsidR="00D602D4" w:rsidRDefault="000B4C86">
                      <w:pPr>
                        <w:jc w:val="center"/>
                      </w:pPr>
                      <w:r>
                        <w:t>Департамент внутреннего аудита</w:t>
                      </w:r>
                    </w:p>
                  </w:txbxContent>
                </v:textbox>
              </v:roundrect>
            </w:pict>
          </mc:Fallback>
        </mc:AlternateContent>
      </w:r>
      <w:r>
        <w:rPr>
          <w:noProof/>
          <w:lang w:eastAsia="ru-RU"/>
        </w:rPr>
        <mc:AlternateContent>
          <mc:Choice Requires="wps">
            <w:drawing>
              <wp:anchor distT="0" distB="0" distL="114300" distR="114300" simplePos="0" relativeHeight="251656189" behindDoc="0" locked="0" layoutInCell="1" allowOverlap="1">
                <wp:simplePos x="0" y="0"/>
                <wp:positionH relativeFrom="column">
                  <wp:posOffset>5061585</wp:posOffset>
                </wp:positionH>
                <wp:positionV relativeFrom="paragraph">
                  <wp:posOffset>148590</wp:posOffset>
                </wp:positionV>
                <wp:extent cx="552450" cy="342900"/>
                <wp:effectExtent l="0" t="0" r="19050" b="19050"/>
                <wp:wrapNone/>
                <wp:docPr id="138" name="Прямоугольник 16"/>
                <wp:cNvGraphicFramePr/>
                <a:graphic xmlns:a="http://schemas.openxmlformats.org/drawingml/2006/main">
                  <a:graphicData uri="http://schemas.microsoft.com/office/word/2010/wordprocessingShape">
                    <wps:wsp>
                      <wps:cNvSpPr/>
                      <wps:spPr bwMode="auto">
                        <a:xfrm>
                          <a:off x="0" y="0"/>
                          <a:ext cx="552449" cy="3429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rPr>
                                <w:color w:val="3B3838" w:themeColor="background2" w:themeShade="40"/>
                                <w:sz w:val="16"/>
                                <w:szCs w:val="16"/>
                              </w:rPr>
                            </w:pPr>
                            <w:r>
                              <w:rPr>
                                <w:color w:val="3B3838" w:themeColor="background2" w:themeShade="40"/>
                                <w:sz w:val="16"/>
                                <w:szCs w:val="16"/>
                              </w:rPr>
                              <w:t>отчет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6" o:spid="_x0000_s1091" style="position:absolute;margin-left:398.55pt;margin-top:11.7pt;width:43.5pt;height:27pt;z-index:251656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" fillcolor="white [3212]" strokecolor="white [3212]" strokeweight="1pt">
                <v:textbox>
                  <w:txbxContent>
                    <w:p w:rsidR="00D602D4" w:rsidRDefault="000B4C86">
                      <w:pPr>
                        <w:rPr>
                          <w:color w:val="3B3838" w:themeColor="background2" w:themeShade="40"/>
                          <w:sz w:val="16"/>
                          <w:szCs w:val="16"/>
                        </w:rPr>
                      </w:pPr>
                      <w:r>
                        <w:rPr>
                          <w:color w:val="3B3838" w:themeColor="background2" w:themeShade="40"/>
                          <w:sz w:val="16"/>
                          <w:szCs w:val="16"/>
                        </w:rPr>
                        <w:t>отчет</w:t>
                      </w:r>
                    </w:p>
                  </w:txbxContent>
                </v:textbox>
              </v:rect>
            </w:pict>
          </mc:Fallback>
        </mc:AlternateContent>
      </w:r>
      <w:r>
        <w:rPr>
          <w:noProof/>
          <w:lang w:eastAsia="ru-RU"/>
        </w:rPr>
        <mc:AlternateContent>
          <mc:Choice Requires="wps">
            <w:drawing>
              <wp:anchor distT="0" distB="0" distL="114300" distR="114300" simplePos="0" relativeHeight="251655164" behindDoc="1" locked="0" layoutInCell="1" allowOverlap="1">
                <wp:simplePos x="0" y="0"/>
                <wp:positionH relativeFrom="column">
                  <wp:posOffset>3432810</wp:posOffset>
                </wp:positionH>
                <wp:positionV relativeFrom="paragraph">
                  <wp:posOffset>81915</wp:posOffset>
                </wp:positionV>
                <wp:extent cx="800100" cy="533400"/>
                <wp:effectExtent l="0" t="0" r="0" b="0"/>
                <wp:wrapTight wrapText="bothSides">
                  <wp:wrapPolygon edited="1">
                    <wp:start x="0" y="0"/>
                    <wp:lineTo x="0" y="20829"/>
                    <wp:lineTo x="21086" y="20829"/>
                    <wp:lineTo x="21086" y="0"/>
                    <wp:lineTo x="0" y="0"/>
                  </wp:wrapPolygon>
                </wp:wrapTight>
                <wp:docPr id="139" name="Прямоугольник 19"/>
                <wp:cNvGraphicFramePr/>
                <a:graphic xmlns:a="http://schemas.openxmlformats.org/drawingml/2006/main">
                  <a:graphicData uri="http://schemas.microsoft.com/office/word/2010/wordprocessingShape">
                    <wps:wsp>
                      <wps:cNvSpPr/>
                      <wps:spPr bwMode="auto">
                        <a:xfrm>
                          <a:off x="0" y="0"/>
                          <a:ext cx="800100" cy="533399"/>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D602D4" w:rsidRDefault="000B4C86">
                            <w:pPr>
                              <w:spacing w:line="240" w:lineRule="auto"/>
                              <w:contextualSpacing/>
                              <w:jc w:val="center"/>
                              <w:rPr>
                                <w:sz w:val="16"/>
                                <w:szCs w:val="16"/>
                              </w:rPr>
                            </w:pPr>
                            <w:r>
                              <w:rPr>
                                <w:sz w:val="16"/>
                                <w:szCs w:val="16"/>
                              </w:rPr>
                              <w:t>избрание/</w:t>
                            </w:r>
                          </w:p>
                          <w:p w:rsidR="00D602D4" w:rsidRDefault="000B4C86">
                            <w:pPr>
                              <w:spacing w:line="240" w:lineRule="auto"/>
                              <w:contextualSpacing/>
                              <w:jc w:val="center"/>
                              <w:rPr>
                                <w:sz w:val="16"/>
                                <w:szCs w:val="16"/>
                              </w:rPr>
                            </w:pPr>
                            <w:r>
                              <w:rPr>
                                <w:sz w:val="16"/>
                                <w:szCs w:val="16"/>
                              </w:rPr>
                              <w:t>прекращение полномочий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9" o:spid="_x0000_s1092" style="position:absolute;margin-left:270.3pt;margin-top:6.45pt;width:63pt;height:42pt;z-index:-251661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wrapcoords="0 0 0 20829 21086 20829 21086 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" fillcolor="white [3201]" stroked="f" strokeweight="1pt">
                <v:textbox>
                  <w:txbxContent>
                    <w:p w:rsidR="00D602D4" w:rsidRDefault="000B4C86">
                      <w:pPr>
                        <w:spacing w:line="240" w:lineRule="auto"/>
                        <w:contextualSpacing/>
                        <w:jc w:val="center"/>
                        <w:rPr>
                          <w:sz w:val="16"/>
                          <w:szCs w:val="16"/>
                        </w:rPr>
                      </w:pPr>
                      <w:r>
                        <w:rPr>
                          <w:sz w:val="16"/>
                          <w:szCs w:val="16"/>
                        </w:rPr>
                        <w:t>избрание/</w:t>
                      </w:r>
                    </w:p>
                    <w:p w:rsidR="00D602D4" w:rsidRDefault="000B4C86">
                      <w:pPr>
                        <w:spacing w:line="240" w:lineRule="auto"/>
                        <w:contextualSpacing/>
                        <w:jc w:val="center"/>
                        <w:rPr>
                          <w:sz w:val="16"/>
                          <w:szCs w:val="16"/>
                        </w:rPr>
                      </w:pPr>
                      <w:r>
                        <w:rPr>
                          <w:sz w:val="16"/>
                          <w:szCs w:val="16"/>
                        </w:rPr>
                        <w:t>прекращение полномочий</w:t>
                      </w:r>
                    </w:p>
                  </w:txbxContent>
                </v:textbox>
                <w10:wrap type="tight"/>
              </v:rect>
            </w:pict>
          </mc:Fallback>
        </mc:AlternateContent>
      </w:r>
      <w:r>
        <w:rPr>
          <w:noProof/>
          <w:lang w:eastAsia="ru-RU"/>
        </w:rPr>
        <mc:AlternateContent>
          <mc:Choice Requires="wps">
            <w:drawing>
              <wp:anchor distT="0" distB="0" distL="114300" distR="114300" simplePos="0" relativeHeight="251689984" behindDoc="0" locked="0" layoutInCell="1" allowOverlap="1">
                <wp:simplePos x="0" y="0"/>
                <wp:positionH relativeFrom="column">
                  <wp:posOffset>4271010</wp:posOffset>
                </wp:positionH>
                <wp:positionV relativeFrom="paragraph">
                  <wp:posOffset>-22860</wp:posOffset>
                </wp:positionV>
                <wp:extent cx="0" cy="695325"/>
                <wp:effectExtent l="76200" t="0" r="57150" b="47625"/>
                <wp:wrapNone/>
                <wp:docPr id="140" name="Прямая со стрелкой 17"/>
                <wp:cNvGraphicFramePr/>
                <a:graphic xmlns:a="http://schemas.openxmlformats.org/drawingml/2006/main">
                  <a:graphicData uri="http://schemas.microsoft.com/office/word/2010/wordprocessingShape">
                    <wps:wsp>
                      <wps:cNvCnPr/>
                      <wps:spPr bwMode="auto">
                        <a:xfrm>
                          <a:off x="0" y="0"/>
                          <a:ext cx="0" cy="6953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64D905" id="Прямая со стрелкой 17" o:spid="_x0000_s1026" type="#_x0000_t32" style="position:absolute;margin-left:336.3pt;margin-top:-1.8pt;width:0;height:54.75pt;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691008" behindDoc="0" locked="0" layoutInCell="1" allowOverlap="1">
                <wp:simplePos x="0" y="0"/>
                <wp:positionH relativeFrom="column">
                  <wp:posOffset>5013960</wp:posOffset>
                </wp:positionH>
                <wp:positionV relativeFrom="paragraph">
                  <wp:posOffset>-13335</wp:posOffset>
                </wp:positionV>
                <wp:extent cx="0" cy="685800"/>
                <wp:effectExtent l="76200" t="38100" r="57150" b="19050"/>
                <wp:wrapNone/>
                <wp:docPr id="141" name="Прямая со стрелкой 18"/>
                <wp:cNvGraphicFramePr/>
                <a:graphic xmlns:a="http://schemas.openxmlformats.org/drawingml/2006/main">
                  <a:graphicData uri="http://schemas.microsoft.com/office/word/2010/wordprocessingShape">
                    <wps:wsp>
                      <wps:cNvCnPr/>
                      <wps:spPr bwMode="auto">
                        <a:xfrm flipV="1">
                          <a:off x="0" y="0"/>
                          <a:ext cx="0" cy="685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14DDA2" id="Прямая со стрелкой 18" o:spid="_x0000_s1026" type="#_x0000_t32" style="position:absolute;margin-left:394.8pt;margin-top:-1.05pt;width:0;height:54pt;flip:y;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" strokecolor="#5b9bd5 [3204]" strokeweight=".5pt">
                <v:stroke endarrow="block" joinstyle="miter"/>
              </v:shape>
            </w:pict>
          </mc:Fallback>
        </mc:AlternateContent>
      </w:r>
      <w:r>
        <w:rPr>
          <w:noProof/>
          <w:lang w:eastAsia="ru-RU"/>
        </w:rPr>
        <mc:AlternateContent>
          <mc:Choice Requires="wps">
            <w:drawing>
              <wp:anchor distT="0" distB="0" distL="114300" distR="114300" simplePos="0" relativeHeight="251662336" behindDoc="0" locked="0" layoutInCell="1" allowOverlap="1">
                <wp:simplePos x="0" y="0"/>
                <wp:positionH relativeFrom="column">
                  <wp:posOffset>2641600</wp:posOffset>
                </wp:positionH>
                <wp:positionV relativeFrom="paragraph">
                  <wp:posOffset>691515</wp:posOffset>
                </wp:positionV>
                <wp:extent cx="3895725" cy="771525"/>
                <wp:effectExtent l="0" t="0" r="28575" b="28575"/>
                <wp:wrapNone/>
                <wp:docPr id="142" name="Прямоугольник: скругленные углы 5"/>
                <wp:cNvGraphicFramePr/>
                <a:graphic xmlns:a="http://schemas.openxmlformats.org/drawingml/2006/main">
                  <a:graphicData uri="http://schemas.microsoft.com/office/word/2010/wordprocessingShape">
                    <wps:wsp>
                      <wps:cNvSpPr/>
                      <wps:spPr bwMode="auto">
                        <a:xfrm>
                          <a:off x="0" y="0"/>
                          <a:ext cx="3895723" cy="771525"/>
                        </a:xfrm>
                        <a:prstGeom prst="roundRect">
                          <a:avLst>
                            <a:gd name="adj" fmla="val 16667"/>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pPr>
                            <w:r>
                              <w:t>Совет директоров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Прямоугольник: скругленные углы 5" o:spid="_x0000_s1093" style="position:absolute;margin-left:208pt;margin-top:54.45pt;width:306.75pt;height:60.7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" fillcolor="#5b9bd5 [3204]" strokecolor="#1f4d78 [1604]" strokeweight="1pt">
                <v:stroke joinstyle="miter"/>
                <v:textbox>
                  <w:txbxContent>
                    <w:p w:rsidR="00D602D4" w:rsidRDefault="000B4C86">
                      <w:pPr>
                        <w:jc w:val="center"/>
                      </w:pPr>
                      <w:r>
                        <w:t>Совет директоров</w:t>
                      </w:r>
                    </w:p>
                  </w:txbxContent>
                </v:textbox>
              </v:roundrect>
            </w:pict>
          </mc:Fallback>
        </mc:AlternateContent>
      </w:r>
      <w:r>
        <w:rPr>
          <w:noProof/>
          <w:lang w:eastAsia="ru-RU"/>
        </w:rPr>
        <mc:AlternateContent>
          <mc:Choice Requires="wps">
            <w:drawing>
              <wp:anchor distT="0" distB="0" distL="114300" distR="114300" simplePos="0" relativeHeight="251659264" behindDoc="0" locked="0" layoutInCell="1" allowOverlap="1">
                <wp:simplePos x="0" y="0"/>
                <wp:positionH relativeFrom="column">
                  <wp:posOffset>3118485</wp:posOffset>
                </wp:positionH>
                <wp:positionV relativeFrom="paragraph">
                  <wp:posOffset>-670560</wp:posOffset>
                </wp:positionV>
                <wp:extent cx="2971800" cy="638175"/>
                <wp:effectExtent l="0" t="0" r="19050" b="28575"/>
                <wp:wrapNone/>
                <wp:docPr id="143" name="Прямоугольник: скругленные углы 1"/>
                <wp:cNvGraphicFramePr/>
                <a:graphic xmlns:a="http://schemas.openxmlformats.org/drawingml/2006/main">
                  <a:graphicData uri="http://schemas.microsoft.com/office/word/2010/wordprocessingShape">
                    <wps:wsp>
                      <wps:cNvSpPr/>
                      <wps:spPr bwMode="auto">
                        <a:xfrm>
                          <a:off x="0" y="0"/>
                          <a:ext cx="2971800" cy="638174"/>
                        </a:xfrm>
                        <a:prstGeom prst="roundRect">
                          <a:avLst>
                            <a:gd name="adj" fmla="val 0"/>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rsidR="00D602D4" w:rsidRDefault="000B4C86">
                            <w:pPr>
                              <w:jc w:val="center"/>
                            </w:pPr>
                            <w:r>
                              <w:t xml:space="preserve">Общее собрание акционеров                                                                                   </w:t>
                            </w:r>
                            <w:r>
                              <w:br/>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 o:spid="_x0000_s1094" style="position:absolute;margin-left:245.55pt;margin-top:-52.8pt;width:234pt;height:5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" fillcolor="#00b0f0" strokecolor="#1f4d78 [1604]" strokeweight="1pt">
                <v:stroke joinstyle="miter"/>
                <v:textbox>
                  <w:txbxContent>
                    <w:p w:rsidR="00D602D4" w:rsidRDefault="000B4C86">
                      <w:pPr>
                        <w:jc w:val="center"/>
                      </w:pPr>
                      <w:r>
                        <w:t xml:space="preserve">Общее собрание акционеров                                                                                   </w:t>
                      </w:r>
                      <w:r>
                        <w:br/>
                      </w:r>
                    </w:p>
                  </w:txbxContent>
                </v:textbox>
              </v:roundrect>
            </w:pict>
          </mc:Fallback>
        </mc:AlternateContent>
      </w:r>
    </w:p>
    <w:p w:rsidR="00D602D4" w:rsidRDefault="00D602D4">
      <w:pPr>
        <w:widowControl w:val="0"/>
        <w:spacing w:after="0" w:line="240" w:lineRule="auto"/>
        <w:jc w:val="both"/>
        <w:rPr>
          <w:rFonts w:ascii="Times New Roman" w:hAnsi="Times New Roman" w:cs="Times New Roman"/>
          <w:b/>
          <w:bCs/>
          <w:sz w:val="24"/>
          <w:szCs w:val="24"/>
        </w:rPr>
        <w:sectPr w:rsidR="00D602D4">
          <w:pgSz w:w="16838" w:h="11906" w:orient="landscape"/>
          <w:pgMar w:top="1276" w:right="1134" w:bottom="851" w:left="425" w:header="709" w:footer="697" w:gutter="0"/>
          <w:cols w:space="708"/>
          <w:docGrid w:linePitch="360"/>
        </w:sectPr>
      </w:pPr>
    </w:p>
    <w:p w:rsidR="00D602D4" w:rsidRDefault="000B4C86">
      <w:pPr>
        <w:widowControl w:val="0"/>
        <w:spacing w:after="0" w:line="240" w:lineRule="auto"/>
        <w:ind w:firstLine="709"/>
        <w:jc w:val="both"/>
        <w:rPr>
          <w:rFonts w:ascii="Times New Roman" w:hAnsi="Times New Roman" w:cs="Times New Roman"/>
          <w:b/>
          <w:bCs/>
          <w:sz w:val="24"/>
          <w:szCs w:val="24"/>
        </w:rPr>
      </w:pPr>
      <w:r>
        <w:rPr>
          <w:rFonts w:ascii="Times New Roman" w:hAnsi="Times New Roman" w:cs="Times New Roman"/>
          <w:b/>
          <w:sz w:val="24"/>
          <w:szCs w:val="24"/>
          <w:highlight w:val="white"/>
        </w:rPr>
        <w:lastRenderedPageBreak/>
        <w:t xml:space="preserve">Заявление Совета директоров о соблюдении принципов корпоративного управления </w:t>
      </w:r>
    </w:p>
    <w:p w:rsidR="00D602D4" w:rsidRDefault="000B4C86">
      <w:pPr>
        <w:widowControl w:val="0"/>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Общество уделяет существенное внимание повышению эффективности системы корпоративного управления. Мы стремимся к соблюдению принципов корпоративного управления, предусмотренных Кодексом корпоративного управления, одобренного Советом директоров Банка России 21.03.2014 и </w:t>
      </w:r>
      <w:r>
        <w:rPr>
          <w:rFonts w:ascii="Times New Roman" w:eastAsiaTheme="minorEastAsia" w:hAnsi="Times New Roman" w:cs="Times New Roman"/>
          <w:sz w:val="24"/>
          <w:szCs w:val="24"/>
          <w:highlight w:val="white"/>
          <w:lang w:eastAsia="ru-RU"/>
        </w:rPr>
        <w:t xml:space="preserve">рекомендованного к применению </w:t>
      </w:r>
      <w:r>
        <w:rPr>
          <w:rFonts w:ascii="Times New Roman" w:hAnsi="Times New Roman" w:cs="Times New Roman"/>
          <w:sz w:val="24"/>
          <w:szCs w:val="24"/>
          <w:highlight w:val="white"/>
        </w:rPr>
        <w:t xml:space="preserve">письмом Банка России от 10.04.2014 № 06-52/2463 акционерным обществам, ценные бумаги                                                                                                                                                                                                                                                                                                                                                                   которых допущены к организованным торгам (далее – Кодекс корпоративного управления </w:t>
      </w:r>
      <w:r>
        <w:rPr>
          <w:rFonts w:ascii="Times New Roman" w:eastAsiaTheme="minorEastAsia" w:hAnsi="Times New Roman" w:cs="Times New Roman"/>
          <w:sz w:val="24"/>
          <w:szCs w:val="24"/>
          <w:highlight w:val="white"/>
          <w:lang w:eastAsia="ru-RU"/>
        </w:rPr>
        <w:t>Банка России),</w:t>
      </w:r>
      <w:r>
        <w:rPr>
          <w:rFonts w:ascii="Times New Roman" w:hAnsi="Times New Roman" w:cs="Times New Roman"/>
          <w:sz w:val="24"/>
          <w:szCs w:val="24"/>
          <w:highlight w:val="white"/>
        </w:rPr>
        <w:t xml:space="preserve"> повышению инвестиционной привлекательности Компании, а также соблюдению интересов всех акционеров Общества. </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Отчет о соблюдении принципов и рекомендаций Кодекса корпоративного управления Банка России (приложение №1 к настоящему Годовому отчету) содержит описание наиболее существенных аспектов модели и практики корпоративного управления в Обществе с учетом</w:t>
      </w:r>
      <w:r>
        <w:rPr>
          <w:rFonts w:ascii="Times New Roman" w:hAnsi="Times New Roman" w:cs="Times New Roman"/>
          <w:highlight w:val="white"/>
        </w:rPr>
        <w:t xml:space="preserve"> </w:t>
      </w:r>
      <w:r>
        <w:rPr>
          <w:rFonts w:ascii="Times New Roman" w:hAnsi="Times New Roman" w:cs="Times New Roman"/>
          <w:sz w:val="24"/>
          <w:szCs w:val="24"/>
          <w:highlight w:val="white"/>
        </w:rPr>
        <w:t>принципа «соблюдай или объясняй».</w:t>
      </w:r>
    </w:p>
    <w:p w:rsidR="00D602D4" w:rsidRDefault="00D602D4">
      <w:pPr>
        <w:widowControl w:val="0"/>
        <w:spacing w:after="0" w:line="240" w:lineRule="auto"/>
        <w:ind w:firstLine="709"/>
        <w:jc w:val="both"/>
        <w:rPr>
          <w:rFonts w:ascii="Times New Roman" w:hAnsi="Times New Roman" w:cs="Times New Roman"/>
          <w:b/>
          <w:sz w:val="24"/>
          <w:szCs w:val="24"/>
          <w:highlight w:val="white"/>
        </w:rPr>
      </w:pPr>
    </w:p>
    <w:p w:rsidR="00D602D4" w:rsidRDefault="000B4C86">
      <w:pPr>
        <w:spacing w:after="0" w:line="240" w:lineRule="auto"/>
        <w:ind w:firstLine="709"/>
        <w:contextualSpacing/>
        <w:jc w:val="both"/>
        <w:rPr>
          <w:rFonts w:ascii="Times New Roman" w:hAnsi="Times New Roman" w:cs="Times New Roman"/>
          <w:b/>
          <w:sz w:val="24"/>
          <w:szCs w:val="24"/>
        </w:rPr>
      </w:pPr>
      <w:r>
        <w:rPr>
          <w:rFonts w:ascii="Times New Roman" w:hAnsi="Times New Roman" w:cs="Times New Roman"/>
          <w:b/>
          <w:sz w:val="24"/>
          <w:szCs w:val="24"/>
        </w:rPr>
        <w:t>Основные изменения в области корпоративного управления</w:t>
      </w:r>
    </w:p>
    <w:p w:rsidR="00D602D4" w:rsidRDefault="00D602D4">
      <w:pPr>
        <w:spacing w:after="0" w:line="240" w:lineRule="auto"/>
        <w:ind w:firstLine="709"/>
        <w:jc w:val="both"/>
        <w:rPr>
          <w:rFonts w:ascii="Times New Roman" w:hAnsi="Times New Roman" w:cs="Times New Roman"/>
          <w:sz w:val="24"/>
          <w:szCs w:val="24"/>
          <w:highlight w:val="yellow"/>
        </w:rPr>
      </w:pP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Решением Совета директоров ПАО «Россети Сибирь» от 10.07.2024 (протокол от 12.07.2024 № 529/24) утверждена Политика антимонопольного комплаенса ПАО «Россети Сибирь». </w:t>
      </w:r>
    </w:p>
    <w:p w:rsidR="00D602D4" w:rsidRDefault="000B4C86">
      <w:pPr>
        <w:pStyle w:val="VL"/>
        <w:spacing w:before="0"/>
        <w:ind w:firstLine="709"/>
        <w:rPr>
          <w:rFonts w:ascii="Times New Roman" w:eastAsiaTheme="minorHAnsi" w:hAnsi="Times New Roman" w:cs="Times New Roman"/>
          <w:color w:val="auto"/>
          <w:highlight w:val="white"/>
        </w:rPr>
      </w:pPr>
      <w:r>
        <w:rPr>
          <w:rFonts w:ascii="Times New Roman" w:eastAsiaTheme="minorHAnsi" w:hAnsi="Times New Roman" w:cs="Times New Roman"/>
          <w:color w:val="auto"/>
          <w:highlight w:val="white"/>
        </w:rPr>
        <w:t>Политика антимонопольного комплаенса утверждена в целях повышения эффективности деятельности ПАО «Россети Сибирь» в области обеспечения соответствия деятельности ПАО «Россети Сибирь» требованиям антимонопольного законодательства Российской Федерации и реализации положений статьи 9.1 Федерального закона от 26.07.2006 № 135-ФЗ «О защите конкуренции».</w:t>
      </w:r>
    </w:p>
    <w:p w:rsidR="00D602D4" w:rsidRDefault="000B4C86">
      <w:pPr>
        <w:pStyle w:val="VL"/>
        <w:spacing w:before="0"/>
        <w:ind w:firstLine="709"/>
        <w:rPr>
          <w:rFonts w:ascii="Times New Roman" w:eastAsiaTheme="minorHAnsi" w:hAnsi="Times New Roman" w:cs="Times New Roman"/>
          <w:color w:val="auto"/>
          <w:highlight w:val="white"/>
        </w:rPr>
      </w:pPr>
      <w:r>
        <w:rPr>
          <w:rFonts w:ascii="Times New Roman" w:eastAsiaTheme="minorHAnsi" w:hAnsi="Times New Roman" w:cs="Times New Roman"/>
          <w:color w:val="auto"/>
          <w:highlight w:val="white"/>
        </w:rPr>
        <w:t>Целями антимонопольного комплаенса являются:</w:t>
      </w:r>
    </w:p>
    <w:p w:rsidR="00D602D4" w:rsidRDefault="000B4C86">
      <w:pPr>
        <w:pStyle w:val="VL"/>
        <w:spacing w:before="0"/>
        <w:ind w:firstLine="709"/>
        <w:rPr>
          <w:rFonts w:ascii="Times New Roman" w:eastAsiaTheme="minorHAnsi" w:hAnsi="Times New Roman" w:cs="Times New Roman"/>
          <w:color w:val="auto"/>
          <w:highlight w:val="white"/>
        </w:rPr>
      </w:pPr>
      <w:r>
        <w:rPr>
          <w:rFonts w:ascii="Times New Roman" w:eastAsiaTheme="minorHAnsi" w:hAnsi="Times New Roman" w:cs="Times New Roman"/>
          <w:color w:val="auto"/>
          <w:highlight w:val="white"/>
        </w:rPr>
        <w:t>- соблюдение Обществом антимонопольного законодательства и разработка мер по предупреждению его нарушения;</w:t>
      </w:r>
    </w:p>
    <w:p w:rsidR="00D602D4" w:rsidRDefault="000B4C86">
      <w:pPr>
        <w:pStyle w:val="VL"/>
        <w:spacing w:before="0"/>
        <w:ind w:firstLine="709"/>
        <w:rPr>
          <w:rFonts w:ascii="Times New Roman" w:eastAsiaTheme="minorHAnsi" w:hAnsi="Times New Roman" w:cs="Times New Roman"/>
          <w:color w:val="auto"/>
          <w:highlight w:val="white"/>
        </w:rPr>
      </w:pPr>
      <w:r>
        <w:rPr>
          <w:rFonts w:ascii="Times New Roman" w:eastAsiaTheme="minorHAnsi" w:hAnsi="Times New Roman" w:cs="Times New Roman"/>
          <w:color w:val="auto"/>
          <w:highlight w:val="white"/>
        </w:rPr>
        <w:t>- выявление и пресечение нарушений антимонопольного законодательства в деятельности Общества;</w:t>
      </w:r>
    </w:p>
    <w:p w:rsidR="00D602D4" w:rsidRDefault="000B4C86">
      <w:pPr>
        <w:pStyle w:val="VL"/>
        <w:spacing w:before="0"/>
        <w:ind w:firstLine="709"/>
        <w:rPr>
          <w:rFonts w:ascii="Times New Roman" w:eastAsiaTheme="minorHAnsi" w:hAnsi="Times New Roman" w:cs="Times New Roman"/>
          <w:color w:val="auto"/>
          <w:highlight w:val="white"/>
        </w:rPr>
      </w:pPr>
      <w:r>
        <w:rPr>
          <w:rFonts w:ascii="Times New Roman" w:eastAsiaTheme="minorHAnsi" w:hAnsi="Times New Roman" w:cs="Times New Roman"/>
          <w:color w:val="auto"/>
          <w:highlight w:val="white"/>
        </w:rPr>
        <w:t>- обеспечение соблюдения субъектами системы антимонопольного комплаенса требований антимонопольного законодательства и внутренних документов в сфере антимонопольного комплаенса;</w:t>
      </w:r>
    </w:p>
    <w:p w:rsidR="00D602D4" w:rsidRDefault="000B4C86">
      <w:pPr>
        <w:pStyle w:val="VL"/>
        <w:spacing w:before="0"/>
        <w:ind w:firstLine="709"/>
        <w:rPr>
          <w:rFonts w:ascii="Times New Roman" w:eastAsiaTheme="minorHAnsi" w:hAnsi="Times New Roman" w:cs="Times New Roman"/>
          <w:color w:val="auto"/>
          <w:highlight w:val="white"/>
        </w:rPr>
      </w:pPr>
      <w:r>
        <w:rPr>
          <w:rFonts w:ascii="Times New Roman" w:eastAsiaTheme="minorHAnsi" w:hAnsi="Times New Roman" w:cs="Times New Roman"/>
          <w:color w:val="auto"/>
          <w:highlight w:val="white"/>
        </w:rPr>
        <w:t>- обеспечение информационной среды для организации эффективного управления антимонопольными рисками, а также принятия решений в области антимонопольного комплаенса.</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Calibri" w:hAnsi="Times New Roman" w:cs="Times New Roman"/>
          <w:sz w:val="24"/>
          <w:szCs w:val="24"/>
        </w:rPr>
        <w:t xml:space="preserve">Утверждение </w:t>
      </w:r>
      <w:r>
        <w:rPr>
          <w:rFonts w:ascii="Times New Roman" w:hAnsi="Times New Roman" w:cs="Times New Roman"/>
          <w:sz w:val="24"/>
          <w:szCs w:val="24"/>
        </w:rPr>
        <w:t xml:space="preserve">Политики антимонопольного комплаенса ПАО «Россети Сибирь» </w:t>
      </w:r>
      <w:r>
        <w:rPr>
          <w:rFonts w:ascii="Times New Roman" w:eastAsia="Calibri" w:hAnsi="Times New Roman" w:cs="Times New Roman"/>
          <w:sz w:val="24"/>
          <w:szCs w:val="24"/>
        </w:rPr>
        <w:t>способствовало повышению уровня корпоративного управления ПАО «Россети Сибирь».</w:t>
      </w:r>
    </w:p>
    <w:p w:rsidR="00D602D4" w:rsidRDefault="00D602D4">
      <w:pPr>
        <w:spacing w:after="0" w:line="240" w:lineRule="auto"/>
        <w:ind w:firstLine="709"/>
        <w:jc w:val="both"/>
        <w:rPr>
          <w:rFonts w:ascii="Times New Roman" w:hAnsi="Times New Roman" w:cs="Times New Roman"/>
          <w:sz w:val="24"/>
          <w:szCs w:val="24"/>
          <w:highlight w:val="yellow"/>
        </w:rPr>
      </w:pPr>
    </w:p>
    <w:p w:rsidR="00D602D4" w:rsidRDefault="000B4C86">
      <w:pPr>
        <w:widowControl w:val="0"/>
        <w:spacing w:after="0" w:line="240" w:lineRule="auto"/>
        <w:ind w:firstLine="709"/>
        <w:jc w:val="both"/>
        <w:rPr>
          <w:rFonts w:ascii="Times New Roman" w:hAnsi="Times New Roman" w:cs="Times New Roman"/>
          <w:b/>
          <w:sz w:val="24"/>
          <w:szCs w:val="24"/>
          <w:highlight w:val="white"/>
        </w:rPr>
      </w:pPr>
      <w:r>
        <w:rPr>
          <w:rFonts w:ascii="Times New Roman" w:hAnsi="Times New Roman" w:cs="Times New Roman"/>
          <w:b/>
          <w:sz w:val="24"/>
          <w:szCs w:val="24"/>
          <w:highlight w:val="white"/>
        </w:rPr>
        <w:t>Оценка эффективности корпоративного управления</w:t>
      </w:r>
    </w:p>
    <w:p w:rsidR="00D602D4" w:rsidRDefault="00D602D4">
      <w:pPr>
        <w:widowControl w:val="0"/>
        <w:spacing w:after="0" w:line="240" w:lineRule="auto"/>
        <w:ind w:firstLine="709"/>
        <w:jc w:val="both"/>
        <w:rPr>
          <w:rFonts w:ascii="Times New Roman" w:hAnsi="Times New Roman" w:cs="Times New Roman"/>
          <w:sz w:val="24"/>
          <w:szCs w:val="24"/>
          <w:highlight w:val="white"/>
        </w:rPr>
      </w:pPr>
    </w:p>
    <w:p w:rsidR="00D602D4" w:rsidRDefault="000B4C86">
      <w:pPr>
        <w:widowControl w:val="0"/>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В Обществе утвержден и действует стандарт организации СО 2.045/0 «Оценка эффективности корпоративного управления в ПАО «Россети Сибирь». Методика» (далее – Методика), разработанный на основе Методики самооценки качества корпоративного управления в компаниях с государственным участием, утвержденной приказом Росимущества от 22.08.2014 № 306. </w:t>
      </w:r>
    </w:p>
    <w:p w:rsidR="00D602D4" w:rsidRDefault="000B4C86">
      <w:pPr>
        <w:widowControl w:val="0"/>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Методика предполагает оценку с точки зрения соответствия корпоративного управления принципам и рекомендациям, заложенным в Кодексе корпоративного управления Банка России. </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В 2024 году департаментом внутреннего аудита Общества проведена оценка эффективности корпоративного управления в Обществе за 2023-2024 корпоративный год, по результатам которой оценка корпоративного управления составила 84%, что соответствует </w:t>
      </w:r>
      <w:r>
        <w:rPr>
          <w:rFonts w:ascii="Times New Roman" w:hAnsi="Times New Roman" w:cs="Times New Roman"/>
          <w:sz w:val="24"/>
          <w:szCs w:val="24"/>
          <w:highlight w:val="white"/>
        </w:rPr>
        <w:lastRenderedPageBreak/>
        <w:t>«Развитой практике» (корпоративное управление соответствует развитой практике и имеет потенциал для улучшения по несущественной части вопросов).</w:t>
      </w:r>
    </w:p>
    <w:p w:rsidR="00D602D4" w:rsidRDefault="000B4C86">
      <w:pPr>
        <w:widowControl w:val="0"/>
        <w:spacing w:after="0" w:line="240" w:lineRule="auto"/>
        <w:jc w:val="right"/>
        <w:rPr>
          <w:rFonts w:ascii="Times New Roman" w:hAnsi="Times New Roman" w:cs="Times New Roman"/>
          <w:sz w:val="24"/>
          <w:szCs w:val="24"/>
          <w:highlight w:val="yellow"/>
        </w:rPr>
      </w:pPr>
      <w:r>
        <w:rPr>
          <w:rFonts w:ascii="Times New Roman" w:hAnsi="Times New Roman" w:cs="Times New Roman"/>
          <w:sz w:val="24"/>
          <w:szCs w:val="24"/>
          <w:highlight w:val="white"/>
        </w:rPr>
        <w:t>Таблица</w:t>
      </w:r>
      <w:r>
        <w:rPr>
          <w:rFonts w:ascii="Times New Roman" w:hAnsi="Times New Roman" w:cs="Times New Roman"/>
          <w:sz w:val="24"/>
          <w:szCs w:val="24"/>
        </w:rPr>
        <w:t xml:space="preserve"> 58</w:t>
      </w:r>
    </w:p>
    <w:p w:rsidR="00D602D4" w:rsidRDefault="000B4C86">
      <w:pPr>
        <w:widowControl w:val="0"/>
        <w:spacing w:after="0" w:line="240" w:lineRule="auto"/>
        <w:jc w:val="center"/>
        <w:rPr>
          <w:rFonts w:ascii="Times New Roman" w:hAnsi="Times New Roman" w:cs="Times New Roman"/>
          <w:sz w:val="24"/>
          <w:szCs w:val="24"/>
          <w:highlight w:val="white"/>
        </w:rPr>
      </w:pPr>
      <w:r>
        <w:rPr>
          <w:rFonts w:ascii="Times New Roman" w:hAnsi="Times New Roman" w:cs="Times New Roman"/>
          <w:b/>
          <w:sz w:val="24"/>
          <w:szCs w:val="24"/>
          <w:highlight w:val="white"/>
        </w:rPr>
        <w:t>Оценка уровня соответствия и эффективности корпоративного управления</w:t>
      </w:r>
    </w:p>
    <w:tbl>
      <w:tblPr>
        <w:tblW w:w="9306" w:type="dxa"/>
        <w:jc w:val="center"/>
        <w:tblLook w:val="04A0" w:firstRow="1" w:lastRow="0" w:firstColumn="1" w:lastColumn="0" w:noHBand="0" w:noVBand="1"/>
      </w:tblPr>
      <w:tblGrid>
        <w:gridCol w:w="2283"/>
        <w:gridCol w:w="1706"/>
        <w:gridCol w:w="1899"/>
        <w:gridCol w:w="1574"/>
        <w:gridCol w:w="1844"/>
      </w:tblGrid>
      <w:tr w:rsidR="00D602D4">
        <w:trPr>
          <w:trHeight w:val="1054"/>
          <w:jc w:val="center"/>
        </w:trPr>
        <w:tc>
          <w:tcPr>
            <w:tcW w:w="2283" w:type="dxa"/>
            <w:tcBorders>
              <w:top w:val="single" w:sz="4" w:space="0" w:color="000000"/>
              <w:left w:val="single" w:sz="4" w:space="0" w:color="000000"/>
              <w:bottom w:val="single" w:sz="4" w:space="0" w:color="000000"/>
              <w:right w:val="single" w:sz="4" w:space="0" w:color="000000"/>
            </w:tcBorders>
            <w:shd w:val="clear" w:color="000000" w:fill="DCE6F1"/>
            <w:vAlign w:val="center"/>
          </w:tcPr>
          <w:p w:rsidR="00D602D4" w:rsidRDefault="000B4C86">
            <w:pPr>
              <w:widowControl w:val="0"/>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Наименование </w:t>
            </w:r>
            <w:r>
              <w:rPr>
                <w:rFonts w:ascii="Times New Roman" w:eastAsia="Times New Roman" w:hAnsi="Times New Roman" w:cs="Times New Roman"/>
                <w:b/>
                <w:bCs/>
                <w:color w:val="000000"/>
              </w:rPr>
              <w:br/>
              <w:t xml:space="preserve">компонента </w:t>
            </w:r>
          </w:p>
        </w:tc>
        <w:tc>
          <w:tcPr>
            <w:tcW w:w="1706" w:type="dxa"/>
            <w:tcBorders>
              <w:top w:val="single" w:sz="4" w:space="0" w:color="000000"/>
              <w:left w:val="none" w:sz="4" w:space="0" w:color="000000"/>
              <w:bottom w:val="single" w:sz="4" w:space="0" w:color="000000"/>
              <w:right w:val="single" w:sz="4" w:space="0" w:color="000000"/>
            </w:tcBorders>
            <w:shd w:val="clear" w:color="000000" w:fill="DCE6F1"/>
            <w:vAlign w:val="center"/>
          </w:tcPr>
          <w:p w:rsidR="00D602D4" w:rsidRDefault="000B4C86">
            <w:pPr>
              <w:widowControl w:val="0"/>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Количество оцениваемых критериев</w:t>
            </w:r>
          </w:p>
        </w:tc>
        <w:tc>
          <w:tcPr>
            <w:tcW w:w="1899" w:type="dxa"/>
            <w:tcBorders>
              <w:top w:val="single" w:sz="4" w:space="0" w:color="000000"/>
              <w:left w:val="none" w:sz="4" w:space="0" w:color="000000"/>
              <w:bottom w:val="single" w:sz="4" w:space="0" w:color="000000"/>
              <w:right w:val="single" w:sz="4" w:space="0" w:color="000000"/>
            </w:tcBorders>
            <w:shd w:val="clear" w:color="000000" w:fill="DCE6F1"/>
            <w:vAlign w:val="center"/>
          </w:tcPr>
          <w:p w:rsidR="00D602D4" w:rsidRDefault="000B4C86">
            <w:pPr>
              <w:widowControl w:val="0"/>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Максимально возможная сумма баллов</w:t>
            </w:r>
          </w:p>
        </w:tc>
        <w:tc>
          <w:tcPr>
            <w:tcW w:w="1574" w:type="dxa"/>
            <w:tcBorders>
              <w:top w:val="single" w:sz="4" w:space="0" w:color="000000"/>
              <w:left w:val="none" w:sz="4" w:space="0" w:color="000000"/>
              <w:bottom w:val="single" w:sz="4" w:space="0" w:color="000000"/>
              <w:right w:val="single" w:sz="4" w:space="0" w:color="000000"/>
            </w:tcBorders>
            <w:shd w:val="clear" w:color="000000" w:fill="DCE6F1"/>
            <w:vAlign w:val="center"/>
          </w:tcPr>
          <w:p w:rsidR="00D602D4" w:rsidRDefault="000B4C86">
            <w:pPr>
              <w:widowControl w:val="0"/>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Оценка внутреннего аудита</w:t>
            </w:r>
          </w:p>
        </w:tc>
        <w:tc>
          <w:tcPr>
            <w:tcW w:w="1844" w:type="dxa"/>
            <w:tcBorders>
              <w:top w:val="single" w:sz="4" w:space="0" w:color="000000"/>
              <w:left w:val="none" w:sz="4" w:space="0" w:color="000000"/>
              <w:bottom w:val="single" w:sz="4" w:space="0" w:color="000000"/>
              <w:right w:val="single" w:sz="4" w:space="0" w:color="000000"/>
            </w:tcBorders>
            <w:shd w:val="clear" w:color="000000" w:fill="DCE6F1"/>
            <w:vAlign w:val="center"/>
          </w:tcPr>
          <w:p w:rsidR="00D602D4" w:rsidRDefault="000B4C86">
            <w:pPr>
              <w:widowControl w:val="0"/>
              <w:spacing w:after="0" w:line="24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Уровень соответствия, </w:t>
            </w:r>
            <w:r>
              <w:rPr>
                <w:rFonts w:ascii="Times New Roman" w:eastAsia="Times New Roman" w:hAnsi="Times New Roman" w:cs="Times New Roman"/>
                <w:b/>
                <w:bCs/>
                <w:color w:val="000000"/>
              </w:rPr>
              <w:br/>
              <w:t>%</w:t>
            </w:r>
          </w:p>
        </w:tc>
      </w:tr>
      <w:tr w:rsidR="00D602D4">
        <w:trPr>
          <w:trHeight w:val="337"/>
          <w:jc w:val="center"/>
        </w:trPr>
        <w:tc>
          <w:tcPr>
            <w:tcW w:w="228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Права акционеров</w:t>
            </w:r>
          </w:p>
        </w:tc>
        <w:tc>
          <w:tcPr>
            <w:tcW w:w="170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14</w:t>
            </w:r>
          </w:p>
        </w:tc>
        <w:tc>
          <w:tcPr>
            <w:tcW w:w="1899"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59</w:t>
            </w:r>
          </w:p>
        </w:tc>
        <w:tc>
          <w:tcPr>
            <w:tcW w:w="157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59</w:t>
            </w:r>
          </w:p>
        </w:tc>
        <w:tc>
          <w:tcPr>
            <w:tcW w:w="184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jc w:val="center"/>
              <w:rPr>
                <w:rFonts w:ascii="Times New Roman" w:hAnsi="Times New Roman" w:cs="Times New Roman"/>
              </w:rPr>
            </w:pPr>
            <w:r>
              <w:rPr>
                <w:rFonts w:ascii="Times New Roman" w:eastAsia="Times New Roman" w:hAnsi="Times New Roman" w:cs="Times New Roman"/>
              </w:rPr>
              <w:t>100</w:t>
            </w:r>
          </w:p>
        </w:tc>
      </w:tr>
      <w:tr w:rsidR="00D602D4">
        <w:trPr>
          <w:trHeight w:val="337"/>
          <w:jc w:val="center"/>
        </w:trPr>
        <w:tc>
          <w:tcPr>
            <w:tcW w:w="228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Совет директоров</w:t>
            </w:r>
          </w:p>
        </w:tc>
        <w:tc>
          <w:tcPr>
            <w:tcW w:w="170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43</w:t>
            </w:r>
          </w:p>
        </w:tc>
        <w:tc>
          <w:tcPr>
            <w:tcW w:w="1899"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166</w:t>
            </w:r>
          </w:p>
        </w:tc>
        <w:tc>
          <w:tcPr>
            <w:tcW w:w="157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124</w:t>
            </w:r>
          </w:p>
        </w:tc>
        <w:tc>
          <w:tcPr>
            <w:tcW w:w="184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jc w:val="center"/>
              <w:rPr>
                <w:rFonts w:ascii="Times New Roman" w:hAnsi="Times New Roman" w:cs="Times New Roman"/>
              </w:rPr>
            </w:pPr>
            <w:r>
              <w:rPr>
                <w:rFonts w:ascii="Times New Roman" w:eastAsia="Times New Roman" w:hAnsi="Times New Roman" w:cs="Times New Roman"/>
              </w:rPr>
              <w:t>74</w:t>
            </w:r>
          </w:p>
        </w:tc>
      </w:tr>
      <w:tr w:rsidR="00D602D4">
        <w:trPr>
          <w:trHeight w:val="337"/>
          <w:jc w:val="center"/>
        </w:trPr>
        <w:tc>
          <w:tcPr>
            <w:tcW w:w="2283"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widowControl w:val="0"/>
              <w:spacing w:after="0" w:line="240" w:lineRule="auto"/>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Исполнительное руководство</w:t>
            </w:r>
          </w:p>
        </w:tc>
        <w:tc>
          <w:tcPr>
            <w:tcW w:w="170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5</w:t>
            </w:r>
          </w:p>
        </w:tc>
        <w:tc>
          <w:tcPr>
            <w:tcW w:w="1899"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34</w:t>
            </w:r>
          </w:p>
        </w:tc>
        <w:tc>
          <w:tcPr>
            <w:tcW w:w="157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24</w:t>
            </w:r>
          </w:p>
        </w:tc>
        <w:tc>
          <w:tcPr>
            <w:tcW w:w="184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jc w:val="center"/>
              <w:rPr>
                <w:rFonts w:ascii="Times New Roman" w:hAnsi="Times New Roman" w:cs="Times New Roman"/>
              </w:rPr>
            </w:pPr>
            <w:r>
              <w:rPr>
                <w:rFonts w:ascii="Times New Roman" w:eastAsia="Times New Roman" w:hAnsi="Times New Roman" w:cs="Times New Roman"/>
              </w:rPr>
              <w:t>70</w:t>
            </w:r>
          </w:p>
        </w:tc>
      </w:tr>
      <w:tr w:rsidR="00D602D4">
        <w:trPr>
          <w:trHeight w:val="337"/>
          <w:jc w:val="center"/>
        </w:trPr>
        <w:tc>
          <w:tcPr>
            <w:tcW w:w="2283"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Прозрачность и раскрытие информации</w:t>
            </w:r>
          </w:p>
        </w:tc>
        <w:tc>
          <w:tcPr>
            <w:tcW w:w="170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15</w:t>
            </w:r>
          </w:p>
        </w:tc>
        <w:tc>
          <w:tcPr>
            <w:tcW w:w="1899"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133</w:t>
            </w:r>
          </w:p>
        </w:tc>
        <w:tc>
          <w:tcPr>
            <w:tcW w:w="157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113</w:t>
            </w:r>
          </w:p>
        </w:tc>
        <w:tc>
          <w:tcPr>
            <w:tcW w:w="184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jc w:val="center"/>
              <w:rPr>
                <w:rFonts w:ascii="Times New Roman" w:hAnsi="Times New Roman" w:cs="Times New Roman"/>
              </w:rPr>
            </w:pPr>
            <w:r>
              <w:rPr>
                <w:rFonts w:ascii="Times New Roman" w:eastAsia="Times New Roman" w:hAnsi="Times New Roman" w:cs="Times New Roman"/>
              </w:rPr>
              <w:t>85</w:t>
            </w:r>
          </w:p>
        </w:tc>
      </w:tr>
      <w:tr w:rsidR="00D602D4">
        <w:trPr>
          <w:trHeight w:val="337"/>
          <w:jc w:val="center"/>
        </w:trPr>
        <w:tc>
          <w:tcPr>
            <w:tcW w:w="228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Управление рисками, внутренний контроль и внутренний аудит</w:t>
            </w:r>
          </w:p>
        </w:tc>
        <w:tc>
          <w:tcPr>
            <w:tcW w:w="1706"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16</w:t>
            </w:r>
          </w:p>
        </w:tc>
        <w:tc>
          <w:tcPr>
            <w:tcW w:w="1899"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61</w:t>
            </w:r>
          </w:p>
        </w:tc>
        <w:tc>
          <w:tcPr>
            <w:tcW w:w="1574"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61</w:t>
            </w:r>
          </w:p>
        </w:tc>
        <w:tc>
          <w:tcPr>
            <w:tcW w:w="1844"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jc w:val="center"/>
              <w:rPr>
                <w:rFonts w:ascii="Times New Roman" w:hAnsi="Times New Roman" w:cs="Times New Roman"/>
              </w:rPr>
            </w:pPr>
            <w:r>
              <w:rPr>
                <w:rFonts w:ascii="Times New Roman" w:eastAsia="Times New Roman" w:hAnsi="Times New Roman" w:cs="Times New Roman"/>
              </w:rPr>
              <w:t>100</w:t>
            </w:r>
          </w:p>
        </w:tc>
      </w:tr>
      <w:tr w:rsidR="00D602D4">
        <w:trPr>
          <w:trHeight w:val="337"/>
          <w:jc w:val="center"/>
        </w:trPr>
        <w:tc>
          <w:tcPr>
            <w:tcW w:w="228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eastAsia="Times New Roman" w:hAnsi="Times New Roman" w:cs="Times New Roman"/>
                <w:color w:val="000000"/>
                <w:highlight w:val="white"/>
              </w:rPr>
            </w:pPr>
            <w:r>
              <w:rPr>
                <w:rFonts w:ascii="Times New Roman" w:eastAsia="Times New Roman" w:hAnsi="Times New Roman" w:cs="Times New Roman"/>
                <w:color w:val="000000"/>
                <w:highlight w:val="white"/>
              </w:rPr>
              <w:t>Корпоративная социальная ответственность, деловая этика, комплаенс</w:t>
            </w:r>
          </w:p>
        </w:tc>
        <w:tc>
          <w:tcPr>
            <w:tcW w:w="1706"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6</w:t>
            </w:r>
          </w:p>
        </w:tc>
        <w:tc>
          <w:tcPr>
            <w:tcW w:w="1899"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31</w:t>
            </w:r>
          </w:p>
        </w:tc>
        <w:tc>
          <w:tcPr>
            <w:tcW w:w="157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27</w:t>
            </w:r>
          </w:p>
        </w:tc>
        <w:tc>
          <w:tcPr>
            <w:tcW w:w="184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jc w:val="center"/>
              <w:rPr>
                <w:rFonts w:ascii="Times New Roman" w:hAnsi="Times New Roman" w:cs="Times New Roman"/>
              </w:rPr>
            </w:pPr>
            <w:r>
              <w:rPr>
                <w:rFonts w:ascii="Times New Roman" w:eastAsia="Times New Roman" w:hAnsi="Times New Roman" w:cs="Times New Roman"/>
              </w:rPr>
              <w:t>87</w:t>
            </w:r>
          </w:p>
        </w:tc>
      </w:tr>
      <w:tr w:rsidR="00D602D4">
        <w:trPr>
          <w:trHeight w:val="337"/>
          <w:jc w:val="center"/>
        </w:trPr>
        <w:tc>
          <w:tcPr>
            <w:tcW w:w="2283" w:type="dxa"/>
            <w:tcBorders>
              <w:top w:val="none" w:sz="4" w:space="0" w:color="000000"/>
              <w:left w:val="single" w:sz="4" w:space="0" w:color="000000"/>
              <w:bottom w:val="single" w:sz="4" w:space="0" w:color="000000"/>
              <w:right w:val="single" w:sz="4" w:space="0" w:color="000000"/>
            </w:tcBorders>
            <w:shd w:val="clear" w:color="000000" w:fill="DCE6F1"/>
            <w:noWrap/>
            <w:vAlign w:val="center"/>
          </w:tcPr>
          <w:p w:rsidR="00D602D4" w:rsidRDefault="000B4C86">
            <w:pPr>
              <w:widowControl w:val="0"/>
              <w:spacing w:after="0" w:line="240" w:lineRule="auto"/>
              <w:rPr>
                <w:rFonts w:ascii="Times New Roman" w:eastAsia="Times New Roman" w:hAnsi="Times New Roman" w:cs="Times New Roman"/>
                <w:b/>
                <w:bCs/>
                <w:color w:val="000000"/>
                <w:highlight w:val="white"/>
              </w:rPr>
            </w:pPr>
            <w:r>
              <w:rPr>
                <w:rFonts w:ascii="Times New Roman" w:eastAsia="Times New Roman" w:hAnsi="Times New Roman" w:cs="Times New Roman"/>
                <w:b/>
                <w:bCs/>
                <w:color w:val="000000"/>
              </w:rPr>
              <w:t>Общая оценка:</w:t>
            </w:r>
          </w:p>
        </w:tc>
        <w:tc>
          <w:tcPr>
            <w:tcW w:w="1706" w:type="dxa"/>
            <w:tcBorders>
              <w:top w:val="none" w:sz="4" w:space="0" w:color="000000"/>
              <w:left w:val="none" w:sz="4" w:space="0" w:color="000000"/>
              <w:bottom w:val="single" w:sz="4" w:space="0" w:color="000000"/>
              <w:right w:val="single" w:sz="4" w:space="0" w:color="000000"/>
            </w:tcBorders>
            <w:shd w:val="clear" w:color="000000" w:fill="DCE6F1"/>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99</w:t>
            </w:r>
          </w:p>
        </w:tc>
        <w:tc>
          <w:tcPr>
            <w:tcW w:w="1899" w:type="dxa"/>
            <w:tcBorders>
              <w:top w:val="none" w:sz="4" w:space="0" w:color="000000"/>
              <w:left w:val="none" w:sz="4" w:space="0" w:color="000000"/>
              <w:bottom w:val="single" w:sz="4" w:space="0" w:color="000000"/>
              <w:right w:val="single" w:sz="4" w:space="0" w:color="000000"/>
            </w:tcBorders>
            <w:shd w:val="clear" w:color="000000" w:fill="DCE6F1"/>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484</w:t>
            </w:r>
          </w:p>
        </w:tc>
        <w:tc>
          <w:tcPr>
            <w:tcW w:w="1574" w:type="dxa"/>
            <w:tcBorders>
              <w:top w:val="none" w:sz="4" w:space="0" w:color="000000"/>
              <w:left w:val="none" w:sz="4" w:space="0" w:color="000000"/>
              <w:bottom w:val="single" w:sz="4" w:space="0" w:color="000000"/>
              <w:right w:val="single" w:sz="4" w:space="0" w:color="000000"/>
            </w:tcBorders>
            <w:shd w:val="clear" w:color="000000" w:fill="DCE6F1"/>
            <w:noWrap/>
            <w:vAlign w:val="center"/>
          </w:tcPr>
          <w:p w:rsidR="00D602D4" w:rsidRDefault="000B4C86">
            <w:pPr>
              <w:spacing w:line="240" w:lineRule="auto"/>
              <w:jc w:val="center"/>
              <w:rPr>
                <w:rFonts w:ascii="Times New Roman" w:hAnsi="Times New Roman" w:cs="Times New Roman"/>
              </w:rPr>
            </w:pPr>
            <w:r>
              <w:rPr>
                <w:rFonts w:ascii="Times New Roman" w:eastAsia="Times New Roman" w:hAnsi="Times New Roman" w:cs="Times New Roman"/>
              </w:rPr>
              <w:t>408</w:t>
            </w:r>
          </w:p>
        </w:tc>
        <w:tc>
          <w:tcPr>
            <w:tcW w:w="1844" w:type="dxa"/>
            <w:tcBorders>
              <w:top w:val="none" w:sz="4" w:space="0" w:color="000000"/>
              <w:left w:val="none" w:sz="4" w:space="0" w:color="000000"/>
              <w:bottom w:val="single" w:sz="4" w:space="0" w:color="000000"/>
              <w:right w:val="single" w:sz="4" w:space="0" w:color="000000"/>
            </w:tcBorders>
            <w:shd w:val="clear" w:color="000000" w:fill="DCE6F1"/>
            <w:noWrap/>
            <w:vAlign w:val="center"/>
          </w:tcPr>
          <w:p w:rsidR="00D602D4" w:rsidRDefault="000B4C86">
            <w:pPr>
              <w:jc w:val="center"/>
              <w:rPr>
                <w:rFonts w:ascii="Times New Roman" w:hAnsi="Times New Roman" w:cs="Times New Roman"/>
              </w:rPr>
            </w:pPr>
            <w:r>
              <w:rPr>
                <w:rFonts w:ascii="Times New Roman" w:eastAsia="Times New Roman" w:hAnsi="Times New Roman" w:cs="Times New Roman"/>
              </w:rPr>
              <w:t>84</w:t>
            </w:r>
          </w:p>
        </w:tc>
      </w:tr>
    </w:tbl>
    <w:p w:rsidR="00D602D4" w:rsidRDefault="00D602D4">
      <w:pPr>
        <w:pStyle w:val="afff"/>
        <w:spacing w:before="0"/>
        <w:rPr>
          <w:color w:val="auto"/>
          <w:sz w:val="26"/>
          <w:szCs w:val="26"/>
        </w:rPr>
      </w:pPr>
    </w:p>
    <w:p w:rsidR="00D602D4" w:rsidRDefault="000B4C86">
      <w:pPr>
        <w:pStyle w:val="13"/>
        <w:spacing w:before="0" w:line="240" w:lineRule="auto"/>
        <w:rPr>
          <w:rFonts w:ascii="Times New Roman" w:hAnsi="Times New Roman" w:cs="Times New Roman"/>
          <w:b/>
          <w:color w:val="auto"/>
          <w:sz w:val="26"/>
          <w:szCs w:val="26"/>
        </w:rPr>
      </w:pPr>
      <w:bookmarkStart w:id="88" w:name="_Toc125"/>
      <w:r>
        <w:rPr>
          <w:rFonts w:ascii="Times New Roman" w:eastAsia="Times New Roman" w:hAnsi="Times New Roman" w:cs="Times New Roman"/>
          <w:b/>
          <w:color w:val="auto"/>
          <w:sz w:val="26"/>
          <w:szCs w:val="26"/>
        </w:rPr>
        <w:t>5.3. Общее собрание акционеров</w:t>
      </w:r>
      <w:bookmarkEnd w:id="88"/>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lang w:eastAsia="ru-RU"/>
        </w:rPr>
        <w:t>Общее собрание акционеров (далее по тексту - ОСА) является высшим органом управления ПАО «Россети Сибирь» и принимает решения по наиболее важным вопросам деятельности Общества в соответствии с действующим законодательством Российской Федерации и Уставом Общества.</w:t>
      </w:r>
    </w:p>
    <w:p w:rsidR="00D602D4" w:rsidRDefault="000B4C86">
      <w:pPr>
        <w:spacing w:after="0" w:line="240" w:lineRule="auto"/>
        <w:ind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Компетенция, порядок и сроки подготовки проведения ОСА определены Федеральным </w:t>
      </w:r>
      <w:r>
        <w:rPr>
          <w:rFonts w:ascii="Times New Roman" w:eastAsia="Calibri" w:hAnsi="Times New Roman" w:cs="Times New Roman"/>
          <w:sz w:val="24"/>
          <w:szCs w:val="28"/>
          <w:highlight w:val="white"/>
          <w:lang w:eastAsia="ru-RU"/>
        </w:rPr>
        <w:t xml:space="preserve">законом </w:t>
      </w:r>
      <w:r>
        <w:rPr>
          <w:rFonts w:ascii="Times New Roman" w:eastAsia="Times New Roman" w:hAnsi="Times New Roman" w:cs="Times New Roman"/>
          <w:sz w:val="24"/>
          <w:szCs w:val="24"/>
          <w:highlight w:val="white"/>
          <w:lang w:eastAsia="ru-RU"/>
        </w:rPr>
        <w:t xml:space="preserve">от 26.12.1995 № 208-ФЗ </w:t>
      </w:r>
      <w:r>
        <w:rPr>
          <w:rFonts w:ascii="Times New Roman" w:eastAsia="Calibri" w:hAnsi="Times New Roman" w:cs="Times New Roman"/>
          <w:sz w:val="24"/>
          <w:szCs w:val="28"/>
          <w:highlight w:val="white"/>
          <w:lang w:eastAsia="ru-RU"/>
        </w:rPr>
        <w:t>«Об акционерных обществах» (далее – Федеральный закон «Об акционерных обществах»), Положением Банка России от 16.11.2018 № 660-П «Об общих собраниях акционеров»,</w:t>
      </w:r>
      <w:r>
        <w:rPr>
          <w:rFonts w:ascii="Times New Roman" w:eastAsia="Times New Roman" w:hAnsi="Times New Roman" w:cs="Times New Roman"/>
          <w:sz w:val="24"/>
          <w:szCs w:val="24"/>
          <w:highlight w:val="white"/>
        </w:rPr>
        <w:t xml:space="preserve"> Уставом и Положением об Общем собрании акционеров Общества, утвержденным годовым Общим собранием акционеров 03.06.2021 (протокол от 04.06.2021 № 18)</w:t>
      </w:r>
      <w:r>
        <w:rPr>
          <w:rFonts w:ascii="Times New Roman" w:eastAsia="Times New Roman" w:hAnsi="Times New Roman" w:cs="Times New Roman"/>
          <w:sz w:val="24"/>
          <w:szCs w:val="24"/>
          <w:highlight w:val="white"/>
          <w:vertAlign w:val="superscript"/>
        </w:rPr>
        <w:footnoteReference w:id="24"/>
      </w:r>
      <w:r>
        <w:rPr>
          <w:rFonts w:ascii="Times New Roman" w:eastAsia="Times New Roman" w:hAnsi="Times New Roman" w:cs="Times New Roman"/>
          <w:sz w:val="24"/>
          <w:szCs w:val="24"/>
          <w:highlight w:val="white"/>
        </w:rPr>
        <w:t xml:space="preserve">. </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В отчетном году годовое Общее собрание акционеров (ГОСА) проведено 18.06.2024.</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lang w:eastAsia="ru-RU"/>
        </w:rPr>
        <w:t>В соответствии со ст. 12 Федерального закона от 25.12.2023 № 625-ФЗ «О внесении изменений в статью 98 Федерального закона «О государственном контроле (надзоре) и муниципальном контроле в Российской Федерации» и отдельные законодательные акты Российской Федерации»</w:t>
      </w:r>
      <w:r>
        <w:rPr>
          <w:rFonts w:ascii="Times New Roman" w:hAnsi="Times New Roman" w:cs="Times New Roman"/>
          <w:sz w:val="24"/>
          <w:szCs w:val="24"/>
          <w:highlight w:val="white"/>
        </w:rPr>
        <w:t xml:space="preserve"> и решением Совета директоров Общества от 13.05.2024 (протокол от 16.05.2024 № 524/24) ГОСА проведено в 2024 году в форме заочного голосования.</w:t>
      </w:r>
    </w:p>
    <w:p w:rsidR="00D602D4" w:rsidRDefault="00D602D4">
      <w:pPr>
        <w:spacing w:after="0" w:line="240" w:lineRule="auto"/>
        <w:ind w:firstLine="709"/>
        <w:jc w:val="center"/>
        <w:rPr>
          <w:rFonts w:ascii="Times New Roman" w:hAnsi="Times New Roman" w:cs="Times New Roman"/>
          <w:b/>
          <w:bCs/>
          <w:sz w:val="24"/>
          <w:szCs w:val="24"/>
        </w:rPr>
      </w:pPr>
    </w:p>
    <w:p w:rsidR="00D602D4" w:rsidRDefault="00D602D4">
      <w:pPr>
        <w:spacing w:after="0" w:line="240" w:lineRule="auto"/>
        <w:ind w:firstLine="709"/>
        <w:jc w:val="center"/>
        <w:rPr>
          <w:rFonts w:ascii="Times New Roman" w:hAnsi="Times New Roman" w:cs="Times New Roman"/>
          <w:b/>
          <w:bCs/>
          <w:sz w:val="24"/>
          <w:szCs w:val="24"/>
        </w:rPr>
      </w:pPr>
    </w:p>
    <w:p w:rsidR="00D602D4" w:rsidRDefault="00D602D4">
      <w:pPr>
        <w:spacing w:after="0" w:line="240" w:lineRule="auto"/>
        <w:ind w:firstLine="709"/>
        <w:jc w:val="center"/>
        <w:rPr>
          <w:rFonts w:ascii="Times New Roman" w:hAnsi="Times New Roman" w:cs="Times New Roman"/>
          <w:b/>
          <w:bCs/>
          <w:sz w:val="24"/>
          <w:szCs w:val="24"/>
        </w:rPr>
      </w:pPr>
    </w:p>
    <w:p w:rsidR="00D602D4" w:rsidRDefault="00D602D4">
      <w:pPr>
        <w:spacing w:after="0" w:line="240" w:lineRule="auto"/>
        <w:ind w:firstLine="709"/>
        <w:jc w:val="center"/>
        <w:rPr>
          <w:rFonts w:ascii="Times New Roman" w:hAnsi="Times New Roman" w:cs="Times New Roman"/>
          <w:b/>
          <w:bCs/>
          <w:sz w:val="24"/>
          <w:szCs w:val="24"/>
        </w:rPr>
      </w:pPr>
    </w:p>
    <w:p w:rsidR="00D602D4" w:rsidRDefault="00D602D4">
      <w:pPr>
        <w:spacing w:after="0" w:line="240" w:lineRule="auto"/>
        <w:ind w:firstLine="709"/>
        <w:jc w:val="center"/>
        <w:rPr>
          <w:rFonts w:ascii="Times New Roman" w:hAnsi="Times New Roman" w:cs="Times New Roman"/>
          <w:b/>
          <w:bCs/>
          <w:sz w:val="24"/>
          <w:szCs w:val="24"/>
        </w:rPr>
      </w:pPr>
    </w:p>
    <w:p w:rsidR="00D602D4" w:rsidRDefault="000B4C86">
      <w:pPr>
        <w:spacing w:after="0" w:line="240" w:lineRule="auto"/>
        <w:ind w:firstLine="709"/>
        <w:jc w:val="center"/>
        <w:rPr>
          <w:rFonts w:ascii="Times New Roman" w:hAnsi="Times New Roman" w:cs="Times New Roman"/>
          <w:b/>
          <w:bCs/>
          <w:sz w:val="24"/>
          <w:szCs w:val="24"/>
        </w:rPr>
      </w:pPr>
      <w:r>
        <w:rPr>
          <w:rFonts w:ascii="Times New Roman" w:hAnsi="Times New Roman" w:cs="Times New Roman"/>
          <w:b/>
          <w:sz w:val="24"/>
          <w:szCs w:val="24"/>
          <w:highlight w:val="white"/>
        </w:rPr>
        <w:lastRenderedPageBreak/>
        <w:t>Сведения о проведенных ОСА в 2024 году</w:t>
      </w:r>
    </w:p>
    <w:p w:rsidR="00D602D4" w:rsidRDefault="000B4C86">
      <w:pPr>
        <w:spacing w:after="0" w:line="240" w:lineRule="auto"/>
        <w:ind w:firstLine="709"/>
        <w:jc w:val="right"/>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Таблица </w:t>
      </w:r>
      <w:r>
        <w:rPr>
          <w:rFonts w:ascii="Times New Roman" w:hAnsi="Times New Roman" w:cs="Times New Roman"/>
          <w:sz w:val="24"/>
          <w:szCs w:val="24"/>
        </w:rPr>
        <w:t>59</w:t>
      </w:r>
    </w:p>
    <w:tbl>
      <w:tblPr>
        <w:tblStyle w:val="83"/>
        <w:tblW w:w="9351" w:type="dxa"/>
        <w:jc w:val="center"/>
        <w:tblInd w:w="0" w:type="dxa"/>
        <w:tblLook w:val="04A0" w:firstRow="1" w:lastRow="0" w:firstColumn="1" w:lastColumn="0" w:noHBand="0" w:noVBand="1"/>
      </w:tblPr>
      <w:tblGrid>
        <w:gridCol w:w="3114"/>
        <w:gridCol w:w="6237"/>
      </w:tblGrid>
      <w:tr w:rsidR="00D602D4">
        <w:trPr>
          <w:jc w:val="center"/>
        </w:trPr>
        <w:tc>
          <w:tcPr>
            <w:tcW w:w="3114" w:type="dxa"/>
            <w:tcBorders>
              <w:top w:val="single" w:sz="4" w:space="0" w:color="000000"/>
              <w:left w:val="single" w:sz="4" w:space="0" w:color="000000"/>
              <w:bottom w:val="single" w:sz="4" w:space="0" w:color="000000"/>
              <w:right w:val="single" w:sz="4" w:space="0" w:color="000000"/>
            </w:tcBorders>
          </w:tcPr>
          <w:p w:rsidR="00D602D4" w:rsidRDefault="000B4C86">
            <w:pPr>
              <w:spacing w:line="259" w:lineRule="auto"/>
              <w:jc w:val="both"/>
              <w:rPr>
                <w:rFonts w:ascii="Times New Roman" w:hAnsi="Times New Roman" w:cs="Times New Roman"/>
                <w:b/>
                <w:highlight w:val="white"/>
              </w:rPr>
            </w:pPr>
            <w:r>
              <w:rPr>
                <w:rFonts w:ascii="Times New Roman" w:hAnsi="Times New Roman" w:cs="Times New Roman"/>
                <w:b/>
                <w:highlight w:val="white"/>
              </w:rPr>
              <w:t>ОСА</w:t>
            </w:r>
          </w:p>
        </w:tc>
        <w:tc>
          <w:tcPr>
            <w:tcW w:w="6237" w:type="dxa"/>
            <w:tcBorders>
              <w:top w:val="single" w:sz="4" w:space="0" w:color="000000"/>
              <w:left w:val="single" w:sz="4" w:space="0" w:color="000000"/>
              <w:bottom w:val="single" w:sz="4" w:space="0" w:color="000000"/>
              <w:right w:val="single" w:sz="4" w:space="0" w:color="000000"/>
            </w:tcBorders>
          </w:tcPr>
          <w:p w:rsidR="00D602D4" w:rsidRDefault="000B4C86">
            <w:pPr>
              <w:spacing w:line="259" w:lineRule="auto"/>
              <w:jc w:val="both"/>
              <w:rPr>
                <w:rFonts w:ascii="Times New Roman" w:hAnsi="Times New Roman" w:cs="Times New Roman"/>
                <w:b/>
                <w:highlight w:val="white"/>
              </w:rPr>
            </w:pPr>
            <w:r>
              <w:rPr>
                <w:rFonts w:ascii="Times New Roman" w:hAnsi="Times New Roman" w:cs="Times New Roman"/>
                <w:b/>
                <w:highlight w:val="white"/>
              </w:rPr>
              <w:t>Перечень рассмотренных вопросов</w:t>
            </w:r>
            <w:r>
              <w:rPr>
                <w:rFonts w:ascii="Times New Roman" w:hAnsi="Times New Roman" w:cs="Times New Roman"/>
                <w:b/>
                <w:highlight w:val="white"/>
                <w:vertAlign w:val="superscript"/>
              </w:rPr>
              <w:footnoteReference w:id="25"/>
            </w:r>
          </w:p>
        </w:tc>
      </w:tr>
      <w:tr w:rsidR="00D602D4">
        <w:trPr>
          <w:jc w:val="center"/>
        </w:trPr>
        <w:tc>
          <w:tcPr>
            <w:tcW w:w="3114" w:type="dxa"/>
            <w:tcBorders>
              <w:top w:val="single" w:sz="4" w:space="0" w:color="000000"/>
              <w:left w:val="single" w:sz="4" w:space="0" w:color="000000"/>
              <w:bottom w:val="single" w:sz="4" w:space="0" w:color="000000"/>
              <w:right w:val="single" w:sz="4" w:space="0" w:color="000000"/>
            </w:tcBorders>
          </w:tcPr>
          <w:p w:rsidR="00D602D4" w:rsidRDefault="000B4C86">
            <w:pPr>
              <w:spacing w:line="259" w:lineRule="auto"/>
              <w:jc w:val="both"/>
              <w:rPr>
                <w:rFonts w:ascii="Times New Roman" w:hAnsi="Times New Roman" w:cs="Times New Roman"/>
                <w:b/>
                <w:highlight w:val="white"/>
              </w:rPr>
            </w:pPr>
            <w:r>
              <w:rPr>
                <w:rFonts w:ascii="Times New Roman" w:hAnsi="Times New Roman" w:cs="Times New Roman"/>
                <w:b/>
                <w:highlight w:val="white"/>
              </w:rPr>
              <w:t>ГОСА от 18.06.2024 (протокол от 20.06.2024 № 22)</w:t>
            </w:r>
          </w:p>
        </w:tc>
        <w:tc>
          <w:tcPr>
            <w:tcW w:w="6237" w:type="dxa"/>
            <w:tcBorders>
              <w:top w:val="single" w:sz="4" w:space="0" w:color="000000"/>
              <w:left w:val="single" w:sz="4" w:space="0" w:color="000000"/>
              <w:bottom w:val="single" w:sz="4" w:space="0" w:color="000000"/>
              <w:right w:val="single" w:sz="4" w:space="0" w:color="000000"/>
            </w:tcBorders>
          </w:tcPr>
          <w:p w:rsidR="00D602D4" w:rsidRDefault="000B4C86">
            <w:pPr>
              <w:pStyle w:val="ac"/>
              <w:numPr>
                <w:ilvl w:val="0"/>
                <w:numId w:val="21"/>
              </w:numPr>
              <w:tabs>
                <w:tab w:val="left" w:pos="425"/>
              </w:tabs>
              <w:ind w:left="0" w:firstLine="142"/>
              <w:jc w:val="both"/>
              <w:rPr>
                <w:rFonts w:ascii="Times New Roman" w:hAnsi="Times New Roman" w:cs="Times New Roman"/>
                <w:bCs/>
                <w:highlight w:val="white"/>
              </w:rPr>
            </w:pPr>
            <w:r>
              <w:rPr>
                <w:rFonts w:ascii="Times New Roman" w:hAnsi="Times New Roman" w:cs="Times New Roman"/>
                <w:highlight w:val="white"/>
              </w:rPr>
              <w:t>Об утверждении годового отчета Общества за 2023 год, годовой бухгалтерской (финансовой) отчетности Общества за 2023 год;</w:t>
            </w:r>
          </w:p>
          <w:p w:rsidR="00D602D4" w:rsidRDefault="000B4C86">
            <w:pPr>
              <w:pStyle w:val="ac"/>
              <w:numPr>
                <w:ilvl w:val="0"/>
                <w:numId w:val="21"/>
              </w:numPr>
              <w:tabs>
                <w:tab w:val="left" w:pos="425"/>
              </w:tabs>
              <w:ind w:left="0" w:firstLine="142"/>
              <w:jc w:val="both"/>
              <w:rPr>
                <w:rFonts w:ascii="Times New Roman" w:hAnsi="Times New Roman" w:cs="Times New Roman"/>
                <w:bCs/>
                <w:highlight w:val="white"/>
              </w:rPr>
            </w:pPr>
            <w:r>
              <w:rPr>
                <w:rFonts w:ascii="Times New Roman" w:hAnsi="Times New Roman" w:cs="Times New Roman"/>
                <w:highlight w:val="white"/>
              </w:rPr>
              <w:t xml:space="preserve">О распределении прибыли (в том числе о выплате (объявлении) дивидендов) и убытков Общества по результатам 2023 года; </w:t>
            </w:r>
          </w:p>
          <w:p w:rsidR="00D602D4" w:rsidRDefault="000B4C86">
            <w:pPr>
              <w:pStyle w:val="ac"/>
              <w:numPr>
                <w:ilvl w:val="0"/>
                <w:numId w:val="21"/>
              </w:numPr>
              <w:tabs>
                <w:tab w:val="left" w:pos="425"/>
              </w:tabs>
              <w:ind w:left="0" w:firstLine="142"/>
              <w:jc w:val="both"/>
              <w:rPr>
                <w:rFonts w:ascii="Times New Roman" w:hAnsi="Times New Roman" w:cs="Times New Roman"/>
                <w:bCs/>
                <w:highlight w:val="white"/>
              </w:rPr>
            </w:pPr>
            <w:r>
              <w:rPr>
                <w:rFonts w:ascii="Times New Roman" w:hAnsi="Times New Roman" w:cs="Times New Roman"/>
                <w:highlight w:val="white"/>
              </w:rPr>
              <w:t>Об избрании членов Совета директоров Общества;</w:t>
            </w:r>
          </w:p>
          <w:p w:rsidR="00D602D4" w:rsidRDefault="000B4C86">
            <w:pPr>
              <w:pStyle w:val="ac"/>
              <w:numPr>
                <w:ilvl w:val="0"/>
                <w:numId w:val="21"/>
              </w:numPr>
              <w:tabs>
                <w:tab w:val="left" w:pos="425"/>
              </w:tabs>
              <w:ind w:left="0" w:firstLine="142"/>
              <w:jc w:val="both"/>
              <w:rPr>
                <w:rFonts w:ascii="Times New Roman" w:hAnsi="Times New Roman" w:cs="Times New Roman"/>
                <w:bCs/>
                <w:highlight w:val="white"/>
              </w:rPr>
            </w:pPr>
            <w:r>
              <w:rPr>
                <w:rFonts w:ascii="Times New Roman" w:hAnsi="Times New Roman" w:cs="Times New Roman"/>
                <w:highlight w:val="white"/>
              </w:rPr>
              <w:t xml:space="preserve">Об избрании членов Ревизионной комиссии Общества; </w:t>
            </w:r>
          </w:p>
          <w:p w:rsidR="00D602D4" w:rsidRDefault="000B4C86">
            <w:pPr>
              <w:pStyle w:val="ac"/>
              <w:numPr>
                <w:ilvl w:val="0"/>
                <w:numId w:val="21"/>
              </w:numPr>
              <w:tabs>
                <w:tab w:val="left" w:pos="425"/>
              </w:tabs>
              <w:ind w:left="0" w:firstLine="142"/>
              <w:jc w:val="both"/>
              <w:rPr>
                <w:rFonts w:ascii="Times New Roman" w:hAnsi="Times New Roman" w:cs="Times New Roman"/>
                <w:bCs/>
                <w:highlight w:val="white"/>
              </w:rPr>
            </w:pPr>
            <w:r>
              <w:rPr>
                <w:rFonts w:ascii="Times New Roman" w:hAnsi="Times New Roman" w:cs="Times New Roman"/>
                <w:highlight w:val="white"/>
              </w:rPr>
              <w:t>О назначении аудиторской организации Общества;</w:t>
            </w:r>
          </w:p>
          <w:p w:rsidR="00D602D4" w:rsidRDefault="000B4C86">
            <w:pPr>
              <w:pStyle w:val="ac"/>
              <w:numPr>
                <w:ilvl w:val="0"/>
                <w:numId w:val="21"/>
              </w:numPr>
              <w:tabs>
                <w:tab w:val="left" w:pos="425"/>
              </w:tabs>
              <w:ind w:left="0" w:firstLine="142"/>
              <w:jc w:val="both"/>
              <w:rPr>
                <w:rFonts w:ascii="Times New Roman" w:hAnsi="Times New Roman" w:cs="Times New Roman"/>
                <w:bCs/>
                <w:highlight w:val="white"/>
              </w:rPr>
            </w:pPr>
            <w:r>
              <w:rPr>
                <w:rFonts w:ascii="Times New Roman" w:hAnsi="Times New Roman" w:cs="Times New Roman"/>
                <w:highlight w:val="white"/>
              </w:rPr>
              <w:t>Об утверждении Устава Общества в новой редакции.</w:t>
            </w:r>
          </w:p>
        </w:tc>
      </w:tr>
    </w:tbl>
    <w:p w:rsidR="00D602D4" w:rsidRDefault="00D602D4">
      <w:pPr>
        <w:spacing w:after="0" w:line="240" w:lineRule="auto"/>
        <w:jc w:val="both"/>
        <w:rPr>
          <w:rFonts w:ascii="Times New Roman" w:hAnsi="Times New Roman" w:cs="Times New Roman"/>
          <w:sz w:val="24"/>
          <w:szCs w:val="24"/>
          <w:highlight w:val="yellow"/>
        </w:rPr>
      </w:pP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По всем вопросам повестки дня ГОСА приняты положительные решения. По всем вопросам повестки дня ГОСА от 18.06.2024 миноритарные акционеры поддержали предложенные проекты решений, что свидетельствует о высоком уровне корпоративного управления в Обществе.</w:t>
      </w:r>
    </w:p>
    <w:p w:rsidR="00D602D4" w:rsidRDefault="000B4C86">
      <w:pPr>
        <w:widowControl w:val="0"/>
        <w:tabs>
          <w:tab w:val="left" w:pos="1077"/>
        </w:tabs>
        <w:jc w:val="center"/>
        <w:rPr>
          <w:rFonts w:ascii="Times New Roman" w:hAnsi="Times New Roman" w:cs="Times New Roman"/>
          <w:b/>
          <w:sz w:val="24"/>
          <w:szCs w:val="24"/>
          <w:highlight w:val="yellow"/>
        </w:rPr>
      </w:pPr>
      <w:r>
        <w:rPr>
          <w:noProof/>
          <w:highlight w:val="yellow"/>
          <w:lang w:eastAsia="ru-RU"/>
        </w:rPr>
        <w:drawing>
          <wp:inline distT="0" distB="0" distL="0" distR="0">
            <wp:extent cx="6012484" cy="2595231"/>
            <wp:effectExtent l="4762" t="4762" r="4762" b="4762"/>
            <wp:docPr id="144"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D602D4" w:rsidRDefault="000B4C86">
      <w:pPr>
        <w:widowControl w:val="0"/>
        <w:jc w:val="center"/>
        <w:rPr>
          <w:rFonts w:ascii="Times New Roman" w:hAnsi="Times New Roman" w:cs="Times New Roman"/>
          <w:b/>
          <w:sz w:val="24"/>
          <w:szCs w:val="24"/>
          <w:highlight w:val="white"/>
        </w:rPr>
      </w:pPr>
      <w:r>
        <w:rPr>
          <w:rFonts w:ascii="Times New Roman" w:hAnsi="Times New Roman" w:cs="Times New Roman"/>
          <w:b/>
          <w:sz w:val="24"/>
          <w:szCs w:val="24"/>
          <w:highlight w:val="white"/>
        </w:rPr>
        <w:t>Рис. 29 - Кворум на Общих собраниях акционеров Общества за последние 5 лет.</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color w:val="FFFFFF" w:themeColor="background1"/>
          <w:sz w:val="24"/>
          <w:szCs w:val="24"/>
          <w:highlight w:val="white"/>
        </w:rPr>
        <w:t>.</w:t>
      </w:r>
      <w:r>
        <w:rPr>
          <w:rFonts w:ascii="Times New Roman" w:hAnsi="Times New Roman" w:cs="Times New Roman"/>
          <w:sz w:val="24"/>
          <w:szCs w:val="24"/>
          <w:highlight w:val="white"/>
        </w:rPr>
        <w:t xml:space="preserve">   </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jc w:val="both"/>
        <w:rPr>
          <w:rFonts w:ascii="Times New Roman" w:hAnsi="Times New Roman" w:cs="Times New Roman"/>
          <w:sz w:val="24"/>
          <w:szCs w:val="24"/>
        </w:rPr>
      </w:pPr>
      <w:bookmarkStart w:id="89" w:name="_Toc126"/>
      <w:r>
        <w:rPr>
          <w:rFonts w:ascii="Times New Roman" w:eastAsia="Times New Roman" w:hAnsi="Times New Roman" w:cs="Times New Roman"/>
          <w:b/>
          <w:sz w:val="26"/>
          <w:szCs w:val="26"/>
        </w:rPr>
        <w:t>5.4. Отчет Совета директоров Общества</w:t>
      </w:r>
      <w:bookmarkEnd w:id="89"/>
    </w:p>
    <w:p w:rsidR="00D602D4" w:rsidRDefault="00D602D4">
      <w:pPr>
        <w:widowControl w:val="0"/>
        <w:spacing w:after="0" w:line="240" w:lineRule="auto"/>
        <w:ind w:firstLine="709"/>
        <w:jc w:val="both"/>
        <w:rPr>
          <w:rFonts w:ascii="Times New Roman" w:hAnsi="Times New Roman" w:cs="Times New Roman"/>
          <w:spacing w:val="-2"/>
          <w:sz w:val="24"/>
          <w:szCs w:val="24"/>
        </w:rPr>
      </w:pPr>
    </w:p>
    <w:p w:rsidR="00D602D4" w:rsidRDefault="000B4C86">
      <w:pPr>
        <w:widowControl w:val="0"/>
        <w:spacing w:after="0" w:line="240" w:lineRule="auto"/>
        <w:ind w:firstLine="709"/>
        <w:jc w:val="both"/>
        <w:rPr>
          <w:rFonts w:ascii="Times New Roman" w:eastAsia="Times New Roman" w:hAnsi="Times New Roman" w:cs="Times New Roman"/>
          <w:spacing w:val="-2"/>
          <w:sz w:val="24"/>
          <w:szCs w:val="24"/>
        </w:rPr>
      </w:pPr>
      <w:r>
        <w:rPr>
          <w:rFonts w:ascii="Times New Roman" w:eastAsia="Times New Roman" w:hAnsi="Times New Roman" w:cs="Times New Roman"/>
          <w:spacing w:val="-2"/>
          <w:sz w:val="24"/>
          <w:szCs w:val="24"/>
        </w:rPr>
        <w:t xml:space="preserve">Совет директоров является стратегическим органом управления Общества, который осуществляет общее руководство деятельностью Общества, </w:t>
      </w:r>
      <w:r>
        <w:rPr>
          <w:rFonts w:ascii="Times New Roman" w:eastAsia="Times New Roman" w:hAnsi="Times New Roman" w:cs="Times New Roman"/>
          <w:sz w:val="24"/>
          <w:szCs w:val="24"/>
        </w:rPr>
        <w:t>за исключением принятия решений по вопросам, отнесенным законодательством Российской Федерации к компетенции Общего собрания акционеров. Совет директоров избирается Общим собранием акционеров и подотчетен ему.</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Деятельность и компетенция Совета директоров регулируется Федеральным законом «Об акционерных обществах» и иными нормативными правовыми актами Российской </w:t>
      </w:r>
      <w:r>
        <w:rPr>
          <w:rFonts w:ascii="Times New Roman" w:eastAsia="Times New Roman" w:hAnsi="Times New Roman" w:cs="Times New Roman"/>
          <w:sz w:val="24"/>
          <w:szCs w:val="24"/>
        </w:rPr>
        <w:lastRenderedPageBreak/>
        <w:t>Федерации, Уставом Общества и Положением о Совете директоров Общества</w:t>
      </w:r>
      <w:r>
        <w:rPr>
          <w:rStyle w:val="af1"/>
          <w:rFonts w:ascii="Times New Roman" w:eastAsia="Times New Roman" w:hAnsi="Times New Roman" w:cs="Times New Roman"/>
          <w:sz w:val="24"/>
          <w:szCs w:val="24"/>
        </w:rPr>
        <w:footnoteReference w:id="26"/>
      </w:r>
      <w:r>
        <w:rPr>
          <w:rFonts w:ascii="Times New Roman" w:eastAsia="Times New Roman" w:hAnsi="Times New Roman" w:cs="Times New Roman"/>
          <w:sz w:val="24"/>
          <w:szCs w:val="24"/>
        </w:rPr>
        <w:t>.</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Председатель Совета директоров играет важную роль в организации работы Совета директоров Общества, обеспечивая организацию работы, профессиональные отношения и коммуникацию между членами Совета директоров Общества и членами исполнительных органов, а также обсуждение дискуссионных и спорных вопросов членами Совета директоров Общества.</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Председателя Совета директоров Общества в дополнение к полномочиям члена Совета директоров возложены функции:</w:t>
      </w:r>
    </w:p>
    <w:p w:rsidR="00D602D4" w:rsidRDefault="000B4C86">
      <w:pPr>
        <w:pStyle w:val="ac"/>
        <w:widowControl w:val="0"/>
        <w:numPr>
          <w:ilvl w:val="0"/>
          <w:numId w:val="88"/>
        </w:numPr>
        <w:tabs>
          <w:tab w:val="left" w:pos="927"/>
          <w:tab w:val="left" w:pos="992"/>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принятия решения о проведении заседания или заочного голосования для принятия решений Советом директоров с учетом важности вопросов повестки дня, рекомендаций, предусмотренных пунктом 168 Кодекса корпоративного управления, рекомендованного Банком России к применению акционерными обществами, акции которых допущены к организованным торгам;</w:t>
      </w:r>
    </w:p>
    <w:p w:rsidR="00D602D4" w:rsidRDefault="000B4C86">
      <w:pPr>
        <w:pStyle w:val="ac"/>
        <w:widowControl w:val="0"/>
        <w:numPr>
          <w:ilvl w:val="0"/>
          <w:numId w:val="88"/>
        </w:numPr>
        <w:tabs>
          <w:tab w:val="left" w:pos="927"/>
          <w:tab w:val="left" w:pos="992"/>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координации работы Совета директоров Общества, контроль за исполнением решений Совета директоров Общества</w:t>
      </w:r>
      <w:r>
        <w:t>;</w:t>
      </w:r>
    </w:p>
    <w:p w:rsidR="00D602D4" w:rsidRDefault="000B4C86">
      <w:pPr>
        <w:pStyle w:val="ac"/>
        <w:widowControl w:val="0"/>
        <w:numPr>
          <w:ilvl w:val="0"/>
          <w:numId w:val="89"/>
        </w:numPr>
        <w:tabs>
          <w:tab w:val="left" w:pos="927"/>
          <w:tab w:val="left" w:pos="992"/>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организации составления протокола об итогах проведения заседания или заочного голосования для принятия решений Советом директоров Общества, требования о проведении проверки (ревизии) финансово-хозяйственной деятельности Общества и иные документы от имени Совета директоров Общества;</w:t>
      </w:r>
    </w:p>
    <w:p w:rsidR="00D602D4" w:rsidRDefault="000B4C86">
      <w:pPr>
        <w:pStyle w:val="ac"/>
        <w:widowControl w:val="0"/>
        <w:numPr>
          <w:ilvl w:val="0"/>
          <w:numId w:val="90"/>
        </w:numPr>
        <w:tabs>
          <w:tab w:val="left" w:pos="927"/>
          <w:tab w:val="left" w:pos="992"/>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представления Совета директоров при взаимодействии с акционерами Общества, в органах власти, общественных организациях, в средствах массовой информации, исполнительных органах и членах трудового коллектива Общества, другими организациями;</w:t>
      </w:r>
    </w:p>
    <w:p w:rsidR="00D602D4" w:rsidRDefault="000B4C86">
      <w:pPr>
        <w:pStyle w:val="ac"/>
        <w:widowControl w:val="0"/>
        <w:numPr>
          <w:ilvl w:val="0"/>
          <w:numId w:val="91"/>
        </w:numPr>
        <w:tabs>
          <w:tab w:val="left" w:pos="927"/>
          <w:tab w:val="left" w:pos="992"/>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организации выработки наиболее эффективных решений по вопросам повестки дня заседания или заочного голосования и, при необходимости, свободное обсуждение этих вопросов, а также конструктивную атмосферу проведения заседаний, обеспечивает в процессе проведения заседания Совета директоров соблюдение требований законодательства Российской Федерации, Устава Общества, иных внутренних документов Общества и настоящего Положения.</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hint="eastAsia"/>
          <w:sz w:val="24"/>
          <w:szCs w:val="24"/>
        </w:rPr>
        <w:t xml:space="preserve">В отчетном </w:t>
      </w:r>
      <w:r>
        <w:rPr>
          <w:rFonts w:ascii="Times New Roman" w:eastAsia="Times New Roman" w:hAnsi="Times New Roman" w:cs="Times New Roman"/>
          <w:sz w:val="24"/>
          <w:szCs w:val="24"/>
        </w:rPr>
        <w:t xml:space="preserve">году Совет </w:t>
      </w:r>
      <w:r>
        <w:rPr>
          <w:rFonts w:ascii="Times New Roman" w:eastAsia="Times New Roman" w:hAnsi="Times New Roman" w:cs="Times New Roman" w:hint="eastAsia"/>
          <w:sz w:val="24"/>
          <w:szCs w:val="24"/>
        </w:rPr>
        <w:t>директоров</w:t>
      </w:r>
      <w:r>
        <w:rPr>
          <w:rFonts w:ascii="Times New Roman" w:eastAsia="Times New Roman" w:hAnsi="Times New Roman" w:cs="Times New Roman"/>
          <w:sz w:val="24"/>
          <w:szCs w:val="24"/>
        </w:rPr>
        <w:t xml:space="preserve"> Общества не принимал решения об утверждении приоритетных направлений деятельности. </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Количественный состав Совета директоров Общества определен Уставом и составляет 11 человек.</w:t>
      </w:r>
    </w:p>
    <w:p w:rsidR="00D602D4" w:rsidRDefault="000B4C86">
      <w:pPr>
        <w:tabs>
          <w:tab w:val="left" w:pos="993"/>
        </w:tabs>
        <w:spacing w:after="0" w:line="240" w:lineRule="auto"/>
        <w:ind w:firstLine="709"/>
        <w:jc w:val="both"/>
        <w:rPr>
          <w:rFonts w:ascii="Times New Roman" w:eastAsia="Times New Roman" w:hAnsi="Times New Roman" w:cs="Times New Roman"/>
          <w:color w:val="000000" w:themeColor="text1"/>
          <w:sz w:val="24"/>
          <w:szCs w:val="24"/>
          <w:highlight w:val="white"/>
        </w:rPr>
      </w:pPr>
      <w:r>
        <w:rPr>
          <w:rFonts w:ascii="Times New Roman" w:eastAsia="Times New Roman" w:hAnsi="Times New Roman" w:cs="Times New Roman"/>
          <w:color w:val="000000" w:themeColor="text1"/>
          <w:sz w:val="24"/>
          <w:szCs w:val="24"/>
          <w:highlight w:val="white"/>
        </w:rPr>
        <w:t xml:space="preserve">В 2024 году Совет директоров провел 29 заседаний в форме заочного голосования и 1 заседание в очно-заочной форме, на которых было рассмотрено 146 вопроса, в том числе значимые для Общества вопросы: об утверждении бизнес-плана на 2024 год, об одобрении проекта инвестиционной программы ПАО «Россети Сибирь» на период 2024-2029 гг., о рассмотрении отчетов об исполнении бизнес-плана Общества; об одобрении отчетов об итогах выполнения инвестиционной программы ПАО «Россети Сибирь». </w:t>
      </w:r>
    </w:p>
    <w:p w:rsidR="00D602D4" w:rsidRDefault="000B4C86">
      <w:pPr>
        <w:widowControl w:val="0"/>
        <w:spacing w:after="0" w:line="240" w:lineRule="auto"/>
        <w:ind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 2024 году Советом директоров рассмотрены вопросы эффективности системы управления рисками и внутреннего контроля, в том числе:</w:t>
      </w:r>
    </w:p>
    <w:p w:rsidR="00D602D4" w:rsidRDefault="000B4C86">
      <w:pPr>
        <w:widowControl w:val="0"/>
        <w:spacing w:after="0" w:line="240" w:lineRule="auto"/>
        <w:ind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о рассмотрении отчета внутреннего аудита Общества об оценке надежности и эффективности системы управления рисками и внутреннего контроля Общества за 2023 год;</w:t>
      </w:r>
    </w:p>
    <w:p w:rsidR="00D602D4" w:rsidRDefault="000B4C86">
      <w:pPr>
        <w:widowControl w:val="0"/>
        <w:spacing w:after="0" w:line="240" w:lineRule="auto"/>
        <w:ind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о рассмотрении отчета единоличного исполнительного органа Общества об организации, функционировании и эффективности системы управления рисками и внутреннего контроля ПАО «Россети Сибирь» за 2023 год.</w:t>
      </w:r>
    </w:p>
    <w:p w:rsidR="00D602D4" w:rsidRDefault="000B4C86">
      <w:pPr>
        <w:widowControl w:val="0"/>
        <w:tabs>
          <w:tab w:val="left" w:pos="0"/>
        </w:tabs>
        <w:spacing w:after="0" w:line="240" w:lineRule="auto"/>
        <w:ind w:firstLine="709"/>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 xml:space="preserve">Таблица </w:t>
      </w:r>
      <w:r>
        <w:rPr>
          <w:rFonts w:ascii="Times New Roman" w:eastAsia="Times New Roman" w:hAnsi="Times New Roman" w:cs="Times New Roman"/>
          <w:color w:val="000000"/>
          <w:sz w:val="24"/>
          <w:szCs w:val="24"/>
        </w:rPr>
        <w:t>60</w:t>
      </w:r>
    </w:p>
    <w:p w:rsidR="00D602D4" w:rsidRDefault="000B4C86">
      <w:pPr>
        <w:widowControl w:val="0"/>
        <w:tabs>
          <w:tab w:val="left" w:pos="0"/>
        </w:tabs>
        <w:spacing w:after="0" w:line="240" w:lineRule="auto"/>
        <w:ind w:firstLine="709"/>
        <w:jc w:val="center"/>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highlight w:val="white"/>
        </w:rPr>
        <w:t>Статистика работы Совета директоров</w:t>
      </w:r>
    </w:p>
    <w:tbl>
      <w:tblPr>
        <w:tblW w:w="9742" w:type="dxa"/>
        <w:tblInd w:w="1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1"/>
        <w:gridCol w:w="709"/>
        <w:gridCol w:w="851"/>
        <w:gridCol w:w="992"/>
        <w:gridCol w:w="992"/>
        <w:gridCol w:w="1667"/>
      </w:tblGrid>
      <w:tr w:rsidR="00D602D4">
        <w:trPr>
          <w:cantSplit/>
          <w:trHeight w:val="170"/>
        </w:trPr>
        <w:tc>
          <w:tcPr>
            <w:tcW w:w="4531" w:type="dxa"/>
            <w:vMerge w:val="restart"/>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Показатели</w:t>
            </w:r>
          </w:p>
        </w:tc>
        <w:tc>
          <w:tcPr>
            <w:tcW w:w="709" w:type="dxa"/>
            <w:vMerge w:val="restart"/>
            <w:shd w:val="clear" w:color="FFFFFF" w:fill="FFFFFF"/>
            <w:vAlign w:val="center"/>
          </w:tcPr>
          <w:p w:rsidR="00D602D4" w:rsidRDefault="000B4C86">
            <w:pPr>
              <w:widowControl w:val="0"/>
              <w:tabs>
                <w:tab w:val="left" w:pos="34"/>
              </w:tabs>
              <w:spacing w:after="0" w:line="240" w:lineRule="auto"/>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 xml:space="preserve"> Ед.</w:t>
            </w:r>
          </w:p>
          <w:p w:rsidR="00D602D4" w:rsidRDefault="000B4C86">
            <w:pPr>
              <w:widowControl w:val="0"/>
              <w:tabs>
                <w:tab w:val="left" w:pos="34"/>
              </w:tabs>
              <w:spacing w:after="0" w:line="240" w:lineRule="auto"/>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изм.</w:t>
            </w:r>
          </w:p>
        </w:tc>
        <w:tc>
          <w:tcPr>
            <w:tcW w:w="4502" w:type="dxa"/>
            <w:gridSpan w:val="4"/>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Период</w:t>
            </w:r>
          </w:p>
        </w:tc>
      </w:tr>
      <w:tr w:rsidR="00D602D4">
        <w:trPr>
          <w:cantSplit/>
          <w:trHeight w:val="170"/>
        </w:trPr>
        <w:tc>
          <w:tcPr>
            <w:tcW w:w="4531" w:type="dxa"/>
            <w:vMerge/>
            <w:shd w:val="clear" w:color="FFFFFF" w:fill="FFFFFF"/>
            <w:vAlign w:val="center"/>
          </w:tcPr>
          <w:p w:rsidR="00D602D4" w:rsidRDefault="00D602D4">
            <w:pPr>
              <w:widowControl w:val="0"/>
              <w:spacing w:after="0" w:line="240" w:lineRule="auto"/>
              <w:jc w:val="center"/>
              <w:rPr>
                <w:rFonts w:ascii="Times New Roman" w:eastAsia="Times New Roman" w:hAnsi="Times New Roman" w:cs="Times New Roman"/>
                <w:b/>
                <w:bCs/>
                <w:color w:val="000000"/>
                <w:sz w:val="18"/>
                <w:szCs w:val="18"/>
                <w:lang w:eastAsia="ru-RU"/>
              </w:rPr>
            </w:pPr>
          </w:p>
        </w:tc>
        <w:tc>
          <w:tcPr>
            <w:tcW w:w="709" w:type="dxa"/>
            <w:vMerge/>
            <w:shd w:val="clear" w:color="FFFFFF" w:fill="FFFFFF"/>
            <w:vAlign w:val="center"/>
          </w:tcPr>
          <w:p w:rsidR="00D602D4" w:rsidRDefault="00D602D4">
            <w:pPr>
              <w:widowControl w:val="0"/>
              <w:tabs>
                <w:tab w:val="left" w:pos="34"/>
              </w:tabs>
              <w:spacing w:after="0" w:line="240" w:lineRule="auto"/>
              <w:rPr>
                <w:rFonts w:ascii="Times New Roman" w:eastAsia="Times New Roman" w:hAnsi="Times New Roman" w:cs="Times New Roman"/>
                <w:b/>
                <w:bCs/>
                <w:color w:val="000000"/>
                <w:sz w:val="18"/>
                <w:szCs w:val="18"/>
                <w:lang w:eastAsia="ru-RU"/>
              </w:rPr>
            </w:pPr>
          </w:p>
        </w:tc>
        <w:tc>
          <w:tcPr>
            <w:tcW w:w="851"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 xml:space="preserve">2022 </w:t>
            </w:r>
          </w:p>
          <w:p w:rsidR="00D602D4" w:rsidRDefault="000B4C86">
            <w:pPr>
              <w:widowControl w:val="0"/>
              <w:spacing w:after="0" w:line="240" w:lineRule="auto"/>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год</w:t>
            </w:r>
          </w:p>
        </w:tc>
        <w:tc>
          <w:tcPr>
            <w:tcW w:w="992"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 xml:space="preserve">2023 </w:t>
            </w:r>
          </w:p>
          <w:p w:rsidR="00D602D4" w:rsidRDefault="000B4C86">
            <w:pPr>
              <w:widowControl w:val="0"/>
              <w:spacing w:after="0" w:line="240" w:lineRule="auto"/>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год</w:t>
            </w:r>
          </w:p>
        </w:tc>
        <w:tc>
          <w:tcPr>
            <w:tcW w:w="992"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 xml:space="preserve">2024 </w:t>
            </w:r>
          </w:p>
          <w:p w:rsidR="00D602D4" w:rsidRDefault="000B4C86">
            <w:pPr>
              <w:widowControl w:val="0"/>
              <w:spacing w:after="0" w:line="240" w:lineRule="auto"/>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год</w:t>
            </w:r>
          </w:p>
        </w:tc>
        <w:tc>
          <w:tcPr>
            <w:tcW w:w="1667" w:type="dxa"/>
            <w:shd w:val="clear" w:color="FFFFFF" w:fill="FFFFFF"/>
            <w:vAlign w:val="center"/>
          </w:tcPr>
          <w:p w:rsidR="00D602D4" w:rsidRDefault="000B4C86">
            <w:pPr>
              <w:widowControl w:val="0"/>
              <w:tabs>
                <w:tab w:val="left" w:pos="751"/>
              </w:tabs>
              <w:spacing w:after="0" w:line="240" w:lineRule="auto"/>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изменение</w:t>
            </w:r>
          </w:p>
          <w:p w:rsidR="00D602D4" w:rsidRDefault="000B4C86">
            <w:pPr>
              <w:widowControl w:val="0"/>
              <w:spacing w:after="0" w:line="240" w:lineRule="auto"/>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2024/2023, %</w:t>
            </w:r>
          </w:p>
        </w:tc>
      </w:tr>
      <w:tr w:rsidR="00D602D4">
        <w:trPr>
          <w:cantSplit/>
          <w:trHeight w:val="170"/>
        </w:trPr>
        <w:tc>
          <w:tcPr>
            <w:tcW w:w="4531" w:type="dxa"/>
            <w:shd w:val="clear" w:color="FFFFFF" w:fill="FFFFFF"/>
            <w:vAlign w:val="center"/>
          </w:tcPr>
          <w:p w:rsidR="00D602D4" w:rsidRDefault="000B4C86">
            <w:pPr>
              <w:tabs>
                <w:tab w:val="left" w:pos="9356"/>
              </w:tabs>
              <w:spacing w:after="0" w:line="240" w:lineRule="auto"/>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lang w:eastAsia="ru-RU"/>
              </w:rPr>
              <w:lastRenderedPageBreak/>
              <w:t>Количество проведенных заседаний и заочных голосований Совета директоров</w:t>
            </w:r>
          </w:p>
        </w:tc>
        <w:tc>
          <w:tcPr>
            <w:tcW w:w="709" w:type="dxa"/>
            <w:shd w:val="clear" w:color="FFFFFF" w:fill="FFFFFF"/>
            <w:vAlign w:val="center"/>
          </w:tcPr>
          <w:p w:rsidR="00D602D4" w:rsidRDefault="000B4C86">
            <w:pPr>
              <w:widowControl w:val="0"/>
              <w:tabs>
                <w:tab w:val="left" w:pos="34"/>
              </w:tabs>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шт.</w:t>
            </w:r>
          </w:p>
        </w:tc>
        <w:tc>
          <w:tcPr>
            <w:tcW w:w="851"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1/35</w:t>
            </w:r>
          </w:p>
        </w:tc>
        <w:tc>
          <w:tcPr>
            <w:tcW w:w="992"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1/35</w:t>
            </w:r>
          </w:p>
        </w:tc>
        <w:tc>
          <w:tcPr>
            <w:tcW w:w="992"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1/29</w:t>
            </w:r>
          </w:p>
        </w:tc>
        <w:tc>
          <w:tcPr>
            <w:tcW w:w="1667"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0/-</w:t>
            </w:r>
            <w:r>
              <w:rPr>
                <w:rFonts w:ascii="Times New Roman" w:eastAsia="Times New Roman" w:hAnsi="Times New Roman" w:cs="Times New Roman"/>
                <w:color w:val="000000"/>
                <w:sz w:val="20"/>
                <w:szCs w:val="20"/>
                <w:lang w:eastAsia="ru-RU"/>
              </w:rPr>
              <w:t>17</w:t>
            </w:r>
          </w:p>
        </w:tc>
      </w:tr>
      <w:tr w:rsidR="00D602D4">
        <w:trPr>
          <w:cantSplit/>
          <w:trHeight w:val="170"/>
        </w:trPr>
        <w:tc>
          <w:tcPr>
            <w:tcW w:w="4531" w:type="dxa"/>
            <w:shd w:val="clear" w:color="FFFFFF" w:fill="FFFFFF"/>
            <w:vAlign w:val="center"/>
          </w:tcPr>
          <w:p w:rsidR="00D602D4" w:rsidRDefault="000B4C86">
            <w:pPr>
              <w:tabs>
                <w:tab w:val="left" w:pos="9356"/>
              </w:tabs>
              <w:spacing w:after="0" w:line="240" w:lineRule="auto"/>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lang w:eastAsia="ru-RU"/>
              </w:rPr>
              <w:t xml:space="preserve">Количество рассмотренных вопросов на заседаниях и заочных голосованиях Совета директоров </w:t>
            </w:r>
          </w:p>
        </w:tc>
        <w:tc>
          <w:tcPr>
            <w:tcW w:w="709" w:type="dxa"/>
            <w:shd w:val="clear" w:color="FFFFFF" w:fill="FFFFFF"/>
            <w:vAlign w:val="center"/>
          </w:tcPr>
          <w:p w:rsidR="00D602D4" w:rsidRDefault="000B4C86">
            <w:pPr>
              <w:widowControl w:val="0"/>
              <w:tabs>
                <w:tab w:val="left" w:pos="34"/>
              </w:tabs>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шт.</w:t>
            </w:r>
          </w:p>
        </w:tc>
        <w:tc>
          <w:tcPr>
            <w:tcW w:w="851"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1/179</w:t>
            </w:r>
          </w:p>
        </w:tc>
        <w:tc>
          <w:tcPr>
            <w:tcW w:w="992"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val="en-US" w:eastAsia="ru-RU"/>
              </w:rPr>
              <w:t>1</w:t>
            </w:r>
            <w:r>
              <w:rPr>
                <w:rFonts w:ascii="Times New Roman" w:eastAsia="Times New Roman" w:hAnsi="Times New Roman" w:cs="Times New Roman"/>
                <w:color w:val="000000"/>
                <w:sz w:val="20"/>
                <w:szCs w:val="20"/>
                <w:highlight w:val="white"/>
                <w:lang w:eastAsia="ru-RU"/>
              </w:rPr>
              <w:t>/151</w:t>
            </w:r>
          </w:p>
        </w:tc>
        <w:tc>
          <w:tcPr>
            <w:tcW w:w="992"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3/143</w:t>
            </w:r>
          </w:p>
        </w:tc>
        <w:tc>
          <w:tcPr>
            <w:tcW w:w="1667"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lang w:eastAsia="ru-RU"/>
              </w:rPr>
              <w:t>200</w:t>
            </w:r>
            <w:r>
              <w:rPr>
                <w:rFonts w:ascii="Times New Roman" w:eastAsia="Times New Roman" w:hAnsi="Times New Roman" w:cs="Times New Roman"/>
                <w:color w:val="000000"/>
                <w:sz w:val="20"/>
                <w:szCs w:val="20"/>
                <w:highlight w:val="white"/>
                <w:lang w:eastAsia="ru-RU"/>
              </w:rPr>
              <w:t>/-5</w:t>
            </w:r>
          </w:p>
        </w:tc>
      </w:tr>
      <w:tr w:rsidR="00D602D4">
        <w:trPr>
          <w:cantSplit/>
          <w:trHeight w:val="170"/>
        </w:trPr>
        <w:tc>
          <w:tcPr>
            <w:tcW w:w="4531" w:type="dxa"/>
            <w:shd w:val="clear" w:color="FFFFFF" w:fill="FFFFFF"/>
            <w:vAlign w:val="center"/>
          </w:tcPr>
          <w:p w:rsidR="00D602D4" w:rsidRDefault="000B4C86">
            <w:pPr>
              <w:tabs>
                <w:tab w:val="left" w:pos="9356"/>
              </w:tabs>
              <w:spacing w:after="0" w:line="240" w:lineRule="auto"/>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lang w:eastAsia="ru-RU"/>
              </w:rPr>
              <w:t>Количество выданных Советом директоров поручений менеджменту Общества</w:t>
            </w:r>
          </w:p>
        </w:tc>
        <w:tc>
          <w:tcPr>
            <w:tcW w:w="709" w:type="dxa"/>
            <w:shd w:val="clear" w:color="FFFFFF" w:fill="FFFFFF"/>
            <w:vAlign w:val="center"/>
          </w:tcPr>
          <w:p w:rsidR="00D602D4" w:rsidRDefault="000B4C86">
            <w:pPr>
              <w:widowControl w:val="0"/>
              <w:tabs>
                <w:tab w:val="left" w:pos="34"/>
              </w:tabs>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шт.</w:t>
            </w:r>
          </w:p>
        </w:tc>
        <w:tc>
          <w:tcPr>
            <w:tcW w:w="851"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21</w:t>
            </w:r>
          </w:p>
        </w:tc>
        <w:tc>
          <w:tcPr>
            <w:tcW w:w="992"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31</w:t>
            </w:r>
          </w:p>
        </w:tc>
        <w:tc>
          <w:tcPr>
            <w:tcW w:w="992"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lang w:eastAsia="ru-RU"/>
              </w:rPr>
              <w:t>40</w:t>
            </w:r>
          </w:p>
        </w:tc>
        <w:tc>
          <w:tcPr>
            <w:tcW w:w="1667"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lang w:eastAsia="ru-RU"/>
              </w:rPr>
              <w:t>29</w:t>
            </w:r>
          </w:p>
        </w:tc>
      </w:tr>
      <w:tr w:rsidR="00D602D4">
        <w:trPr>
          <w:cantSplit/>
          <w:trHeight w:val="170"/>
        </w:trPr>
        <w:tc>
          <w:tcPr>
            <w:tcW w:w="4531" w:type="dxa"/>
            <w:shd w:val="clear" w:color="FFFFFF" w:fill="FFFFFF"/>
            <w:vAlign w:val="center"/>
          </w:tcPr>
          <w:p w:rsidR="00D602D4" w:rsidRDefault="000B4C86">
            <w:pPr>
              <w:tabs>
                <w:tab w:val="left" w:pos="9356"/>
              </w:tabs>
              <w:spacing w:after="0" w:line="240" w:lineRule="auto"/>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lang w:eastAsia="ru-RU"/>
              </w:rPr>
              <w:t>Статистические данные по участию членов Совета директоров в заседаниях и заочных голосованиях Совета директоров</w:t>
            </w:r>
          </w:p>
        </w:tc>
        <w:tc>
          <w:tcPr>
            <w:tcW w:w="709" w:type="dxa"/>
            <w:shd w:val="clear" w:color="FFFFFF" w:fill="FFFFFF"/>
            <w:vAlign w:val="center"/>
          </w:tcPr>
          <w:p w:rsidR="00D602D4" w:rsidRDefault="000B4C86">
            <w:pPr>
              <w:widowControl w:val="0"/>
              <w:tabs>
                <w:tab w:val="left" w:pos="34"/>
              </w:tabs>
              <w:spacing w:after="0" w:line="240" w:lineRule="auto"/>
              <w:jc w:val="center"/>
              <w:rPr>
                <w:rFonts w:ascii="Times New Roman" w:eastAsia="Times New Roman" w:hAnsi="Times New Roman" w:cs="Times New Roman"/>
                <w:bCs/>
                <w:color w:val="000000"/>
                <w:sz w:val="20"/>
                <w:szCs w:val="20"/>
                <w:highlight w:val="white"/>
              </w:rPr>
            </w:pPr>
            <w:r>
              <w:rPr>
                <w:rFonts w:ascii="Times New Roman" w:eastAsia="Times New Roman" w:hAnsi="Times New Roman" w:cs="Times New Roman"/>
                <w:bCs/>
                <w:color w:val="000000"/>
                <w:sz w:val="20"/>
                <w:szCs w:val="20"/>
                <w:highlight w:val="white"/>
                <w:lang w:eastAsia="ru-RU"/>
              </w:rPr>
              <w:t>%</w:t>
            </w:r>
          </w:p>
        </w:tc>
        <w:tc>
          <w:tcPr>
            <w:tcW w:w="851"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99,5</w:t>
            </w:r>
          </w:p>
        </w:tc>
        <w:tc>
          <w:tcPr>
            <w:tcW w:w="992"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95</w:t>
            </w:r>
          </w:p>
        </w:tc>
        <w:tc>
          <w:tcPr>
            <w:tcW w:w="992"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100</w:t>
            </w:r>
          </w:p>
        </w:tc>
        <w:tc>
          <w:tcPr>
            <w:tcW w:w="1667"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5</w:t>
            </w:r>
          </w:p>
        </w:tc>
      </w:tr>
    </w:tbl>
    <w:p w:rsidR="00D602D4" w:rsidRDefault="00D602D4">
      <w:pPr>
        <w:widowControl w:val="0"/>
        <w:spacing w:after="0" w:line="240" w:lineRule="auto"/>
        <w:jc w:val="right"/>
        <w:rPr>
          <w:rFonts w:ascii="Times New Roman" w:eastAsia="Times New Roman" w:hAnsi="Times New Roman" w:cs="Times New Roman"/>
          <w:sz w:val="24"/>
          <w:szCs w:val="24"/>
        </w:rPr>
      </w:pPr>
    </w:p>
    <w:p w:rsidR="00D602D4" w:rsidRDefault="000B4C86">
      <w:pPr>
        <w:widowControl w:val="0"/>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Таблица </w:t>
      </w:r>
      <w:r>
        <w:rPr>
          <w:rFonts w:ascii="Times New Roman" w:eastAsia="Times New Roman" w:hAnsi="Times New Roman" w:cs="Times New Roman"/>
          <w:sz w:val="24"/>
          <w:szCs w:val="24"/>
        </w:rPr>
        <w:t>61</w:t>
      </w:r>
    </w:p>
    <w:p w:rsidR="00D602D4" w:rsidRDefault="000B4C86">
      <w:pPr>
        <w:widowControl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Категории рассмотренных Советом директоров вопросов</w:t>
      </w:r>
    </w:p>
    <w:tbl>
      <w:tblPr>
        <w:tblW w:w="9742" w:type="dxa"/>
        <w:tblInd w:w="1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1"/>
        <w:gridCol w:w="567"/>
        <w:gridCol w:w="993"/>
        <w:gridCol w:w="992"/>
        <w:gridCol w:w="992"/>
        <w:gridCol w:w="1667"/>
      </w:tblGrid>
      <w:tr w:rsidR="00D602D4">
        <w:trPr>
          <w:cantSplit/>
          <w:trHeight w:val="170"/>
        </w:trPr>
        <w:tc>
          <w:tcPr>
            <w:tcW w:w="4531" w:type="dxa"/>
            <w:vMerge w:val="restart"/>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Категории вопросов</w:t>
            </w:r>
          </w:p>
        </w:tc>
        <w:tc>
          <w:tcPr>
            <w:tcW w:w="567" w:type="dxa"/>
            <w:vMerge w:val="restart"/>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 Ед.</w:t>
            </w:r>
          </w:p>
          <w:p w:rsidR="00D602D4" w:rsidRDefault="000B4C86">
            <w:pPr>
              <w:widowControl w:val="0"/>
              <w:tabs>
                <w:tab w:val="left" w:pos="34"/>
              </w:tabs>
              <w:spacing w:after="0" w:line="240" w:lineRule="auto"/>
              <w:ind w:right="-143"/>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изм.</w:t>
            </w:r>
          </w:p>
        </w:tc>
        <w:tc>
          <w:tcPr>
            <w:tcW w:w="4644" w:type="dxa"/>
            <w:gridSpan w:val="4"/>
            <w:vAlign w:val="center"/>
          </w:tcPr>
          <w:p w:rsidR="00D602D4" w:rsidRDefault="000B4C86">
            <w:pPr>
              <w:widowControl w:val="0"/>
              <w:spacing w:after="0" w:line="240" w:lineRule="auto"/>
              <w:ind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Период</w:t>
            </w:r>
          </w:p>
        </w:tc>
      </w:tr>
      <w:tr w:rsidR="00D602D4">
        <w:trPr>
          <w:cantSplit/>
          <w:trHeight w:val="170"/>
        </w:trPr>
        <w:tc>
          <w:tcPr>
            <w:tcW w:w="4531" w:type="dxa"/>
            <w:vMerge/>
            <w:vAlign w:val="center"/>
          </w:tcPr>
          <w:p w:rsidR="00D602D4" w:rsidRDefault="00D602D4">
            <w:pPr>
              <w:widowControl w:val="0"/>
              <w:spacing w:after="0" w:line="240" w:lineRule="auto"/>
              <w:jc w:val="center"/>
              <w:rPr>
                <w:rFonts w:ascii="Times New Roman" w:eastAsia="Times New Roman" w:hAnsi="Times New Roman" w:cs="Times New Roman"/>
                <w:b/>
                <w:bCs/>
                <w:color w:val="000000"/>
                <w:sz w:val="18"/>
                <w:szCs w:val="18"/>
                <w:lang w:eastAsia="ru-RU"/>
              </w:rPr>
            </w:pPr>
          </w:p>
        </w:tc>
        <w:tc>
          <w:tcPr>
            <w:tcW w:w="567" w:type="dxa"/>
            <w:vMerge/>
            <w:vAlign w:val="center"/>
          </w:tcPr>
          <w:p w:rsidR="00D602D4" w:rsidRDefault="00D602D4">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p>
        </w:tc>
        <w:tc>
          <w:tcPr>
            <w:tcW w:w="993" w:type="dxa"/>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2022 </w:t>
            </w:r>
          </w:p>
          <w:p w:rsidR="00D602D4" w:rsidRDefault="000B4C86">
            <w:pPr>
              <w:widowControl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год</w:t>
            </w:r>
          </w:p>
        </w:tc>
        <w:tc>
          <w:tcPr>
            <w:tcW w:w="992"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2023 </w:t>
            </w:r>
          </w:p>
          <w:p w:rsidR="00D602D4" w:rsidRDefault="000B4C86">
            <w:pPr>
              <w:widowControl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год</w:t>
            </w:r>
          </w:p>
        </w:tc>
        <w:tc>
          <w:tcPr>
            <w:tcW w:w="992" w:type="dxa"/>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2024 </w:t>
            </w:r>
          </w:p>
          <w:p w:rsidR="00D602D4" w:rsidRDefault="000B4C86">
            <w:pPr>
              <w:widowControl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год</w:t>
            </w:r>
          </w:p>
        </w:tc>
        <w:tc>
          <w:tcPr>
            <w:tcW w:w="1667" w:type="dxa"/>
            <w:vAlign w:val="center"/>
          </w:tcPr>
          <w:p w:rsidR="00D602D4" w:rsidRDefault="000B4C86">
            <w:pPr>
              <w:widowControl w:val="0"/>
              <w:tabs>
                <w:tab w:val="left" w:pos="751"/>
              </w:tabs>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изменение</w:t>
            </w:r>
          </w:p>
          <w:p w:rsidR="00D602D4" w:rsidRDefault="000B4C86">
            <w:pPr>
              <w:widowControl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2024/2023, %</w:t>
            </w:r>
          </w:p>
        </w:tc>
      </w:tr>
      <w:tr w:rsidR="00D602D4">
        <w:trPr>
          <w:cantSplit/>
          <w:trHeight w:val="170"/>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Финансы и инвестиции</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32</w:t>
            </w:r>
          </w:p>
        </w:tc>
        <w:tc>
          <w:tcPr>
            <w:tcW w:w="992"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28</w:t>
            </w:r>
          </w:p>
        </w:tc>
        <w:tc>
          <w:tcPr>
            <w:tcW w:w="992"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28</w:t>
            </w:r>
          </w:p>
        </w:tc>
        <w:tc>
          <w:tcPr>
            <w:tcW w:w="1667" w:type="dxa"/>
            <w:shd w:val="clear" w:color="FFFFFF" w:fill="FFFFFF" w:themeFill="background1"/>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w:t>
            </w:r>
          </w:p>
        </w:tc>
      </w:tr>
      <w:tr w:rsidR="00D602D4">
        <w:trPr>
          <w:cantSplit/>
          <w:trHeight w:val="170"/>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Аудит, контроль и риски</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13</w:t>
            </w:r>
          </w:p>
        </w:tc>
        <w:tc>
          <w:tcPr>
            <w:tcW w:w="992" w:type="dxa"/>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12</w:t>
            </w:r>
          </w:p>
        </w:tc>
        <w:tc>
          <w:tcPr>
            <w:tcW w:w="992"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13</w:t>
            </w:r>
          </w:p>
        </w:tc>
        <w:tc>
          <w:tcPr>
            <w:tcW w:w="1667"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8</w:t>
            </w:r>
          </w:p>
        </w:tc>
      </w:tr>
      <w:tr w:rsidR="00D602D4">
        <w:trPr>
          <w:cantSplit/>
          <w:trHeight w:val="170"/>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КПЭ, кадры и мотивация</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12</w:t>
            </w:r>
          </w:p>
        </w:tc>
        <w:tc>
          <w:tcPr>
            <w:tcW w:w="992" w:type="dxa"/>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10</w:t>
            </w:r>
          </w:p>
        </w:tc>
        <w:tc>
          <w:tcPr>
            <w:tcW w:w="992"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7</w:t>
            </w:r>
          </w:p>
        </w:tc>
        <w:tc>
          <w:tcPr>
            <w:tcW w:w="1667"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-30</w:t>
            </w:r>
          </w:p>
        </w:tc>
      </w:tr>
      <w:tr w:rsidR="00D602D4">
        <w:trPr>
          <w:cantSplit/>
          <w:trHeight w:val="170"/>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Управление деятельностью ДО</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11</w:t>
            </w:r>
          </w:p>
        </w:tc>
        <w:tc>
          <w:tcPr>
            <w:tcW w:w="992" w:type="dxa"/>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w:t>
            </w:r>
          </w:p>
        </w:tc>
        <w:tc>
          <w:tcPr>
            <w:tcW w:w="992"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6</w:t>
            </w:r>
          </w:p>
        </w:tc>
        <w:tc>
          <w:tcPr>
            <w:tcW w:w="1667"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w:t>
            </w:r>
          </w:p>
        </w:tc>
      </w:tr>
      <w:tr w:rsidR="00D602D4">
        <w:trPr>
          <w:cantSplit/>
          <w:trHeight w:val="170"/>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Внутренние нормативные документы, программы</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28</w:t>
            </w:r>
          </w:p>
        </w:tc>
        <w:tc>
          <w:tcPr>
            <w:tcW w:w="992" w:type="dxa"/>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24</w:t>
            </w:r>
          </w:p>
        </w:tc>
        <w:tc>
          <w:tcPr>
            <w:tcW w:w="992"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12</w:t>
            </w:r>
          </w:p>
        </w:tc>
        <w:tc>
          <w:tcPr>
            <w:tcW w:w="1667"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-50</w:t>
            </w:r>
          </w:p>
        </w:tc>
      </w:tr>
      <w:tr w:rsidR="00D602D4">
        <w:trPr>
          <w:cantSplit/>
          <w:trHeight w:val="170"/>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Корпоративное управление</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40</w:t>
            </w:r>
          </w:p>
        </w:tc>
        <w:tc>
          <w:tcPr>
            <w:tcW w:w="992" w:type="dxa"/>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36</w:t>
            </w:r>
          </w:p>
        </w:tc>
        <w:tc>
          <w:tcPr>
            <w:tcW w:w="992"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32</w:t>
            </w:r>
          </w:p>
        </w:tc>
        <w:tc>
          <w:tcPr>
            <w:tcW w:w="1667"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-11</w:t>
            </w:r>
          </w:p>
        </w:tc>
      </w:tr>
      <w:tr w:rsidR="00D602D4">
        <w:trPr>
          <w:cantSplit/>
          <w:trHeight w:val="170"/>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Одобрение сделок</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7</w:t>
            </w:r>
          </w:p>
        </w:tc>
        <w:tc>
          <w:tcPr>
            <w:tcW w:w="992" w:type="dxa"/>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4</w:t>
            </w:r>
          </w:p>
        </w:tc>
        <w:tc>
          <w:tcPr>
            <w:tcW w:w="992"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w:t>
            </w:r>
          </w:p>
        </w:tc>
        <w:tc>
          <w:tcPr>
            <w:tcW w:w="1667"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-75</w:t>
            </w:r>
          </w:p>
        </w:tc>
      </w:tr>
      <w:tr w:rsidR="00D602D4">
        <w:trPr>
          <w:cantSplit/>
          <w:trHeight w:val="170"/>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Отчеты Генерального директора по направлениям</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21</w:t>
            </w:r>
          </w:p>
        </w:tc>
        <w:tc>
          <w:tcPr>
            <w:tcW w:w="992" w:type="dxa"/>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22</w:t>
            </w:r>
          </w:p>
        </w:tc>
        <w:tc>
          <w:tcPr>
            <w:tcW w:w="992"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32</w:t>
            </w:r>
          </w:p>
        </w:tc>
        <w:tc>
          <w:tcPr>
            <w:tcW w:w="1667"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45</w:t>
            </w:r>
          </w:p>
        </w:tc>
      </w:tr>
      <w:tr w:rsidR="00D602D4">
        <w:trPr>
          <w:cantSplit/>
          <w:trHeight w:val="170"/>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Иные вопросы</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16</w:t>
            </w:r>
          </w:p>
        </w:tc>
        <w:tc>
          <w:tcPr>
            <w:tcW w:w="992" w:type="dxa"/>
            <w:vAlign w:val="center"/>
          </w:tcPr>
          <w:p w:rsidR="00D602D4" w:rsidRDefault="000B4C86">
            <w:pPr>
              <w:widowControl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11</w:t>
            </w:r>
          </w:p>
        </w:tc>
        <w:tc>
          <w:tcPr>
            <w:tcW w:w="992"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15</w:t>
            </w:r>
          </w:p>
        </w:tc>
        <w:tc>
          <w:tcPr>
            <w:tcW w:w="1667" w:type="dxa"/>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37</w:t>
            </w:r>
          </w:p>
        </w:tc>
      </w:tr>
    </w:tbl>
    <w:p w:rsidR="00D602D4" w:rsidRDefault="00D602D4">
      <w:pPr>
        <w:widowControl w:val="0"/>
        <w:spacing w:after="0" w:line="240" w:lineRule="auto"/>
        <w:rPr>
          <w:rFonts w:ascii="Times New Roman" w:eastAsia="Times New Roman" w:hAnsi="Times New Roman" w:cs="Times New Roman"/>
          <w:b/>
          <w:sz w:val="24"/>
          <w:szCs w:val="24"/>
        </w:rPr>
      </w:pPr>
    </w:p>
    <w:p w:rsidR="00D602D4" w:rsidRDefault="000B4C86">
      <w:pPr>
        <w:widowControl w:val="0"/>
        <w:tabs>
          <w:tab w:val="left" w:pos="0"/>
        </w:tabs>
        <w:spacing w:after="0" w:line="240" w:lineRule="auto"/>
        <w:jc w:val="right"/>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white"/>
        </w:rPr>
        <w:t>Таблица 62</w:t>
      </w:r>
    </w:p>
    <w:p w:rsidR="00D602D4" w:rsidRDefault="000B4C86">
      <w:pPr>
        <w:widowControl w:val="0"/>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Информация об участии членов Совета директоров, избранных годовым Общим собранием акционеров Общества 09.06.2023, в заседаниях Совета директоров Общества</w:t>
      </w:r>
    </w:p>
    <w:p w:rsidR="00D602D4" w:rsidRDefault="00D602D4">
      <w:pPr>
        <w:widowControl w:val="0"/>
        <w:tabs>
          <w:tab w:val="left" w:pos="851"/>
          <w:tab w:val="left" w:pos="993"/>
        </w:tabs>
        <w:spacing w:after="0" w:line="240" w:lineRule="auto"/>
        <w:jc w:val="both"/>
        <w:rPr>
          <w:rFonts w:ascii="Times New Roman" w:eastAsia="Times New Roman" w:hAnsi="Times New Roman" w:cs="Times New Roman"/>
          <w:b/>
          <w:sz w:val="24"/>
          <w:szCs w:val="24"/>
        </w:rPr>
      </w:pPr>
    </w:p>
    <w:tbl>
      <w:tblPr>
        <w:tblStyle w:val="83"/>
        <w:tblW w:w="9341" w:type="dxa"/>
        <w:tblInd w:w="5" w:type="dxa"/>
        <w:tblLayout w:type="fixed"/>
        <w:tblLook w:val="04A0" w:firstRow="1" w:lastRow="0" w:firstColumn="1" w:lastColumn="0" w:noHBand="0" w:noVBand="1"/>
      </w:tblPr>
      <w:tblGrid>
        <w:gridCol w:w="3260"/>
        <w:gridCol w:w="2259"/>
        <w:gridCol w:w="1412"/>
        <w:gridCol w:w="1276"/>
        <w:gridCol w:w="1134"/>
      </w:tblGrid>
      <w:tr w:rsidR="00D602D4">
        <w:trPr>
          <w:trHeight w:val="170"/>
        </w:trPr>
        <w:tc>
          <w:tcPr>
            <w:tcW w:w="326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Ф.И.О.</w:t>
            </w:r>
          </w:p>
        </w:tc>
        <w:tc>
          <w:tcPr>
            <w:tcW w:w="2259"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Количество заседаний и заочных голосований, в которых принимал участие член СД</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Количество заседаний, на которых член СД присутствовал лично</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участия в заочных голосованиях</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присутствия на  заданиях</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Тихонова Мария Геннадьевна</w:t>
            </w:r>
          </w:p>
        </w:tc>
        <w:tc>
          <w:tcPr>
            <w:tcW w:w="22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 / 17</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Клинков Олег Юрьевич</w:t>
            </w:r>
          </w:p>
        </w:tc>
        <w:tc>
          <w:tcPr>
            <w:tcW w:w="22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 / 17</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Андреева Елена Викторовна</w:t>
            </w:r>
          </w:p>
        </w:tc>
        <w:tc>
          <w:tcPr>
            <w:tcW w:w="22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 / 17</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Устюгов Дмитрий Владимирович</w:t>
            </w:r>
          </w:p>
        </w:tc>
        <w:tc>
          <w:tcPr>
            <w:tcW w:w="22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 / 17</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Лаврова Марина Александровна</w:t>
            </w:r>
          </w:p>
        </w:tc>
        <w:tc>
          <w:tcPr>
            <w:tcW w:w="22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 / 17</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Ханафеев Марат Анварович</w:t>
            </w:r>
          </w:p>
        </w:tc>
        <w:tc>
          <w:tcPr>
            <w:tcW w:w="22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 / 17</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Зайцева Мария Алексеевна</w:t>
            </w:r>
          </w:p>
        </w:tc>
        <w:tc>
          <w:tcPr>
            <w:tcW w:w="22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 / 17</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Данилов Антон Евгеньевич</w:t>
            </w:r>
          </w:p>
        </w:tc>
        <w:tc>
          <w:tcPr>
            <w:tcW w:w="22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 / 17</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Черкашин Василий Владимирович</w:t>
            </w:r>
          </w:p>
        </w:tc>
        <w:tc>
          <w:tcPr>
            <w:tcW w:w="22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 / 17</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Степина Екатерина Андреевна</w:t>
            </w:r>
          </w:p>
        </w:tc>
        <w:tc>
          <w:tcPr>
            <w:tcW w:w="22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 / 17</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Шашкова Наталья Васильевна</w:t>
            </w:r>
          </w:p>
        </w:tc>
        <w:tc>
          <w:tcPr>
            <w:tcW w:w="22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 / 17</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bl>
    <w:p w:rsidR="00D602D4" w:rsidRDefault="00D602D4">
      <w:pPr>
        <w:widowControl w:val="0"/>
        <w:tabs>
          <w:tab w:val="left" w:pos="0"/>
        </w:tabs>
        <w:spacing w:after="0" w:line="240" w:lineRule="auto"/>
        <w:jc w:val="right"/>
        <w:rPr>
          <w:rFonts w:ascii="Times New Roman" w:eastAsia="Times New Roman" w:hAnsi="Times New Roman" w:cs="Times New Roman"/>
          <w:color w:val="000000"/>
          <w:sz w:val="24"/>
          <w:szCs w:val="24"/>
        </w:rPr>
      </w:pPr>
    </w:p>
    <w:p w:rsidR="00D602D4" w:rsidRDefault="000B4C86">
      <w:pPr>
        <w:widowControl w:val="0"/>
        <w:tabs>
          <w:tab w:val="left" w:pos="0"/>
        </w:tabs>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 xml:space="preserve">Таблица </w:t>
      </w:r>
      <w:r>
        <w:rPr>
          <w:rFonts w:ascii="Times New Roman" w:eastAsia="Times New Roman" w:hAnsi="Times New Roman" w:cs="Times New Roman"/>
          <w:color w:val="000000"/>
          <w:sz w:val="24"/>
          <w:szCs w:val="24"/>
        </w:rPr>
        <w:t>63</w:t>
      </w:r>
    </w:p>
    <w:p w:rsidR="00D602D4" w:rsidRDefault="000B4C86">
      <w:pPr>
        <w:widowControl w:val="0"/>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Информация об участии членов Совета директоров, избранных годовым Общим собранием акционеров Общества 18.06.2024, в заседаниях Совета директоров Общества</w:t>
      </w:r>
    </w:p>
    <w:p w:rsidR="00D602D4" w:rsidRDefault="00D602D4">
      <w:pPr>
        <w:widowControl w:val="0"/>
        <w:tabs>
          <w:tab w:val="left" w:pos="851"/>
          <w:tab w:val="left" w:pos="993"/>
        </w:tabs>
        <w:spacing w:after="0" w:line="240" w:lineRule="auto"/>
        <w:jc w:val="both"/>
        <w:rPr>
          <w:rFonts w:ascii="Times New Roman" w:eastAsia="Times New Roman" w:hAnsi="Times New Roman" w:cs="Times New Roman"/>
          <w:b/>
          <w:sz w:val="24"/>
          <w:szCs w:val="24"/>
        </w:rPr>
      </w:pPr>
    </w:p>
    <w:tbl>
      <w:tblPr>
        <w:tblStyle w:val="83"/>
        <w:tblW w:w="9634" w:type="dxa"/>
        <w:tblInd w:w="5" w:type="dxa"/>
        <w:tblLayout w:type="fixed"/>
        <w:tblLook w:val="04A0" w:firstRow="1" w:lastRow="0" w:firstColumn="1" w:lastColumn="0" w:noHBand="0" w:noVBand="1"/>
      </w:tblPr>
      <w:tblGrid>
        <w:gridCol w:w="3260"/>
        <w:gridCol w:w="2126"/>
        <w:gridCol w:w="1697"/>
        <w:gridCol w:w="1276"/>
        <w:gridCol w:w="1275"/>
      </w:tblGrid>
      <w:tr w:rsidR="00D602D4">
        <w:trPr>
          <w:trHeight w:val="1637"/>
        </w:trPr>
        <w:tc>
          <w:tcPr>
            <w:tcW w:w="326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Ф.И.О.</w:t>
            </w:r>
          </w:p>
        </w:tc>
        <w:tc>
          <w:tcPr>
            <w:tcW w:w="2126"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Количество заседаний и заочных голосований, в которых принимал участие член СД</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Количество заседаний, на которых член СД присутствовал лично</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участия в заочных голосованиях</w:t>
            </w:r>
          </w:p>
          <w:p w:rsidR="00D602D4" w:rsidRDefault="00D602D4">
            <w:pPr>
              <w:widowControl w:val="0"/>
              <w:tabs>
                <w:tab w:val="left" w:pos="851"/>
                <w:tab w:val="left" w:pos="993"/>
              </w:tabs>
              <w:jc w:val="center"/>
              <w:rPr>
                <w:rFonts w:ascii="Times New Roman" w:eastAsia="Times New Roman" w:hAnsi="Times New Roman" w:cs="Times New Roman"/>
                <w:b/>
                <w:sz w:val="20"/>
                <w:szCs w:val="20"/>
              </w:rPr>
            </w:pP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присутствия на  заданиях</w:t>
            </w:r>
          </w:p>
        </w:tc>
      </w:tr>
      <w:tr w:rsidR="00D602D4">
        <w:trPr>
          <w:trHeight w:val="136"/>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lastRenderedPageBreak/>
              <w:t>Тихонова Мария Геннадьевна</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 / 13</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100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Ханафеев Марат Анварович</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 / 13</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Бахарев Дмитрий Владимирович</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 / 13</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100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Андреева Елена Викторовна</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 / 13</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Устюгов Дмитрий Владимирович</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 / 13</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100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Клинков Олег Юрьевич</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 / 13</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100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Черкашин Василий Владимирович</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 / 13</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100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Шашкова Наталья Васильевна</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 / 13</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100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Данилов Антон Евгеньевич</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 / 13</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100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Козлов Иван Евгеньевич</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 / 13</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100</w:t>
            </w:r>
          </w:p>
        </w:tc>
      </w:tr>
      <w:tr w:rsidR="00D602D4">
        <w:trPr>
          <w:trHeight w:val="170"/>
        </w:trPr>
        <w:tc>
          <w:tcPr>
            <w:tcW w:w="32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Трубицын Кирилл Андреевич</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1 / 13</w:t>
            </w:r>
          </w:p>
        </w:tc>
        <w:tc>
          <w:tcPr>
            <w:tcW w:w="169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0</w:t>
            </w:r>
          </w:p>
        </w:tc>
      </w:tr>
    </w:tbl>
    <w:p w:rsidR="00D602D4" w:rsidRDefault="00D602D4">
      <w:pPr>
        <w:spacing w:after="0" w:line="240" w:lineRule="auto"/>
        <w:ind w:firstLine="709"/>
        <w:jc w:val="both"/>
        <w:rPr>
          <w:rFonts w:ascii="Times New Roman" w:hAnsi="Times New Roman" w:cs="Times New Roman"/>
          <w:b/>
          <w:bCs/>
          <w:sz w:val="24"/>
          <w:szCs w:val="24"/>
        </w:rPr>
      </w:pPr>
    </w:p>
    <w:p w:rsidR="00D602D4" w:rsidRDefault="000B4C86">
      <w:pPr>
        <w:spacing w:after="0" w:line="240" w:lineRule="auto"/>
        <w:ind w:firstLine="709"/>
        <w:jc w:val="both"/>
        <w:rPr>
          <w:rFonts w:ascii="Times New Roman" w:hAnsi="Times New Roman" w:cs="Times New Roman"/>
          <w:b/>
          <w:bCs/>
          <w:sz w:val="24"/>
          <w:szCs w:val="24"/>
        </w:rPr>
      </w:pPr>
      <w:r>
        <w:rPr>
          <w:rFonts w:ascii="Times New Roman" w:hAnsi="Times New Roman" w:cs="Times New Roman"/>
          <w:b/>
          <w:sz w:val="24"/>
          <w:szCs w:val="24"/>
        </w:rPr>
        <w:t xml:space="preserve">Оценка деятельности Совета директоров </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sz w:val="24"/>
          <w:szCs w:val="24"/>
        </w:rPr>
        <w:t>В целях совершенствования корпоративного управления в 2024 году проведена процедура самооценки эффективности работы Совета директоров и Комитетов Совета директоров Общества за 2023-2024 корпоративный год.</w:t>
      </w:r>
      <w:r>
        <w:rPr>
          <w:rFonts w:ascii="Times New Roman" w:hAnsi="Times New Roman" w:cs="Times New Roman"/>
          <w:color w:val="000000"/>
          <w:sz w:val="24"/>
          <w:szCs w:val="24"/>
        </w:rPr>
        <w:t xml:space="preserve"> </w:t>
      </w:r>
    </w:p>
    <w:p w:rsidR="00D602D4" w:rsidRDefault="000B4C86">
      <w:pPr>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sz w:val="24"/>
          <w:szCs w:val="24"/>
        </w:rPr>
        <w:t>Оценка эффективности работы Совета директоров и Комитетов Совета директоров Общества проведена в соответствии с Методикой оценки работы Совета директоров, Комитетов Совета директоров и членов Совета директоров ПАО «Россети Сибирь», утвержденной решением Совета директоров Общества от 01.06.2021 (протокол от 03.06.2021 № 417/21).</w:t>
      </w:r>
    </w:p>
    <w:p w:rsidR="00D602D4" w:rsidRDefault="000B4C86">
      <w:pPr>
        <w:widowControl w:val="0"/>
        <w:tabs>
          <w:tab w:val="left" w:pos="0"/>
        </w:tabs>
        <w:spacing w:after="0" w:line="240" w:lineRule="auto"/>
        <w:ind w:firstLine="709"/>
        <w:jc w:val="both"/>
        <w:rPr>
          <w:rFonts w:ascii="Times New Roman" w:eastAsia="Times New Roman" w:hAnsi="Times New Roman" w:cs="Times New Roman"/>
          <w:color w:val="000000"/>
          <w:sz w:val="24"/>
          <w:szCs w:val="24"/>
        </w:rPr>
      </w:pPr>
      <w:r>
        <w:rPr>
          <w:rFonts w:ascii="Times New Roman" w:hAnsi="Times New Roman" w:cs="Times New Roman"/>
          <w:sz w:val="24"/>
          <w:szCs w:val="24"/>
        </w:rPr>
        <w:t xml:space="preserve">Оценка проходила в несколько этапов, в том числе путем анкетирования членов Совета директоров, Комитетов Совета директоров, а также путем анализа ключевых документов, связанных с деятельностью Совета директоров и Комитетов Совета директоров Общества. </w:t>
      </w:r>
    </w:p>
    <w:p w:rsidR="00D602D4" w:rsidRDefault="000B4C86">
      <w:pPr>
        <w:tabs>
          <w:tab w:val="num" w:pos="720"/>
        </w:tabs>
        <w:spacing w:after="0" w:line="240" w:lineRule="auto"/>
        <w:ind w:firstLine="709"/>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В оценке эффективности работы Совета директоров и Комитетов Совета директоров приняли участие 9 из 11 членов Совета директоров, входивших в состав Совета директоров в 2022-2023 корпоративном году, 9 из 11 членов Комитета по стратегии, 2 из 3 членов Комитета по аудиту, 3 из 3 членов Комитета по кадрам и вознаграждениям, 5 из 6 членов Комитета по надежности и 3 из 5 членов Комитета по технологическому присоединению к электрическим сетям.</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Для определения степени суждения при подведении итогов анкетирования применялась следующая шкала:</w:t>
      </w:r>
    </w:p>
    <w:p w:rsidR="00D602D4" w:rsidRDefault="000B4C86">
      <w:pPr>
        <w:spacing w:after="0" w:line="240" w:lineRule="auto"/>
        <w:ind w:firstLine="709"/>
        <w:jc w:val="right"/>
        <w:rPr>
          <w:rFonts w:ascii="Times New Roman" w:hAnsi="Times New Roman" w:cs="Times New Roman"/>
          <w:sz w:val="24"/>
          <w:szCs w:val="24"/>
          <w:highlight w:val="yellow"/>
        </w:rPr>
      </w:pPr>
      <w:r>
        <w:rPr>
          <w:rFonts w:ascii="Times New Roman" w:hAnsi="Times New Roman" w:cs="Times New Roman"/>
          <w:sz w:val="24"/>
          <w:szCs w:val="24"/>
          <w:highlight w:val="white"/>
        </w:rPr>
        <w:t>Таблица 64</w:t>
      </w:r>
    </w:p>
    <w:tbl>
      <w:tblPr>
        <w:tblW w:w="9346" w:type="dxa"/>
        <w:tblInd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0" w:type="dxa"/>
          <w:right w:w="0" w:type="dxa"/>
        </w:tblCellMar>
        <w:tblLook w:val="04A0" w:firstRow="1" w:lastRow="0" w:firstColumn="1" w:lastColumn="0" w:noHBand="0" w:noVBand="1"/>
      </w:tblPr>
      <w:tblGrid>
        <w:gridCol w:w="826"/>
        <w:gridCol w:w="8520"/>
      </w:tblGrid>
      <w:tr w:rsidR="00D602D4">
        <w:tc>
          <w:tcPr>
            <w:tcW w:w="826" w:type="dxa"/>
            <w:shd w:val="clear" w:color="FFFFFF" w:fill="FFFFFF"/>
          </w:tcPr>
          <w:p w:rsidR="00D602D4" w:rsidRDefault="000B4C8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Оценка</w:t>
            </w:r>
          </w:p>
        </w:tc>
        <w:tc>
          <w:tcPr>
            <w:tcW w:w="8520" w:type="dxa"/>
            <w:shd w:val="clear" w:color="FFFFFF" w:fill="FFFFFF"/>
          </w:tcPr>
          <w:p w:rsidR="00D602D4" w:rsidRDefault="000B4C8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Значение</w:t>
            </w:r>
          </w:p>
        </w:tc>
      </w:tr>
      <w:tr w:rsidR="00D602D4">
        <w:tc>
          <w:tcPr>
            <w:tcW w:w="826" w:type="dxa"/>
            <w:shd w:val="clear" w:color="FFFFFF" w:fill="FFFFFF"/>
          </w:tcPr>
          <w:p w:rsidR="00D602D4" w:rsidRDefault="000B4C8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p>
        </w:tc>
        <w:tc>
          <w:tcPr>
            <w:tcW w:w="8520" w:type="dxa"/>
            <w:shd w:val="clear" w:color="FFFFFF" w:fill="FFFFFF"/>
          </w:tcPr>
          <w:p w:rsidR="00D602D4" w:rsidRDefault="000B4C86">
            <w:pPr>
              <w:spacing w:after="0" w:line="240" w:lineRule="auto"/>
              <w:rPr>
                <w:rFonts w:ascii="Times New Roman" w:eastAsia="Times New Roman" w:hAnsi="Times New Roman" w:cs="Times New Roman"/>
                <w:color w:val="000000"/>
                <w:lang w:eastAsia="ru-RU"/>
              </w:rPr>
            </w:pPr>
            <w:r>
              <w:rPr>
                <w:rFonts w:ascii="Times New Roman" w:hAnsi="Times New Roman" w:cs="Times New Roman"/>
              </w:rPr>
              <w:t>Утверждение полностью соответствует действительности</w:t>
            </w:r>
          </w:p>
        </w:tc>
      </w:tr>
      <w:tr w:rsidR="00D602D4">
        <w:tc>
          <w:tcPr>
            <w:tcW w:w="826" w:type="dxa"/>
            <w:shd w:val="clear" w:color="FFFFFF" w:fill="FFFFFF"/>
          </w:tcPr>
          <w:p w:rsidR="00D602D4" w:rsidRDefault="000B4C8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p>
        </w:tc>
        <w:tc>
          <w:tcPr>
            <w:tcW w:w="8520" w:type="dxa"/>
            <w:shd w:val="clear" w:color="FFFFFF" w:fill="FFFFFF"/>
          </w:tcPr>
          <w:p w:rsidR="00D602D4" w:rsidRDefault="000B4C86">
            <w:pPr>
              <w:spacing w:after="0" w:line="240" w:lineRule="auto"/>
              <w:rPr>
                <w:rFonts w:ascii="Times New Roman" w:eastAsia="Times New Roman" w:hAnsi="Times New Roman" w:cs="Times New Roman"/>
                <w:color w:val="000000"/>
                <w:lang w:eastAsia="ru-RU"/>
              </w:rPr>
            </w:pPr>
            <w:r>
              <w:rPr>
                <w:rFonts w:ascii="Times New Roman" w:hAnsi="Times New Roman" w:cs="Times New Roman"/>
              </w:rPr>
              <w:t>Скорее соответствует, чем нет</w:t>
            </w:r>
          </w:p>
        </w:tc>
      </w:tr>
      <w:tr w:rsidR="00D602D4">
        <w:tc>
          <w:tcPr>
            <w:tcW w:w="826" w:type="dxa"/>
            <w:shd w:val="clear" w:color="FFFFFF" w:fill="FFFFFF"/>
          </w:tcPr>
          <w:p w:rsidR="00D602D4" w:rsidRDefault="000B4C8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8520" w:type="dxa"/>
            <w:shd w:val="clear" w:color="FFFFFF" w:fill="FFFFFF"/>
          </w:tcPr>
          <w:p w:rsidR="00D602D4" w:rsidRDefault="000B4C86">
            <w:pPr>
              <w:spacing w:after="0" w:line="240" w:lineRule="auto"/>
              <w:rPr>
                <w:rFonts w:ascii="Times New Roman" w:eastAsia="Times New Roman" w:hAnsi="Times New Roman" w:cs="Times New Roman"/>
                <w:color w:val="000000"/>
                <w:lang w:eastAsia="ru-RU"/>
              </w:rPr>
            </w:pPr>
            <w:r>
              <w:rPr>
                <w:rFonts w:ascii="Times New Roman" w:hAnsi="Times New Roman" w:cs="Times New Roman"/>
              </w:rPr>
              <w:t>Частично соответствует</w:t>
            </w:r>
          </w:p>
        </w:tc>
      </w:tr>
      <w:tr w:rsidR="00D602D4">
        <w:tc>
          <w:tcPr>
            <w:tcW w:w="826" w:type="dxa"/>
            <w:shd w:val="clear" w:color="FFFFFF" w:fill="FFFFFF"/>
          </w:tcPr>
          <w:p w:rsidR="00D602D4" w:rsidRDefault="000B4C8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8520" w:type="dxa"/>
            <w:shd w:val="clear" w:color="FFFFFF" w:fill="FFFFFF"/>
          </w:tcPr>
          <w:p w:rsidR="00D602D4" w:rsidRDefault="000B4C86">
            <w:pPr>
              <w:spacing w:after="0" w:line="240" w:lineRule="auto"/>
              <w:rPr>
                <w:rFonts w:ascii="Times New Roman" w:eastAsia="Times New Roman" w:hAnsi="Times New Roman" w:cs="Times New Roman"/>
                <w:color w:val="000000"/>
                <w:lang w:eastAsia="ru-RU"/>
              </w:rPr>
            </w:pPr>
            <w:r>
              <w:rPr>
                <w:rFonts w:ascii="Times New Roman" w:hAnsi="Times New Roman" w:cs="Times New Roman"/>
              </w:rPr>
              <w:t>Скорее не соответствует</w:t>
            </w:r>
          </w:p>
        </w:tc>
      </w:tr>
      <w:tr w:rsidR="00D602D4">
        <w:tc>
          <w:tcPr>
            <w:tcW w:w="826" w:type="dxa"/>
            <w:shd w:val="clear" w:color="FFFFFF" w:fill="FFFFFF"/>
          </w:tcPr>
          <w:p w:rsidR="00D602D4" w:rsidRDefault="000B4C8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8520" w:type="dxa"/>
            <w:shd w:val="clear" w:color="FFFFFF" w:fill="FFFFFF"/>
          </w:tcPr>
          <w:p w:rsidR="00D602D4" w:rsidRDefault="000B4C86">
            <w:pPr>
              <w:spacing w:after="0" w:line="240" w:lineRule="auto"/>
              <w:rPr>
                <w:rFonts w:ascii="Times New Roman" w:eastAsia="Times New Roman" w:hAnsi="Times New Roman" w:cs="Times New Roman"/>
                <w:color w:val="000000"/>
                <w:lang w:eastAsia="ru-RU"/>
              </w:rPr>
            </w:pPr>
            <w:r>
              <w:rPr>
                <w:rFonts w:ascii="Times New Roman" w:hAnsi="Times New Roman" w:cs="Times New Roman"/>
              </w:rPr>
              <w:t>Не соответствует</w:t>
            </w:r>
          </w:p>
        </w:tc>
      </w:tr>
    </w:tbl>
    <w:p w:rsidR="00D602D4" w:rsidRDefault="000B4C86">
      <w:pPr>
        <w:widowControl w:val="0"/>
        <w:tabs>
          <w:tab w:val="left" w:pos="0"/>
        </w:tabs>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Оценка эффективности деятельности Совета директоров осуществлялась по следующим критериям:</w:t>
      </w:r>
    </w:p>
    <w:p w:rsidR="00D602D4" w:rsidRDefault="000B4C86">
      <w:pPr>
        <w:pStyle w:val="ac"/>
        <w:numPr>
          <w:ilvl w:val="0"/>
          <w:numId w:val="22"/>
        </w:numPr>
        <w:tabs>
          <w:tab w:val="left" w:pos="993"/>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выполнение Советом директоров ключевых функций в управлении Обществом (оценка 4,88 балла);</w:t>
      </w:r>
    </w:p>
    <w:p w:rsidR="00D602D4" w:rsidRDefault="000B4C86">
      <w:pPr>
        <w:pStyle w:val="ac"/>
        <w:numPr>
          <w:ilvl w:val="0"/>
          <w:numId w:val="22"/>
        </w:numPr>
        <w:tabs>
          <w:tab w:val="left" w:pos="993"/>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состав и структура Совета директоров (оценка 4,8 балла);</w:t>
      </w:r>
    </w:p>
    <w:p w:rsidR="00D602D4" w:rsidRDefault="000B4C86">
      <w:pPr>
        <w:pStyle w:val="ac"/>
        <w:numPr>
          <w:ilvl w:val="0"/>
          <w:numId w:val="22"/>
        </w:numPr>
        <w:tabs>
          <w:tab w:val="left" w:pos="993"/>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организация работы Совета директоров (оценка 4,89 балла);</w:t>
      </w:r>
    </w:p>
    <w:p w:rsidR="00D602D4" w:rsidRDefault="000B4C86">
      <w:pPr>
        <w:pStyle w:val="ac"/>
        <w:numPr>
          <w:ilvl w:val="0"/>
          <w:numId w:val="22"/>
        </w:numPr>
        <w:tabs>
          <w:tab w:val="left" w:pos="993"/>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Председатель Совета директоров (оценка 5 баллов).</w:t>
      </w:r>
    </w:p>
    <w:p w:rsidR="00D602D4" w:rsidRDefault="000B4C86">
      <w:pPr>
        <w:spacing w:after="0" w:line="240" w:lineRule="auto"/>
        <w:ind w:firstLine="709"/>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По результатам оценки не выявлено значительных негативных факторов, влияющих на эффективность работы Совета директоров и Комитетов Совета директоров.</w:t>
      </w:r>
    </w:p>
    <w:p w:rsidR="00D602D4" w:rsidRDefault="00D602D4">
      <w:pPr>
        <w:widowControl w:val="0"/>
        <w:tabs>
          <w:tab w:val="left" w:pos="0"/>
        </w:tabs>
        <w:spacing w:after="0" w:line="240" w:lineRule="auto"/>
        <w:ind w:firstLine="709"/>
        <w:jc w:val="both"/>
        <w:rPr>
          <w:rFonts w:ascii="Times New Roman" w:eastAsia="Times New Roman" w:hAnsi="Times New Roman" w:cs="Times New Roman"/>
          <w:b/>
          <w:color w:val="000000"/>
          <w:sz w:val="24"/>
          <w:szCs w:val="24"/>
        </w:rPr>
      </w:pPr>
    </w:p>
    <w:p w:rsidR="00D602D4" w:rsidRDefault="000B4C86">
      <w:pPr>
        <w:widowControl w:val="0"/>
        <w:tabs>
          <w:tab w:val="left" w:pos="0"/>
        </w:tabs>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Состав Совета директоров </w:t>
      </w:r>
    </w:p>
    <w:p w:rsidR="00D602D4" w:rsidRDefault="00D602D4">
      <w:pPr>
        <w:widowControl w:val="0"/>
        <w:tabs>
          <w:tab w:val="left" w:pos="0"/>
        </w:tabs>
        <w:spacing w:after="0" w:line="240" w:lineRule="auto"/>
        <w:ind w:firstLine="709"/>
        <w:jc w:val="both"/>
        <w:rPr>
          <w:rFonts w:ascii="Times New Roman" w:eastAsia="Times New Roman" w:hAnsi="Times New Roman" w:cs="Times New Roman"/>
          <w:color w:val="000000"/>
          <w:sz w:val="24"/>
          <w:szCs w:val="24"/>
        </w:rPr>
      </w:pPr>
    </w:p>
    <w:p w:rsidR="00D602D4" w:rsidRDefault="000B4C86">
      <w:pPr>
        <w:widowControl w:val="0"/>
        <w:tabs>
          <w:tab w:val="left" w:pos="0"/>
        </w:tabs>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2024 году действовало 2 состава Совета директоров Общества. </w:t>
      </w:r>
    </w:p>
    <w:p w:rsidR="00D602D4" w:rsidRDefault="000B4C86">
      <w:pPr>
        <w:widowControl w:val="0"/>
        <w:tabs>
          <w:tab w:val="left" w:pos="0"/>
        </w:tabs>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Персональный состав Совета директоров Общества в 2024 году обновился на </w:t>
      </w:r>
      <w:r>
        <w:rPr>
          <w:rFonts w:ascii="Times New Roman" w:eastAsia="Times New Roman" w:hAnsi="Times New Roman" w:cs="Times New Roman"/>
          <w:color w:val="000000"/>
          <w:sz w:val="24"/>
          <w:szCs w:val="24"/>
          <w:highlight w:val="white"/>
        </w:rPr>
        <w:t xml:space="preserve">27%. </w:t>
      </w:r>
      <w:r>
        <w:rPr>
          <w:rFonts w:ascii="Times New Roman" w:eastAsia="Times New Roman" w:hAnsi="Times New Roman" w:cs="Times New Roman"/>
          <w:color w:val="000000"/>
          <w:sz w:val="24"/>
          <w:szCs w:val="24"/>
        </w:rPr>
        <w:t xml:space="preserve">На </w:t>
      </w:r>
      <w:r>
        <w:rPr>
          <w:rFonts w:ascii="Times New Roman" w:eastAsia="Times New Roman" w:hAnsi="Times New Roman" w:cs="Times New Roman"/>
          <w:color w:val="000000"/>
          <w:sz w:val="24"/>
          <w:szCs w:val="24"/>
        </w:rPr>
        <w:lastRenderedPageBreak/>
        <w:t>годовом Общем собрании акционеров 18.06.2024 в состав Совета директоров избрано 3 новых члена Совета директоров, 8 членов Совета директоров переизбрались на новый срок.</w:t>
      </w:r>
    </w:p>
    <w:p w:rsidR="00D602D4" w:rsidRDefault="00D602D4">
      <w:pPr>
        <w:widowControl w:val="0"/>
        <w:tabs>
          <w:tab w:val="left" w:pos="0"/>
        </w:tabs>
        <w:spacing w:after="0" w:line="240" w:lineRule="auto"/>
        <w:ind w:firstLine="709"/>
        <w:jc w:val="both"/>
        <w:rPr>
          <w:rFonts w:ascii="Times New Roman" w:eastAsia="Times New Roman" w:hAnsi="Times New Roman" w:cs="Times New Roman"/>
          <w:color w:val="000000"/>
          <w:sz w:val="24"/>
          <w:szCs w:val="24"/>
        </w:rPr>
      </w:pPr>
    </w:p>
    <w:p w:rsidR="00D602D4" w:rsidRDefault="000B4C86">
      <w:pPr>
        <w:widowControl w:val="0"/>
        <w:tabs>
          <w:tab w:val="left" w:pos="0"/>
        </w:tabs>
        <w:spacing w:after="0" w:line="240" w:lineRule="auto"/>
        <w:ind w:firstLine="709"/>
        <w:jc w:val="right"/>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white"/>
        </w:rPr>
        <w:t>Таблица 65</w:t>
      </w:r>
    </w:p>
    <w:p w:rsidR="00D602D4" w:rsidRDefault="000B4C86">
      <w:pPr>
        <w:widowControl w:val="0"/>
        <w:tabs>
          <w:tab w:val="left" w:pos="0"/>
        </w:tabs>
        <w:spacing w:after="0" w:line="240" w:lineRule="auto"/>
        <w:ind w:firstLine="709"/>
        <w:jc w:val="center"/>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b/>
          <w:color w:val="000000"/>
          <w:sz w:val="24"/>
          <w:szCs w:val="24"/>
        </w:rPr>
        <w:t>Состав Совета директоров, действовавший</w:t>
      </w:r>
      <w:r>
        <w:rPr>
          <w:rFonts w:ascii="Times New Roman" w:eastAsia="Times New Roman" w:hAnsi="Times New Roman" w:cs="Times New Roman"/>
          <w:b/>
          <w:color w:val="000000"/>
          <w:sz w:val="24"/>
          <w:szCs w:val="24"/>
          <w:highlight w:val="white"/>
        </w:rPr>
        <w:t xml:space="preserve"> с 01.01.2024 до 18.06.2024</w:t>
      </w:r>
    </w:p>
    <w:p w:rsidR="00D602D4" w:rsidRDefault="000B4C86">
      <w:pPr>
        <w:widowControl w:val="0"/>
        <w:tabs>
          <w:tab w:val="left" w:pos="0"/>
        </w:tabs>
        <w:spacing w:after="0" w:line="240" w:lineRule="auto"/>
        <w:ind w:firstLine="709"/>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(должности указаны на момент выдвижения)</w:t>
      </w:r>
    </w:p>
    <w:tbl>
      <w:tblPr>
        <w:tblStyle w:val="83"/>
        <w:tblW w:w="9634" w:type="dxa"/>
        <w:jc w:val="center"/>
        <w:tblInd w:w="0" w:type="dxa"/>
        <w:tblLayout w:type="fixed"/>
        <w:tblLook w:val="04A0" w:firstRow="1" w:lastRow="0" w:firstColumn="1" w:lastColumn="0" w:noHBand="0" w:noVBand="1"/>
      </w:tblPr>
      <w:tblGrid>
        <w:gridCol w:w="1701"/>
        <w:gridCol w:w="2972"/>
        <w:gridCol w:w="1843"/>
        <w:gridCol w:w="1984"/>
        <w:gridCol w:w="1134"/>
      </w:tblGrid>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Ф.И.О.</w:t>
            </w:r>
          </w:p>
        </w:tc>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Должность</w:t>
            </w:r>
          </w:p>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(на момент выдвижения кандидата)</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hAnsi="Times New Roman" w:cs="Times New Roman"/>
                <w:b/>
                <w:sz w:val="20"/>
                <w:szCs w:val="20"/>
              </w:rPr>
              <w:t>Дата первоначального избрания в состав Совета директоров</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b/>
                <w:sz w:val="20"/>
                <w:szCs w:val="20"/>
              </w:rPr>
            </w:pPr>
            <w:r>
              <w:rPr>
                <w:rFonts w:ascii="Times New Roman" w:hAnsi="Times New Roman" w:cs="Times New Roman"/>
                <w:b/>
                <w:sz w:val="20"/>
                <w:szCs w:val="20"/>
              </w:rPr>
              <w:t xml:space="preserve">Статус </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b/>
                <w:sz w:val="20"/>
                <w:szCs w:val="20"/>
              </w:rPr>
            </w:pPr>
            <w:r>
              <w:rPr>
                <w:rFonts w:ascii="Times New Roman" w:hAnsi="Times New Roman" w:cs="Times New Roman"/>
                <w:b/>
                <w:sz w:val="20"/>
                <w:szCs w:val="20"/>
              </w:rPr>
              <w:t>Год рождения</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Тихонова </w:t>
            </w:r>
          </w:p>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Мария Геннадьевна</w:t>
            </w: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Заместитель Генерального директора по корпоративному управлению ПАО «Россети» </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03.06.2021</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Председатель Совета директоров</w:t>
            </w:r>
            <w:r>
              <w:rPr>
                <w:rFonts w:ascii="Times New Roman" w:eastAsia="Times New Roman" w:hAnsi="Times New Roman" w:cs="Times New Roman"/>
                <w:sz w:val="20"/>
                <w:szCs w:val="20"/>
              </w:rPr>
              <w:t>. 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1980</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Андреева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Елена </w:t>
            </w:r>
          </w:p>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Викторовна </w:t>
            </w: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Заместитель Генерального директора по реализации услуг и транспорту электроэнергии </w:t>
            </w:r>
          </w:p>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ПАО «Россети»                                                       </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b/>
                <w:sz w:val="20"/>
                <w:szCs w:val="20"/>
              </w:rPr>
            </w:pPr>
            <w:r>
              <w:rPr>
                <w:rFonts w:ascii="Times New Roman" w:eastAsia="Times New Roman" w:hAnsi="Times New Roman" w:cs="Times New Roman"/>
                <w:sz w:val="20"/>
                <w:szCs w:val="20"/>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rPr>
            </w:pPr>
            <w:r>
              <w:rPr>
                <w:rFonts w:ascii="Times New Roman" w:eastAsia="Calibri" w:hAnsi="Times New Roman" w:cs="Times New Roman"/>
                <w:bCs/>
                <w:iCs/>
                <w:sz w:val="20"/>
                <w:szCs w:val="20"/>
              </w:rPr>
              <w:t>1974</w:t>
            </w:r>
          </w:p>
          <w:p w:rsidR="00D602D4" w:rsidRDefault="00D602D4">
            <w:pPr>
              <w:jc w:val="center"/>
              <w:rPr>
                <w:rFonts w:ascii="Times New Roman" w:eastAsia="Times New Roman" w:hAnsi="Times New Roman" w:cs="Times New Roman"/>
                <w:sz w:val="20"/>
                <w:szCs w:val="20"/>
              </w:rPr>
            </w:pP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Данилов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Антон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Евгеньевич </w:t>
            </w:r>
          </w:p>
          <w:p w:rsidR="00D602D4" w:rsidRDefault="00D602D4">
            <w:pPr>
              <w:ind w:firstLine="5"/>
              <w:jc w:val="both"/>
              <w:rPr>
                <w:rFonts w:ascii="Times New Roman" w:hAnsi="Times New Roman" w:cs="Times New Roman"/>
                <w:color w:val="000000"/>
                <w:sz w:val="20"/>
                <w:szCs w:val="20"/>
                <w:highlight w:val="white"/>
              </w:rPr>
            </w:pP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энерготрейдингу Кузбасский филиал ООО «Сибирская генерирующая компания»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rPr>
            </w:pPr>
            <w:r>
              <w:rPr>
                <w:rFonts w:ascii="Times New Roman" w:eastAsia="Calibri" w:hAnsi="Times New Roman" w:cs="Times New Roman"/>
                <w:bCs/>
                <w:iCs/>
                <w:sz w:val="20"/>
                <w:szCs w:val="20"/>
              </w:rPr>
              <w:t>1982</w:t>
            </w:r>
          </w:p>
          <w:p w:rsidR="00D602D4" w:rsidRDefault="00D602D4">
            <w:pPr>
              <w:widowControl w:val="0"/>
              <w:jc w:val="center"/>
              <w:rPr>
                <w:rFonts w:ascii="Times New Roman" w:eastAsia="Calibri" w:hAnsi="Times New Roman" w:cs="Times New Roman"/>
                <w:bCs/>
                <w:iCs/>
                <w:sz w:val="20"/>
                <w:szCs w:val="20"/>
              </w:rPr>
            </w:pP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Зайцева </w:t>
            </w:r>
          </w:p>
          <w:p w:rsidR="00D602D4" w:rsidRDefault="000B4C86">
            <w:pPr>
              <w:ind w:firstLine="5"/>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Мария </w:t>
            </w:r>
          </w:p>
          <w:p w:rsidR="00D602D4" w:rsidRDefault="000B4C86">
            <w:pPr>
              <w:ind w:firstLine="5"/>
              <w:jc w:val="both"/>
              <w:rPr>
                <w:rFonts w:ascii="Times New Roman" w:hAnsi="Times New Roman" w:cs="Times New Roman"/>
                <w:color w:val="000000"/>
                <w:sz w:val="20"/>
                <w:szCs w:val="20"/>
              </w:rPr>
            </w:pPr>
            <w:r>
              <w:rPr>
                <w:rFonts w:ascii="Times New Roman" w:hAnsi="Times New Roman" w:cs="Times New Roman"/>
                <w:color w:val="000000"/>
                <w:sz w:val="20"/>
                <w:szCs w:val="20"/>
              </w:rPr>
              <w:t>Алексеевна</w:t>
            </w: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rPr>
            </w:pPr>
            <w:r>
              <w:rPr>
                <w:rFonts w:ascii="Times New Roman" w:hAnsi="Times New Roman" w:cs="Times New Roman"/>
                <w:color w:val="000000"/>
                <w:sz w:val="20"/>
                <w:szCs w:val="20"/>
              </w:rPr>
              <w:t>Руководитель Департамента корпоративного управления АО «СУЭК»</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rPr>
            </w:pPr>
            <w:r>
              <w:rPr>
                <w:rFonts w:ascii="Times New Roman" w:eastAsia="Calibri" w:hAnsi="Times New Roman" w:cs="Times New Roman"/>
                <w:bCs/>
                <w:iCs/>
                <w:sz w:val="20"/>
                <w:szCs w:val="20"/>
              </w:rPr>
              <w:t>1989</w:t>
            </w:r>
          </w:p>
          <w:p w:rsidR="00D602D4" w:rsidRDefault="00D602D4">
            <w:pPr>
              <w:widowControl w:val="0"/>
              <w:jc w:val="center"/>
              <w:rPr>
                <w:rFonts w:ascii="Times New Roman" w:eastAsia="Calibri" w:hAnsi="Times New Roman" w:cs="Times New Roman"/>
                <w:bCs/>
                <w:iCs/>
                <w:sz w:val="20"/>
                <w:szCs w:val="20"/>
              </w:rPr>
            </w:pP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Клинков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Олег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Юрьевич</w:t>
            </w:r>
          </w:p>
          <w:p w:rsidR="00D602D4" w:rsidRDefault="00D602D4">
            <w:pPr>
              <w:jc w:val="both"/>
              <w:rPr>
                <w:rFonts w:ascii="Times New Roman" w:hAnsi="Times New Roman" w:cs="Times New Roman"/>
                <w:color w:val="000000"/>
                <w:sz w:val="20"/>
                <w:szCs w:val="20"/>
              </w:rPr>
            </w:pP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взаимодействию с потребителями - начальник Департамента технологического развития ПАО «Россети»</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eastAsia="Times New Roman" w:hAnsi="Times New Roman" w:cs="Times New Roman"/>
                <w:sz w:val="20"/>
                <w:szCs w:val="20"/>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1972</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Лаврова </w:t>
            </w:r>
          </w:p>
          <w:p w:rsidR="00D602D4" w:rsidRDefault="000B4C86">
            <w:pPr>
              <w:ind w:firstLine="5"/>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Марина Александровна </w:t>
            </w:r>
          </w:p>
          <w:p w:rsidR="00D602D4" w:rsidRDefault="00D602D4">
            <w:pPr>
              <w:jc w:val="both"/>
              <w:rPr>
                <w:rFonts w:ascii="Times New Roman" w:hAnsi="Times New Roman" w:cs="Times New Roman"/>
                <w:color w:val="000000"/>
                <w:sz w:val="20"/>
                <w:szCs w:val="20"/>
              </w:rPr>
            </w:pP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Заместитель начальника Департамента экономического планирования и тарифообразования </w:t>
            </w:r>
          </w:p>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ПАО «Россети»</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eastAsia="Times New Roman" w:hAnsi="Times New Roman" w:cs="Times New Roman"/>
                <w:sz w:val="20"/>
                <w:szCs w:val="20"/>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eastAsia="Times New Roman" w:hAnsi="Times New Roman" w:cs="Times New Roman"/>
                <w:sz w:val="20"/>
                <w:szCs w:val="20"/>
              </w:rPr>
              <w:t>1982</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rPr>
            </w:pPr>
            <w:r>
              <w:rPr>
                <w:rFonts w:ascii="Times New Roman" w:hAnsi="Times New Roman" w:cs="Times New Roman"/>
                <w:color w:val="000000"/>
                <w:sz w:val="20"/>
                <w:szCs w:val="20"/>
              </w:rPr>
              <w:t>Степина Екатерина Андреевна</w:t>
            </w: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взаимодействию с государственными органами ООО «Сибирская генерирующая компания»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eastAsia="Times New Roman" w:hAnsi="Times New Roman" w:cs="Times New Roman"/>
                <w:sz w:val="20"/>
                <w:szCs w:val="20"/>
              </w:rPr>
              <w:t>26.06.2015</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Независимый директор </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rPr>
            </w:pPr>
            <w:r>
              <w:rPr>
                <w:rFonts w:ascii="Times New Roman" w:eastAsia="Calibri" w:hAnsi="Times New Roman" w:cs="Times New Roman"/>
                <w:bCs/>
                <w:iCs/>
                <w:sz w:val="20"/>
                <w:szCs w:val="20"/>
              </w:rPr>
              <w:t>1975</w:t>
            </w:r>
          </w:p>
          <w:p w:rsidR="00D602D4" w:rsidRDefault="00D602D4">
            <w:pPr>
              <w:jc w:val="center"/>
              <w:rPr>
                <w:rFonts w:ascii="Times New Roman" w:eastAsia="Times New Roman" w:hAnsi="Times New Roman" w:cs="Times New Roman"/>
                <w:sz w:val="20"/>
                <w:szCs w:val="20"/>
              </w:rPr>
            </w:pP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Устюгов </w:t>
            </w:r>
          </w:p>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Дмитрий Владимирович</w:t>
            </w: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tabs>
                <w:tab w:val="left" w:pos="1199"/>
              </w:tabs>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Директор по правовым вопросам ПАО «Россети» </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rPr>
            </w:pPr>
            <w:r>
              <w:rPr>
                <w:rFonts w:ascii="Times New Roman" w:eastAsia="Calibri" w:hAnsi="Times New Roman" w:cs="Times New Roman"/>
                <w:bCs/>
                <w:iCs/>
                <w:sz w:val="20"/>
                <w:szCs w:val="20"/>
              </w:rPr>
              <w:t>1976</w:t>
            </w:r>
          </w:p>
          <w:p w:rsidR="00D602D4" w:rsidRDefault="00D602D4">
            <w:pPr>
              <w:jc w:val="center"/>
              <w:rPr>
                <w:rFonts w:ascii="Times New Roman" w:eastAsia="Times New Roman" w:hAnsi="Times New Roman" w:cs="Times New Roman"/>
                <w:sz w:val="20"/>
                <w:szCs w:val="20"/>
              </w:rPr>
            </w:pP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Ханафеев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Марат </w:t>
            </w:r>
          </w:p>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Анварович</w:t>
            </w: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tabs>
                <w:tab w:val="left" w:pos="1199"/>
              </w:tabs>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Заместитель Генерального директора по закупочной деятельности ПАО «Россети»         </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1980</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Черкашин Василий Владимирович</w:t>
            </w: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стратегии и M&amp;A ООО «Сибирская генерирующая компания»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eastAsia="Times New Roman" w:hAnsi="Times New Roman" w:cs="Times New Roman"/>
                <w:sz w:val="20"/>
                <w:szCs w:val="20"/>
              </w:rPr>
              <w:t>29.05.2020</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Независимый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rPr>
            </w:pPr>
            <w:r>
              <w:rPr>
                <w:rFonts w:ascii="Times New Roman" w:eastAsia="Calibri" w:hAnsi="Times New Roman" w:cs="Times New Roman"/>
                <w:bCs/>
                <w:iCs/>
                <w:sz w:val="20"/>
                <w:szCs w:val="20"/>
              </w:rPr>
              <w:t>1982</w:t>
            </w:r>
          </w:p>
          <w:p w:rsidR="00D602D4" w:rsidRDefault="00D602D4">
            <w:pPr>
              <w:jc w:val="center"/>
              <w:rPr>
                <w:rFonts w:ascii="Times New Roman" w:eastAsia="Times New Roman" w:hAnsi="Times New Roman" w:cs="Times New Roman"/>
                <w:sz w:val="20"/>
                <w:szCs w:val="20"/>
              </w:rPr>
            </w:pP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Шашкова Наталья Васильевна</w:t>
            </w:r>
          </w:p>
        </w:tc>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экономике ООО «Сибирская генерирующая компания»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Независимый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rPr>
            </w:pPr>
            <w:r>
              <w:rPr>
                <w:rFonts w:ascii="Times New Roman" w:eastAsia="Calibri" w:hAnsi="Times New Roman" w:cs="Times New Roman"/>
                <w:bCs/>
                <w:iCs/>
                <w:sz w:val="20"/>
                <w:szCs w:val="20"/>
              </w:rPr>
              <w:t>1970</w:t>
            </w:r>
          </w:p>
          <w:p w:rsidR="00D602D4" w:rsidRDefault="00D602D4">
            <w:pPr>
              <w:jc w:val="center"/>
              <w:rPr>
                <w:rFonts w:ascii="Times New Roman" w:eastAsia="Times New Roman" w:hAnsi="Times New Roman" w:cs="Times New Roman"/>
                <w:sz w:val="20"/>
                <w:szCs w:val="20"/>
              </w:rPr>
            </w:pPr>
          </w:p>
        </w:tc>
      </w:tr>
    </w:tbl>
    <w:p w:rsidR="00D602D4" w:rsidRDefault="00D602D4">
      <w:pPr>
        <w:widowControl w:val="0"/>
        <w:tabs>
          <w:tab w:val="left" w:pos="0"/>
        </w:tabs>
        <w:rPr>
          <w:rFonts w:ascii="Times New Roman" w:eastAsia="Times New Roman" w:hAnsi="Times New Roman" w:cs="Times New Roman"/>
          <w:color w:val="000000"/>
          <w:sz w:val="24"/>
          <w:szCs w:val="24"/>
        </w:rPr>
      </w:pPr>
    </w:p>
    <w:p w:rsidR="00D602D4" w:rsidRDefault="000B4C86">
      <w:pPr>
        <w:widowControl w:val="0"/>
        <w:tabs>
          <w:tab w:val="left" w:pos="0"/>
        </w:tabs>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highlight w:val="white"/>
        </w:rPr>
        <w:t>Таблица 6</w:t>
      </w:r>
      <w:r>
        <w:rPr>
          <w:rFonts w:ascii="Times New Roman" w:eastAsia="Times New Roman" w:hAnsi="Times New Roman" w:cs="Times New Roman"/>
          <w:color w:val="000000"/>
          <w:sz w:val="24"/>
          <w:szCs w:val="24"/>
        </w:rPr>
        <w:t>6</w:t>
      </w:r>
    </w:p>
    <w:p w:rsidR="00D602D4" w:rsidRDefault="000B4C86">
      <w:pPr>
        <w:widowControl w:val="0"/>
        <w:tabs>
          <w:tab w:val="left" w:pos="0"/>
        </w:tabs>
        <w:spacing w:after="0" w:line="240" w:lineRule="auto"/>
        <w:jc w:val="center"/>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rPr>
        <w:t xml:space="preserve">Состав Совета директоров, действовавший с </w:t>
      </w:r>
      <w:r>
        <w:rPr>
          <w:rFonts w:ascii="Times New Roman" w:eastAsia="Times New Roman" w:hAnsi="Times New Roman" w:cs="Times New Roman"/>
          <w:b/>
          <w:color w:val="000000"/>
          <w:sz w:val="24"/>
          <w:szCs w:val="24"/>
          <w:highlight w:val="white"/>
        </w:rPr>
        <w:t>18.06.2024 по 31.12.2024</w:t>
      </w:r>
    </w:p>
    <w:p w:rsidR="00D602D4" w:rsidRDefault="000B4C86">
      <w:pPr>
        <w:widowControl w:val="0"/>
        <w:tabs>
          <w:tab w:val="left" w:pos="0"/>
        </w:tabs>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(должности указаны на момент выдвижения)</w:t>
      </w:r>
    </w:p>
    <w:tbl>
      <w:tblPr>
        <w:tblStyle w:val="83"/>
        <w:tblW w:w="9634" w:type="dxa"/>
        <w:jc w:val="center"/>
        <w:tblInd w:w="0" w:type="dxa"/>
        <w:tblLayout w:type="fixed"/>
        <w:tblLook w:val="04A0" w:firstRow="1" w:lastRow="0" w:firstColumn="1" w:lastColumn="0" w:noHBand="0" w:noVBand="1"/>
      </w:tblPr>
      <w:tblGrid>
        <w:gridCol w:w="1701"/>
        <w:gridCol w:w="2972"/>
        <w:gridCol w:w="1843"/>
        <w:gridCol w:w="1984"/>
        <w:gridCol w:w="1134"/>
      </w:tblGrid>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Ф.И.О.</w:t>
            </w:r>
          </w:p>
        </w:tc>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Должность</w:t>
            </w:r>
          </w:p>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 (на момент выдвижения кандидата)</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851"/>
                <w:tab w:val="left" w:pos="993"/>
              </w:tabs>
              <w:jc w:val="center"/>
              <w:rPr>
                <w:rFonts w:ascii="Times New Roman" w:eastAsia="Times New Roman" w:hAnsi="Times New Roman" w:cs="Times New Roman"/>
                <w:b/>
                <w:sz w:val="20"/>
                <w:szCs w:val="20"/>
              </w:rPr>
            </w:pPr>
            <w:r>
              <w:rPr>
                <w:rFonts w:ascii="Times New Roman" w:hAnsi="Times New Roman" w:cs="Times New Roman"/>
                <w:b/>
                <w:sz w:val="20"/>
                <w:szCs w:val="20"/>
              </w:rPr>
              <w:t>Дата первоначального избрания в состав Совета директоров</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b/>
                <w:sz w:val="20"/>
                <w:szCs w:val="20"/>
              </w:rPr>
            </w:pPr>
            <w:r>
              <w:rPr>
                <w:rFonts w:ascii="Times New Roman" w:hAnsi="Times New Roman" w:cs="Times New Roman"/>
                <w:b/>
                <w:sz w:val="20"/>
                <w:szCs w:val="20"/>
              </w:rPr>
              <w:t xml:space="preserve">Статус </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b/>
                <w:sz w:val="20"/>
                <w:szCs w:val="20"/>
              </w:rPr>
            </w:pPr>
            <w:r>
              <w:rPr>
                <w:rFonts w:ascii="Times New Roman" w:hAnsi="Times New Roman" w:cs="Times New Roman"/>
                <w:b/>
                <w:sz w:val="20"/>
                <w:szCs w:val="20"/>
              </w:rPr>
              <w:t>Год рождения</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Тихонова </w:t>
            </w:r>
          </w:p>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Мария </w:t>
            </w:r>
            <w:r>
              <w:rPr>
                <w:rFonts w:ascii="Times New Roman" w:hAnsi="Times New Roman" w:cs="Times New Roman"/>
                <w:color w:val="000000"/>
                <w:sz w:val="20"/>
                <w:szCs w:val="20"/>
                <w:highlight w:val="white"/>
              </w:rPr>
              <w:lastRenderedPageBreak/>
              <w:t>Геннадьевна</w:t>
            </w: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lastRenderedPageBreak/>
              <w:t xml:space="preserve">Заместитель Генерального директора по корпоративному </w:t>
            </w:r>
            <w:r>
              <w:rPr>
                <w:rFonts w:ascii="Times New Roman" w:hAnsi="Times New Roman" w:cs="Times New Roman"/>
                <w:color w:val="000000"/>
                <w:sz w:val="20"/>
                <w:szCs w:val="20"/>
                <w:highlight w:val="white"/>
              </w:rPr>
              <w:lastRenderedPageBreak/>
              <w:t xml:space="preserve">управлению ПАО «Россети» </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lastRenderedPageBreak/>
              <w:t>03.06.2021</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highlight w:val="white"/>
              </w:rPr>
            </w:pPr>
            <w:r>
              <w:rPr>
                <w:rFonts w:ascii="Times New Roman" w:eastAsia="Times New Roman" w:hAnsi="Times New Roman" w:cs="Times New Roman"/>
                <w:b/>
                <w:sz w:val="20"/>
                <w:szCs w:val="20"/>
                <w:highlight w:val="white"/>
              </w:rPr>
              <w:t>Председатель Совета директоров</w:t>
            </w:r>
            <w:r>
              <w:rPr>
                <w:rFonts w:ascii="Times New Roman" w:eastAsia="Times New Roman" w:hAnsi="Times New Roman" w:cs="Times New Roman"/>
                <w:sz w:val="20"/>
                <w:szCs w:val="20"/>
                <w:highlight w:val="white"/>
              </w:rPr>
              <w:t xml:space="preserve">. </w:t>
            </w:r>
            <w:r>
              <w:rPr>
                <w:rFonts w:ascii="Times New Roman" w:eastAsia="Times New Roman" w:hAnsi="Times New Roman" w:cs="Times New Roman"/>
                <w:sz w:val="20"/>
                <w:szCs w:val="20"/>
                <w:highlight w:val="white"/>
              </w:rPr>
              <w:lastRenderedPageBreak/>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lastRenderedPageBreak/>
              <w:t>1980</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Андреева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Елена </w:t>
            </w:r>
          </w:p>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Викторовна </w:t>
            </w:r>
          </w:p>
        </w:tc>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Заместитель Генерального директора по реализации услуг и транспорту электроэнергии </w:t>
            </w:r>
          </w:p>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ПАО «Россети»                                                       </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b/>
                <w:sz w:val="20"/>
                <w:szCs w:val="20"/>
                <w:highlight w:val="white"/>
              </w:rPr>
            </w:pPr>
            <w:r>
              <w:rPr>
                <w:rFonts w:ascii="Times New Roman" w:eastAsia="Times New Roman" w:hAnsi="Times New Roman" w:cs="Times New Roman"/>
                <w:sz w:val="20"/>
                <w:szCs w:val="20"/>
                <w:highlight w:val="white"/>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highlight w:val="white"/>
              </w:rPr>
            </w:pPr>
            <w:r>
              <w:rPr>
                <w:rFonts w:ascii="Times New Roman" w:eastAsia="Calibri" w:hAnsi="Times New Roman" w:cs="Times New Roman"/>
                <w:bCs/>
                <w:iCs/>
                <w:sz w:val="20"/>
                <w:szCs w:val="20"/>
                <w:highlight w:val="white"/>
              </w:rPr>
              <w:t>1974</w:t>
            </w:r>
          </w:p>
          <w:p w:rsidR="00D602D4" w:rsidRDefault="00D602D4">
            <w:pPr>
              <w:jc w:val="center"/>
              <w:rPr>
                <w:rFonts w:ascii="Times New Roman" w:eastAsia="Times New Roman" w:hAnsi="Times New Roman" w:cs="Times New Roman"/>
                <w:sz w:val="20"/>
                <w:szCs w:val="20"/>
                <w:highlight w:val="white"/>
              </w:rPr>
            </w:pPr>
          </w:p>
        </w:tc>
      </w:tr>
      <w:tr w:rsidR="00D602D4">
        <w:trPr>
          <w:trHeight w:val="230"/>
          <w:jc w:val="center"/>
        </w:trPr>
        <w:tc>
          <w:tcPr>
            <w:tcW w:w="1701"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eastAsia="Times New Roman" w:hAnsi="Times New Roman" w:cs="Times New Roman"/>
                <w:sz w:val="20"/>
                <w:szCs w:val="20"/>
                <w:highlight w:val="white"/>
              </w:rPr>
              <w:t>Бахарев Дмитрий Владимирович</w:t>
            </w:r>
          </w:p>
        </w:tc>
        <w:tc>
          <w:tcPr>
            <w:tcW w:w="2972"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jc w:val="both"/>
              <w:rPr>
                <w:rFonts w:ascii="Times New Roman" w:eastAsia="Times New Roman" w:hAnsi="Times New Roman" w:cs="Times New Roman"/>
                <w:highlight w:val="white"/>
              </w:rPr>
            </w:pPr>
            <w:r>
              <w:rPr>
                <w:rFonts w:ascii="Times New Roman" w:eastAsia="Times New Roman" w:hAnsi="Times New Roman" w:cs="Times New Roman"/>
                <w:sz w:val="20"/>
                <w:szCs w:val="20"/>
                <w:highlight w:val="white"/>
                <w:lang w:bidi="en-US"/>
              </w:rPr>
              <w:t>Первый заместитель начальника Департамента тарифной политики ПАО «Россети»</w:t>
            </w:r>
          </w:p>
        </w:tc>
        <w:tc>
          <w:tcPr>
            <w:tcW w:w="184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18.06.2024</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b/>
                <w:sz w:val="20"/>
                <w:szCs w:val="20"/>
                <w:highlight w:val="white"/>
              </w:rPr>
            </w:pPr>
            <w:r>
              <w:rPr>
                <w:rFonts w:ascii="Times New Roman" w:eastAsia="Times New Roman" w:hAnsi="Times New Roman" w:cs="Times New Roman"/>
                <w:sz w:val="20"/>
                <w:szCs w:val="20"/>
                <w:highlight w:val="white"/>
              </w:rPr>
              <w:t>Неисполнительный директор</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bCs/>
                <w:iCs/>
                <w:sz w:val="20"/>
                <w:szCs w:val="20"/>
                <w:highlight w:val="white"/>
              </w:rPr>
            </w:pPr>
            <w:r>
              <w:rPr>
                <w:rFonts w:ascii="Times New Roman" w:eastAsia="Calibri" w:hAnsi="Times New Roman" w:cs="Times New Roman"/>
                <w:bCs/>
                <w:iCs/>
                <w:sz w:val="20"/>
                <w:szCs w:val="20"/>
                <w:highlight w:val="white"/>
              </w:rPr>
              <w:t>1979</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Данилов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Антон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Евгеньевич </w:t>
            </w:r>
          </w:p>
          <w:p w:rsidR="00D602D4" w:rsidRDefault="00D602D4">
            <w:pPr>
              <w:ind w:firstLine="5"/>
              <w:jc w:val="both"/>
              <w:rPr>
                <w:rFonts w:ascii="Times New Roman" w:hAnsi="Times New Roman" w:cs="Times New Roman"/>
                <w:color w:val="000000"/>
                <w:sz w:val="20"/>
                <w:szCs w:val="20"/>
                <w:highlight w:val="white"/>
              </w:rPr>
            </w:pPr>
          </w:p>
        </w:tc>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eastAsia="Times New Roman" w:hAnsi="Times New Roman" w:cs="Times New Roman"/>
                <w:sz w:val="20"/>
                <w:szCs w:val="20"/>
                <w:highlight w:val="white"/>
              </w:rPr>
              <w:t>Директор по развитию энергорынков и энерготрейдингу</w:t>
            </w:r>
            <w:r>
              <w:rPr>
                <w:rFonts w:ascii="Times New Roman" w:hAnsi="Times New Roman" w:cs="Times New Roman"/>
                <w:color w:val="000000"/>
                <w:sz w:val="20"/>
                <w:szCs w:val="20"/>
                <w:highlight w:val="white"/>
              </w:rPr>
              <w:t xml:space="preserve"> ООО «Сибирская генерирующая компания»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highlight w:val="white"/>
              </w:rPr>
            </w:pPr>
            <w:r>
              <w:rPr>
                <w:rFonts w:ascii="Times New Roman" w:eastAsia="Calibri" w:hAnsi="Times New Roman" w:cs="Times New Roman"/>
                <w:bCs/>
                <w:iCs/>
                <w:sz w:val="20"/>
                <w:szCs w:val="20"/>
                <w:highlight w:val="white"/>
              </w:rPr>
              <w:t>1982</w:t>
            </w:r>
          </w:p>
          <w:p w:rsidR="00D602D4" w:rsidRDefault="00D602D4">
            <w:pPr>
              <w:widowControl w:val="0"/>
              <w:jc w:val="center"/>
              <w:rPr>
                <w:rFonts w:ascii="Times New Roman" w:eastAsia="Calibri" w:hAnsi="Times New Roman" w:cs="Times New Roman"/>
                <w:bCs/>
                <w:iCs/>
                <w:sz w:val="20"/>
                <w:szCs w:val="20"/>
                <w:highlight w:val="white"/>
              </w:rPr>
            </w:pP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Клинков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Олег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Юрьевич</w:t>
            </w:r>
          </w:p>
          <w:p w:rsidR="00D602D4" w:rsidRDefault="00D602D4">
            <w:pPr>
              <w:jc w:val="both"/>
              <w:rPr>
                <w:rFonts w:ascii="Times New Roman" w:hAnsi="Times New Roman" w:cs="Times New Roman"/>
                <w:color w:val="000000"/>
                <w:sz w:val="20"/>
                <w:szCs w:val="20"/>
                <w:highlight w:val="white"/>
              </w:rPr>
            </w:pPr>
          </w:p>
        </w:tc>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Директор по взаимодействию с потребителями - начальник Департамента технологического развития ПАО «Россети»</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eastAsia="Times New Roman" w:hAnsi="Times New Roman" w:cs="Times New Roman"/>
                <w:sz w:val="20"/>
                <w:szCs w:val="20"/>
                <w:highlight w:val="white"/>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1972</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rPr>
                <w:rFonts w:ascii="Times New Roman" w:hAnsi="Times New Roman" w:cs="Times New Roman"/>
                <w:sz w:val="20"/>
                <w:szCs w:val="20"/>
                <w:highlight w:val="white"/>
              </w:rPr>
            </w:pPr>
            <w:r>
              <w:rPr>
                <w:rFonts w:ascii="Times New Roman" w:eastAsia="Times New Roman" w:hAnsi="Times New Roman" w:cs="Times New Roman"/>
                <w:sz w:val="20"/>
                <w:szCs w:val="20"/>
                <w:highlight w:val="white"/>
              </w:rPr>
              <w:t>Козлов Иван Евгеньевич</w:t>
            </w:r>
          </w:p>
        </w:tc>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r>
              <w:rPr>
                <w:rFonts w:ascii="Times New Roman" w:eastAsia="Times New Roman" w:hAnsi="Times New Roman" w:cs="Times New Roman"/>
                <w:sz w:val="20"/>
                <w:szCs w:val="20"/>
              </w:rPr>
              <w:t>Директор по закупкам ООО «Сибирская генерирующая компания»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color w:val="000000"/>
                <w:sz w:val="20"/>
                <w:szCs w:val="20"/>
              </w:rPr>
              <w:t>29.05.2020</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eastAsia="Times New Roman" w:hAnsi="Times New Roman" w:cs="Times New Roman"/>
                <w:sz w:val="20"/>
                <w:szCs w:val="20"/>
              </w:rPr>
              <w:t>Неисполнительный директор</w:t>
            </w:r>
          </w:p>
          <w:p w:rsidR="00D602D4" w:rsidRDefault="00D602D4"/>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1982</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highlight w:val="white"/>
              </w:rPr>
            </w:pPr>
            <w:r>
              <w:rPr>
                <w:rFonts w:ascii="Times New Roman" w:eastAsia="Times New Roman" w:hAnsi="Times New Roman" w:cs="Times New Roman"/>
                <w:sz w:val="20"/>
                <w:szCs w:val="20"/>
                <w:highlight w:val="white"/>
              </w:rPr>
              <w:t>Трубицын Кирилл Андреевич</w:t>
            </w:r>
          </w:p>
        </w:tc>
        <w:tc>
          <w:tcPr>
            <w:tcW w:w="297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r>
              <w:rPr>
                <w:rFonts w:ascii="Times New Roman" w:eastAsia="Times New Roman" w:hAnsi="Times New Roman" w:cs="Times New Roman"/>
                <w:bCs/>
                <w:sz w:val="20"/>
                <w:szCs w:val="20"/>
              </w:rPr>
              <w:t>Директор по правовым вопросам</w:t>
            </w:r>
            <w:r>
              <w:rPr>
                <w:rFonts w:ascii="Times New Roman" w:eastAsia="Times New Roman" w:hAnsi="Times New Roman" w:cs="Times New Roman"/>
                <w:sz w:val="20"/>
                <w:szCs w:val="20"/>
              </w:rPr>
              <w:t xml:space="preserve"> </w:t>
            </w:r>
            <w:r>
              <w:rPr>
                <w:rFonts w:ascii="Times New Roman" w:eastAsia="Times New Roman" w:hAnsi="Times New Roman" w:cs="Times New Roman"/>
                <w:bCs/>
                <w:sz w:val="20"/>
                <w:szCs w:val="20"/>
              </w:rPr>
              <w:t>ООО «Сибирская генерирующая компания»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eastAsia="Times New Roman" w:hAnsi="Times New Roman" w:cs="Times New Roman"/>
                <w:sz w:val="20"/>
                <w:szCs w:val="20"/>
              </w:rPr>
              <w:t>25.06.2014</w:t>
            </w:r>
          </w:p>
          <w:p w:rsidR="00D602D4" w:rsidRDefault="00D602D4">
            <w:pPr>
              <w:jc w:val="center"/>
              <w:rPr>
                <w:rFonts w:ascii="Times New Roman" w:hAnsi="Times New Roman" w:cs="Times New Roman"/>
                <w:sz w:val="20"/>
                <w:szCs w:val="20"/>
              </w:rPr>
            </w:pP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Независимый директор</w:t>
            </w:r>
          </w:p>
          <w:p w:rsidR="00D602D4" w:rsidRDefault="00D602D4"/>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pPr>
            <w:r>
              <w:rPr>
                <w:rFonts w:ascii="Times New Roman" w:eastAsia="Times New Roman" w:hAnsi="Times New Roman" w:cs="Times New Roman"/>
                <w:sz w:val="20"/>
                <w:szCs w:val="20"/>
              </w:rPr>
              <w:t>1975</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Устюгов </w:t>
            </w:r>
          </w:p>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Дмитрий Владимирович</w:t>
            </w:r>
          </w:p>
        </w:tc>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pPr>
              <w:tabs>
                <w:tab w:val="left" w:pos="1199"/>
              </w:tabs>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Директор по правовым вопросам ПАО «Россети» </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rPr>
            </w:pPr>
            <w:r>
              <w:rPr>
                <w:rFonts w:ascii="Times New Roman" w:eastAsia="Calibri" w:hAnsi="Times New Roman" w:cs="Times New Roman"/>
                <w:bCs/>
                <w:iCs/>
                <w:sz w:val="20"/>
                <w:szCs w:val="20"/>
              </w:rPr>
              <w:t>1976</w:t>
            </w:r>
          </w:p>
          <w:p w:rsidR="00D602D4" w:rsidRDefault="00D602D4">
            <w:pPr>
              <w:jc w:val="center"/>
              <w:rPr>
                <w:rFonts w:ascii="Times New Roman" w:eastAsia="Times New Roman" w:hAnsi="Times New Roman" w:cs="Times New Roman"/>
                <w:sz w:val="20"/>
                <w:szCs w:val="20"/>
              </w:rPr>
            </w:pP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Ханафеев </w:t>
            </w:r>
          </w:p>
          <w:p w:rsidR="00D602D4" w:rsidRDefault="000B4C86">
            <w:pPr>
              <w:ind w:firstLine="5"/>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 xml:space="preserve">Марат </w:t>
            </w:r>
          </w:p>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Анварович</w:t>
            </w:r>
          </w:p>
        </w:tc>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pPr>
              <w:tabs>
                <w:tab w:val="left" w:pos="1199"/>
              </w:tabs>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Заместитель Генерального директора по закупочной деятельности ПАО «Россети»         </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Неисполнительный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1980</w:t>
            </w: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Черкашин Василий Владимирович</w:t>
            </w:r>
          </w:p>
        </w:tc>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both"/>
              <w:rPr>
                <w:rFonts w:ascii="Times New Roman" w:hAnsi="Times New Roman" w:cs="Times New Roman"/>
                <w:color w:val="000000"/>
                <w:sz w:val="20"/>
                <w:szCs w:val="20"/>
              </w:rPr>
            </w:pPr>
            <w:r>
              <w:rPr>
                <w:rFonts w:ascii="Times New Roman" w:eastAsia="Times New Roman" w:hAnsi="Times New Roman" w:cs="Times New Roman"/>
                <w:sz w:val="20"/>
                <w:szCs w:val="20"/>
              </w:rPr>
              <w:t>Директор по развитию</w:t>
            </w:r>
            <w:r>
              <w:rPr>
                <w:rFonts w:ascii="Times New Roman" w:eastAsia="Times New Roman" w:hAnsi="Times New Roman" w:cs="Times New Roman"/>
                <w:color w:val="000000"/>
                <w:sz w:val="20"/>
                <w:szCs w:val="20"/>
              </w:rPr>
              <w:t xml:space="preserve"> ООО</w:t>
            </w:r>
            <w:r>
              <w:rPr>
                <w:rFonts w:ascii="Times New Roman" w:hAnsi="Times New Roman" w:cs="Times New Roman"/>
                <w:color w:val="000000"/>
                <w:sz w:val="20"/>
                <w:szCs w:val="20"/>
              </w:rPr>
              <w:t xml:space="preserve"> «Сибирская генерирующая компания»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eastAsia="Times New Roman" w:hAnsi="Times New Roman" w:cs="Times New Roman"/>
                <w:sz w:val="20"/>
                <w:szCs w:val="20"/>
              </w:rPr>
              <w:t>29.05.2020</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Неисполнительный директор</w:t>
            </w:r>
          </w:p>
          <w:p w:rsidR="00D602D4" w:rsidRDefault="00D602D4">
            <w:pPr>
              <w:jc w:val="center"/>
              <w:rPr>
                <w:rFonts w:ascii="Times New Roman" w:eastAsia="Times New Roman"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rPr>
            </w:pPr>
            <w:r>
              <w:rPr>
                <w:rFonts w:ascii="Times New Roman" w:eastAsia="Calibri" w:hAnsi="Times New Roman" w:cs="Times New Roman"/>
                <w:bCs/>
                <w:iCs/>
                <w:sz w:val="20"/>
                <w:szCs w:val="20"/>
              </w:rPr>
              <w:t>1982</w:t>
            </w:r>
          </w:p>
          <w:p w:rsidR="00D602D4" w:rsidRDefault="00D602D4">
            <w:pPr>
              <w:jc w:val="center"/>
              <w:rPr>
                <w:rFonts w:ascii="Times New Roman" w:eastAsia="Times New Roman" w:hAnsi="Times New Roman" w:cs="Times New Roman"/>
                <w:sz w:val="20"/>
                <w:szCs w:val="20"/>
              </w:rPr>
            </w:pPr>
          </w:p>
        </w:tc>
      </w:tr>
      <w:tr w:rsidR="00D602D4">
        <w:trPr>
          <w:trHeight w:val="170"/>
          <w:jc w:val="center"/>
        </w:trPr>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both"/>
              <w:rPr>
                <w:rFonts w:ascii="Times New Roman" w:hAnsi="Times New Roman" w:cs="Times New Roman"/>
                <w:color w:val="000000"/>
                <w:sz w:val="20"/>
                <w:szCs w:val="20"/>
                <w:highlight w:val="white"/>
              </w:rPr>
            </w:pPr>
            <w:r>
              <w:rPr>
                <w:rFonts w:ascii="Times New Roman" w:hAnsi="Times New Roman" w:cs="Times New Roman"/>
                <w:color w:val="000000"/>
                <w:sz w:val="20"/>
                <w:szCs w:val="20"/>
                <w:highlight w:val="white"/>
              </w:rPr>
              <w:t>Шашкова Наталья Васильевна</w:t>
            </w:r>
          </w:p>
        </w:tc>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экономике ООО «Сибирская генерирующая компания»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09.06.2023</w:t>
            </w:r>
          </w:p>
        </w:tc>
        <w:tc>
          <w:tcPr>
            <w:tcW w:w="198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Независимый директор</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rPr>
                <w:rFonts w:ascii="Times New Roman" w:eastAsia="Calibri" w:hAnsi="Times New Roman" w:cs="Times New Roman"/>
                <w:sz w:val="20"/>
                <w:szCs w:val="20"/>
              </w:rPr>
            </w:pPr>
            <w:r>
              <w:rPr>
                <w:rFonts w:ascii="Times New Roman" w:eastAsia="Calibri" w:hAnsi="Times New Roman" w:cs="Times New Roman"/>
                <w:bCs/>
                <w:iCs/>
                <w:sz w:val="20"/>
                <w:szCs w:val="20"/>
              </w:rPr>
              <w:t>1970</w:t>
            </w:r>
          </w:p>
          <w:p w:rsidR="00D602D4" w:rsidRDefault="00D602D4">
            <w:pPr>
              <w:jc w:val="center"/>
              <w:rPr>
                <w:rFonts w:ascii="Times New Roman" w:eastAsia="Times New Roman" w:hAnsi="Times New Roman" w:cs="Times New Roman"/>
                <w:sz w:val="20"/>
                <w:szCs w:val="20"/>
              </w:rPr>
            </w:pPr>
          </w:p>
        </w:tc>
      </w:tr>
    </w:tbl>
    <w:p w:rsidR="00D602D4" w:rsidRDefault="00D602D4">
      <w:pPr>
        <w:widowControl w:val="0"/>
        <w:tabs>
          <w:tab w:val="left" w:pos="0"/>
        </w:tabs>
        <w:spacing w:after="0" w:line="240" w:lineRule="auto"/>
        <w:ind w:firstLine="709"/>
        <w:rPr>
          <w:rFonts w:ascii="Times New Roman" w:eastAsia="Times New Roman" w:hAnsi="Times New Roman" w:cs="Times New Roman"/>
          <w:b/>
          <w:color w:val="000000"/>
          <w:sz w:val="24"/>
          <w:szCs w:val="24"/>
        </w:rPr>
      </w:pPr>
    </w:p>
    <w:p w:rsidR="00D602D4" w:rsidRDefault="000B4C86">
      <w:pPr>
        <w:widowControl w:val="0"/>
        <w:tabs>
          <w:tab w:val="left" w:pos="0"/>
        </w:tabs>
        <w:spacing w:after="0" w:line="240" w:lineRule="auto"/>
        <w:ind w:firstLine="709"/>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Независимые директора</w:t>
      </w:r>
    </w:p>
    <w:p w:rsidR="00D602D4" w:rsidRDefault="00D602D4">
      <w:pPr>
        <w:widowControl w:val="0"/>
        <w:spacing w:after="0" w:line="240" w:lineRule="auto"/>
        <w:ind w:firstLine="709"/>
        <w:jc w:val="both"/>
        <w:rPr>
          <w:rFonts w:ascii="Times New Roman" w:eastAsia="Times New Roman" w:hAnsi="Times New Roman" w:cs="Times New Roman"/>
          <w:sz w:val="24"/>
          <w:szCs w:val="24"/>
        </w:rPr>
      </w:pP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Акции Общества включены во Второй уровень Списка ценных бумаг, допущенных к торгам ПАО Московская Биржа (далее – Биржа).</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t xml:space="preserve">Согласно п. 2.19 Приложения № 2 к Правилам листинга Биржи </w:t>
      </w:r>
      <w:r>
        <w:rPr>
          <w:rFonts w:ascii="Times New Roman" w:hAnsi="Times New Roman" w:cs="Times New Roman"/>
          <w:sz w:val="24"/>
          <w:szCs w:val="24"/>
        </w:rPr>
        <w:t>в состав избранного эмитентом совета директоров (наблюдательного совета) должны входить в том числе лица, каждое из которых обладает достаточной самостоятельностью для формирования собственной позиции и способно выносить объективные суждения, независимые от влияния исполнительных органов эмитента, отдельных групп акционеров или иных заинтересованных лиц, а также обладает достаточной степенью профессионализма и опыта. Количество независимых директоров не может быть меньше двух.</w:t>
      </w:r>
    </w:p>
    <w:p w:rsidR="00D602D4" w:rsidRDefault="000B4C86">
      <w:pPr>
        <w:shd w:val="clear" w:color="auto" w:fill="FFFFFF"/>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Независимые директора играют важную роль в эффективной работе Совета директоров. Они обеспечивают независимое восприятие рассматриваемых вопросов, основанное на их знаниях, опыте и квалификации. Непредвзятые суждения и конструктивная критика со стороны независимых директоров на заседаниях Совета директоров способствуют дальнейшему развитию корпоративного управления в Обществе.</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t>Ежегодно</w:t>
      </w:r>
      <w:r>
        <w:rPr>
          <w:rFonts w:ascii="Times New Roman" w:hAnsi="Times New Roman" w:cs="Times New Roman"/>
          <w:sz w:val="24"/>
          <w:szCs w:val="24"/>
        </w:rPr>
        <w:t xml:space="preserve"> Комитетом</w:t>
      </w:r>
      <w:r>
        <w:rPr>
          <w:rFonts w:ascii="Times New Roman" w:hAnsi="Times New Roman" w:cs="Times New Roman"/>
          <w:bCs/>
          <w:sz w:val="24"/>
          <w:szCs w:val="24"/>
        </w:rPr>
        <w:t xml:space="preserve"> </w:t>
      </w:r>
      <w:r>
        <w:rPr>
          <w:rFonts w:ascii="Times New Roman" w:hAnsi="Times New Roman" w:cs="Times New Roman"/>
          <w:sz w:val="24"/>
          <w:szCs w:val="24"/>
        </w:rPr>
        <w:t>по кадрам и вознаграждениям Общества в соответствии с критериями</w:t>
      </w: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rPr>
        <w:t xml:space="preserve">определения независимости членов совета директоров, </w:t>
      </w:r>
      <w:r>
        <w:rPr>
          <w:rFonts w:ascii="Times New Roman" w:eastAsia="Times New Roman" w:hAnsi="Times New Roman" w:cs="Times New Roman"/>
          <w:sz w:val="24"/>
          <w:szCs w:val="24"/>
          <w:lang w:eastAsia="ru-RU"/>
        </w:rPr>
        <w:t xml:space="preserve">установленных Правилами листинга Биржи и рекомендациями Кодекса корпоративного управления Банка России, </w:t>
      </w:r>
      <w:r>
        <w:rPr>
          <w:rFonts w:ascii="Times New Roman" w:hAnsi="Times New Roman" w:cs="Times New Roman"/>
          <w:sz w:val="24"/>
          <w:szCs w:val="24"/>
        </w:rPr>
        <w:t xml:space="preserve">проводится предварительная оценка кандидатов в члены Совета директоров. </w:t>
      </w:r>
    </w:p>
    <w:p w:rsidR="00D602D4" w:rsidRDefault="00D602D4">
      <w:pPr>
        <w:widowControl w:val="0"/>
        <w:spacing w:after="0" w:line="240" w:lineRule="auto"/>
        <w:ind w:firstLine="709"/>
        <w:jc w:val="both"/>
        <w:rPr>
          <w:rFonts w:ascii="Times New Roman" w:eastAsia="Times New Roman" w:hAnsi="Times New Roman" w:cs="Times New Roman"/>
          <w:sz w:val="24"/>
          <w:szCs w:val="24"/>
          <w:lang w:eastAsia="ru-RU"/>
        </w:rPr>
      </w:pPr>
    </w:p>
    <w:p w:rsidR="00D602D4" w:rsidRDefault="000B4C86">
      <w:pPr>
        <w:widowControl w:val="0"/>
        <w:tabs>
          <w:tab w:val="left" w:pos="0"/>
        </w:tabs>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lang w:eastAsia="ru-RU"/>
        </w:rPr>
        <w:t>26</w:t>
      </w:r>
      <w:r>
        <w:rPr>
          <w:rFonts w:ascii="Times New Roman" w:eastAsia="Times New Roman" w:hAnsi="Times New Roman" w:cs="Times New Roman"/>
          <w:color w:val="000000"/>
          <w:sz w:val="24"/>
          <w:szCs w:val="24"/>
        </w:rPr>
        <w:t xml:space="preserve">.07.2024 </w:t>
      </w:r>
      <w:r>
        <w:rPr>
          <w:rFonts w:ascii="Times New Roman" w:eastAsia="Times New Roman" w:hAnsi="Times New Roman" w:cs="Times New Roman"/>
          <w:sz w:val="24"/>
          <w:szCs w:val="24"/>
          <w:lang w:eastAsia="ru-RU"/>
        </w:rPr>
        <w:t xml:space="preserve">Советом директоров Общества принято решение </w:t>
      </w:r>
      <w:r>
        <w:rPr>
          <w:rFonts w:ascii="Times New Roman" w:eastAsia="Times New Roman" w:hAnsi="Times New Roman" w:cs="Times New Roman"/>
          <w:color w:val="000000"/>
          <w:sz w:val="24"/>
          <w:szCs w:val="24"/>
        </w:rPr>
        <w:t xml:space="preserve">(протокол от 29.07.2024 № </w:t>
      </w:r>
      <w:r>
        <w:rPr>
          <w:rFonts w:ascii="Times New Roman" w:eastAsia="Times New Roman" w:hAnsi="Times New Roman" w:cs="Times New Roman"/>
          <w:color w:val="000000"/>
          <w:sz w:val="24"/>
          <w:szCs w:val="24"/>
        </w:rPr>
        <w:lastRenderedPageBreak/>
        <w:t xml:space="preserve">530/24) о признании Трубицына К.А. и </w:t>
      </w:r>
      <w:r>
        <w:rPr>
          <w:rFonts w:ascii="Times New Roman" w:eastAsia="Times New Roman" w:hAnsi="Times New Roman" w:cs="Times New Roman"/>
          <w:sz w:val="24"/>
          <w:szCs w:val="24"/>
          <w:lang w:eastAsia="ru-RU"/>
        </w:rPr>
        <w:t xml:space="preserve">Шашковой Н.В. независимыми директорами </w:t>
      </w:r>
      <w:r>
        <w:rPr>
          <w:rFonts w:ascii="Times New Roman" w:eastAsia="Times New Roman" w:hAnsi="Times New Roman" w:cs="Times New Roman"/>
          <w:color w:val="000000"/>
          <w:sz w:val="24"/>
          <w:szCs w:val="24"/>
        </w:rPr>
        <w:t>несмотря на наличие у них формальных признаков связанности</w:t>
      </w:r>
      <w:r>
        <w:rPr>
          <w:rFonts w:ascii="Times New Roman" w:eastAsia="Times New Roman" w:hAnsi="Times New Roman" w:cs="Times New Roman"/>
          <w:sz w:val="24"/>
          <w:szCs w:val="24"/>
          <w:lang w:eastAsia="ru-RU"/>
        </w:rPr>
        <w:t xml:space="preserve"> с существенным акционером Общества и существенным контрагентом Общества, </w:t>
      </w:r>
      <w:r>
        <w:rPr>
          <w:rFonts w:ascii="Times New Roman" w:hAnsi="Times New Roman" w:cs="Times New Roman"/>
          <w:sz w:val="24"/>
          <w:szCs w:val="24"/>
        </w:rPr>
        <w:t>у</w:t>
      </w:r>
      <w:r>
        <w:rPr>
          <w:rFonts w:ascii="Times New Roman" w:eastAsia="Times New Roman" w:hAnsi="Times New Roman" w:cs="Times New Roman"/>
          <w:sz w:val="24"/>
          <w:szCs w:val="24"/>
          <w:lang w:eastAsia="ru-RU"/>
        </w:rPr>
        <w:t xml:space="preserve"> Трубицына К.А. – дополнительной связанности с Обществом (</w:t>
      </w:r>
      <w:r>
        <w:rPr>
          <w:rFonts w:ascii="Times New Roman" w:hAnsi="Times New Roman" w:cs="Times New Roman"/>
          <w:sz w:val="24"/>
          <w:szCs w:val="24"/>
        </w:rPr>
        <w:t xml:space="preserve">срок работы в составе Совета директоров ПАО «Россети Сибирь» превысил 7 лет). </w:t>
      </w:r>
    </w:p>
    <w:p w:rsidR="00D602D4" w:rsidRDefault="00D602D4">
      <w:pPr>
        <w:widowControl w:val="0"/>
        <w:tabs>
          <w:tab w:val="left" w:pos="0"/>
        </w:tabs>
        <w:spacing w:after="0" w:line="240" w:lineRule="auto"/>
        <w:ind w:firstLine="709"/>
        <w:jc w:val="both"/>
        <w:rPr>
          <w:rFonts w:ascii="Times New Roman" w:eastAsia="Times New Roman" w:hAnsi="Times New Roman" w:cs="Times New Roman"/>
          <w:b/>
          <w:color w:val="000000"/>
          <w:sz w:val="24"/>
          <w:szCs w:val="24"/>
        </w:rPr>
      </w:pPr>
    </w:p>
    <w:p w:rsidR="00D602D4" w:rsidRDefault="000B4C86">
      <w:pPr>
        <w:tabs>
          <w:tab w:val="left" w:pos="0"/>
        </w:tabs>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Порядок введения в должность новых членов Совета директоров Общества</w:t>
      </w:r>
    </w:p>
    <w:p w:rsidR="00D602D4" w:rsidRDefault="00D602D4">
      <w:pPr>
        <w:tabs>
          <w:tab w:val="left" w:pos="0"/>
        </w:tabs>
        <w:spacing w:after="0" w:line="240" w:lineRule="auto"/>
        <w:ind w:firstLine="709"/>
        <w:jc w:val="both"/>
        <w:rPr>
          <w:rFonts w:ascii="Times New Roman" w:eastAsia="Times New Roman" w:hAnsi="Times New Roman" w:cs="Times New Roman"/>
          <w:color w:val="000000"/>
          <w:sz w:val="24"/>
          <w:szCs w:val="24"/>
        </w:rPr>
      </w:pPr>
    </w:p>
    <w:p w:rsidR="00D602D4" w:rsidRDefault="000B4C86">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С 2018 года в Обществе действует Программа вводного курса для вновь избранных членов Совета директоров Общества, одобренная Комитетом по кадрам и вознаграждениям Совета директоров Общества (протокол от 31.05.2018 № 93).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Основными задачами программы являются ознакомление впервые избранных членов Совета директоров Общества с информацией о деятельности Общества и его ключевых активах, учредительных и внутренних документах Общества, деловой практике, принятой в Обществе, структурой управления и ключевыми руководящими работниками Общества, а также ознакомление с процедурами работы Совета директоров Общества.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Действие программы распространяется на впервые избранных членов Совета директоров Общества. Члены Совета директоров Общества, избранные на новый срок, вправе принять участие во всех предусмотренных программой мероприятиях.</w:t>
      </w:r>
    </w:p>
    <w:p w:rsidR="00D602D4" w:rsidRDefault="00D602D4">
      <w:pPr>
        <w:tabs>
          <w:tab w:val="left" w:pos="0"/>
        </w:tabs>
        <w:spacing w:after="0" w:line="240" w:lineRule="auto"/>
        <w:ind w:firstLine="709"/>
        <w:jc w:val="center"/>
        <w:rPr>
          <w:rFonts w:ascii="Times New Roman" w:eastAsia="Times New Roman" w:hAnsi="Times New Roman" w:cs="Times New Roman"/>
          <w:b/>
          <w:color w:val="000000"/>
          <w:sz w:val="24"/>
          <w:szCs w:val="24"/>
        </w:rPr>
      </w:pPr>
    </w:p>
    <w:p w:rsidR="00D602D4" w:rsidRDefault="000B4C86">
      <w:pPr>
        <w:tabs>
          <w:tab w:val="left" w:pos="0"/>
        </w:tabs>
        <w:spacing w:after="0" w:line="240" w:lineRule="auto"/>
        <w:ind w:firstLine="709"/>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Биографии членов Совета директоров</w:t>
      </w:r>
    </w:p>
    <w:p w:rsidR="00D602D4" w:rsidRDefault="00D602D4">
      <w:pPr>
        <w:tabs>
          <w:tab w:val="left" w:pos="0"/>
        </w:tabs>
        <w:spacing w:after="0" w:line="240" w:lineRule="auto"/>
        <w:ind w:firstLine="709"/>
        <w:jc w:val="center"/>
        <w:rPr>
          <w:rFonts w:ascii="Times New Roman" w:eastAsia="Times New Roman" w:hAnsi="Times New Roman" w:cs="Times New Roman"/>
          <w:color w:val="000000"/>
          <w:sz w:val="24"/>
          <w:szCs w:val="24"/>
        </w:rPr>
      </w:pPr>
    </w:p>
    <w:p w:rsidR="00D602D4" w:rsidRDefault="000B4C86">
      <w:pPr>
        <w:tabs>
          <w:tab w:val="left" w:pos="0"/>
        </w:tabs>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Действующий по состоянию на 31.12.2024 состав Совета директоров Общества избран годовым Общим собранием акционеров 18.06.2024. Информация об участии в органах управления других организаций, опыт работы членов Совета директоров указаны по состоянию на 31.12.2024.</w:t>
      </w:r>
    </w:p>
    <w:p w:rsidR="00D602D4" w:rsidRDefault="00D602D4">
      <w:pPr>
        <w:tabs>
          <w:tab w:val="left" w:pos="0"/>
        </w:tabs>
        <w:spacing w:after="0" w:line="240" w:lineRule="auto"/>
        <w:ind w:firstLine="709"/>
        <w:jc w:val="both"/>
        <w:rPr>
          <w:rFonts w:ascii="Times New Roman" w:eastAsia="Times New Roman" w:hAnsi="Times New Roman" w:cs="Times New Roman"/>
          <w:color w:val="000000"/>
          <w:sz w:val="24"/>
          <w:szCs w:val="24"/>
        </w:rPr>
      </w:pPr>
    </w:p>
    <w:p w:rsidR="00D602D4" w:rsidRDefault="000B4C86">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highlight w:val="white"/>
        </w:rPr>
        <w:t>Тихонова Мария Геннадьевна</w:t>
      </w:r>
    </w:p>
    <w:p w:rsidR="00D602D4" w:rsidRDefault="000B4C86">
      <w:pPr>
        <w:tabs>
          <w:tab w:val="left" w:pos="0"/>
        </w:tabs>
        <w:spacing w:after="0" w:line="240" w:lineRule="auto"/>
        <w:ind w:firstLine="709"/>
        <w:jc w:val="right"/>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Таблица 67</w:t>
      </w:r>
    </w:p>
    <w:tbl>
      <w:tblPr>
        <w:tblW w:w="96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9"/>
        <w:gridCol w:w="1096"/>
        <w:gridCol w:w="2164"/>
        <w:gridCol w:w="1701"/>
        <w:gridCol w:w="3794"/>
      </w:tblGrid>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Общая информация о члене Совета директоров ПАО «Россети Сибирь», Председателе Совета директоров ПАО «Россети Сибирь»</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рождения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1980</w:t>
            </w:r>
          </w:p>
        </w:tc>
      </w:tr>
      <w:tr w:rsidR="00D602D4">
        <w:trPr>
          <w:trHeight w:val="435"/>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об образовании</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университет, квалификация)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2002 год, Волго-Вятская академия государственной службы по специальности: «Государственное и муниципальное управление», квалификация: менеджер.</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2005 год, Академия народного хозяйства при Правительстве Российской Федерации, профессиональная переподготовка по программе «Государственное управление экономическим развитием».</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Высшая школа экономики по программе «Мастер делового администрирования (МВА), специализация: финансы</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Основное место работы, должность </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ПАО «Россети», заместитель Генерального директора по корпоративному управлению</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Участие в органах управления и контроля</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 конец отчетного периода является членом Советов директоров (наблюдательных советов, попечительских советов) ПАО «Россети Томск», ПАО «Россети Урал», ПАО «Россети Волга», ПАО «Россети Северо-Запад», ПАО «Россети Юг», АО «Электромагистраль», АО «РЭС»</w:t>
            </w:r>
          </w:p>
        </w:tc>
      </w:tr>
      <w:tr w:rsidR="00D602D4">
        <w:trPr>
          <w:trHeight w:val="20"/>
        </w:trPr>
        <w:tc>
          <w:tcPr>
            <w:tcW w:w="198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Период</w:t>
            </w:r>
          </w:p>
        </w:tc>
        <w:tc>
          <w:tcPr>
            <w:tcW w:w="3865"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Наименование организации </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Должность</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по</w:t>
            </w:r>
          </w:p>
        </w:tc>
        <w:tc>
          <w:tcPr>
            <w:tcW w:w="3865" w:type="dxa"/>
            <w:gridSpan w:val="2"/>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r>
      <w:tr w:rsidR="00D602D4">
        <w:trPr>
          <w:trHeight w:val="562"/>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lastRenderedPageBreak/>
              <w:t>2013</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2020</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ПАО «ФСК ЕЭС»</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Заместитель Председателя Правления</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2020 </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2023</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lang w:eastAsia="ru-RU"/>
              </w:rPr>
              <w:t>Публичное акционерное общество «Российскиие сети»</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Заместитель Генерального директора по корпоративному управлению (по совместительству)</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2020</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наст.вр.</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lang w:eastAsia="ru-RU"/>
              </w:rPr>
              <w:t>Публичное акционерное общество «Федеральная сетевая компания - Россети»</w:t>
            </w:r>
            <w:r>
              <w:rPr>
                <w:rFonts w:ascii="Times New Roman" w:eastAsia="Times New Roman" w:hAnsi="Times New Roman" w:cs="Times New Roman"/>
                <w:color w:val="000000"/>
                <w:sz w:val="24"/>
                <w:szCs w:val="24"/>
                <w:highlight w:val="white"/>
                <w:lang w:eastAsia="ru-RU"/>
              </w:rPr>
              <w:t xml:space="preserve"> </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Заместитель Генерального директора по корпоративному управлению</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Информация о владении акциями ПАО «Россети Сибирь» </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Акциями ПАО «Россети Сибирь», а также акциями или долями его подконтрольных организаций не владеет</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Доля участия в уставном капитале ПАО «Россети Сибирь»</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Сделки по приобретению и/или отчуждению акций Общества не совершала</w:t>
            </w:r>
          </w:p>
        </w:tc>
      </w:tr>
    </w:tbl>
    <w:p w:rsidR="00D602D4" w:rsidRDefault="00D602D4">
      <w:pPr>
        <w:tabs>
          <w:tab w:val="left" w:pos="0"/>
        </w:tabs>
        <w:spacing w:after="0" w:line="240" w:lineRule="auto"/>
        <w:ind w:firstLine="709"/>
        <w:jc w:val="center"/>
        <w:rPr>
          <w:rFonts w:ascii="Times New Roman" w:eastAsia="Times New Roman" w:hAnsi="Times New Roman" w:cs="Times New Roman"/>
          <w:color w:val="000000"/>
          <w:sz w:val="24"/>
          <w:szCs w:val="24"/>
          <w:highlight w:val="white"/>
        </w:rPr>
      </w:pPr>
    </w:p>
    <w:p w:rsidR="00D602D4" w:rsidRDefault="000B4C86">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highlight w:val="white"/>
        </w:rPr>
        <w:t>Андреева Елена Викторовна</w:t>
      </w:r>
    </w:p>
    <w:p w:rsidR="00D602D4" w:rsidRDefault="000B4C86">
      <w:pPr>
        <w:tabs>
          <w:tab w:val="left" w:pos="0"/>
        </w:tabs>
        <w:spacing w:after="0" w:line="240" w:lineRule="auto"/>
        <w:ind w:firstLine="709"/>
        <w:jc w:val="right"/>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white"/>
        </w:rPr>
        <w:t>Таблица 68</w:t>
      </w:r>
    </w:p>
    <w:tbl>
      <w:tblPr>
        <w:tblW w:w="964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9"/>
        <w:gridCol w:w="1096"/>
        <w:gridCol w:w="2164"/>
        <w:gridCol w:w="1701"/>
        <w:gridCol w:w="3792"/>
      </w:tblGrid>
      <w:tr w:rsidR="00D602D4">
        <w:trPr>
          <w:trHeight w:val="20"/>
        </w:trPr>
        <w:tc>
          <w:tcPr>
            <w:tcW w:w="9642"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Общая информация о члене Совета директоров ПАО «Россети Сибирь»</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рождения</w:t>
            </w:r>
          </w:p>
        </w:tc>
        <w:tc>
          <w:tcPr>
            <w:tcW w:w="5493" w:type="dxa"/>
            <w:gridSpan w:val="2"/>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1974</w:t>
            </w:r>
          </w:p>
        </w:tc>
      </w:tr>
      <w:tr w:rsidR="00D602D4">
        <w:trPr>
          <w:trHeight w:val="435"/>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об образовании</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университет, квалификация)</w:t>
            </w:r>
          </w:p>
        </w:tc>
        <w:tc>
          <w:tcPr>
            <w:tcW w:w="5493"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1997 год, </w:t>
            </w:r>
            <w:r>
              <w:rPr>
                <w:rStyle w:val="Subst0"/>
                <w:rFonts w:ascii="Times New Roman" w:hAnsi="Times New Roman" w:cs="Times New Roman"/>
                <w:b w:val="0"/>
                <w:i w:val="0"/>
                <w:sz w:val="24"/>
                <w:szCs w:val="24"/>
                <w:highlight w:val="white"/>
              </w:rPr>
              <w:t>Ивановский государственный энергетический университет, специальность: «Экономика и управление на предприятиях энергетики», квалификация: экономист-менеджер.</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Основное место работы, должность </w:t>
            </w:r>
          </w:p>
        </w:tc>
        <w:tc>
          <w:tcPr>
            <w:tcW w:w="5493"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ПАО «Россети», заместитель Генерального директора по реализации услуг и транспорту электроэнергии</w:t>
            </w:r>
          </w:p>
        </w:tc>
      </w:tr>
      <w:tr w:rsidR="00D602D4">
        <w:trPr>
          <w:trHeight w:val="1378"/>
        </w:trPr>
        <w:tc>
          <w:tcPr>
            <w:tcW w:w="9642" w:type="dxa"/>
            <w:gridSpan w:val="5"/>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Участие в органах управления и контроля</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 конец отчетного периода является членом Советов директоров (наблюдательных советов, попечительских советов) ПАО «Россети Центр», ПАО «Россети Урал», ПАО «Россети Центр и Приволжье», ПАО «Россети Северный Кавказ», АО «Янтарьэнергосбыт», АО «Энергетик»</w:t>
            </w:r>
          </w:p>
        </w:tc>
      </w:tr>
      <w:tr w:rsidR="00D602D4">
        <w:trPr>
          <w:trHeight w:val="20"/>
        </w:trPr>
        <w:tc>
          <w:tcPr>
            <w:tcW w:w="198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Период</w:t>
            </w:r>
          </w:p>
        </w:tc>
        <w:tc>
          <w:tcPr>
            <w:tcW w:w="3865"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Наименование организации </w:t>
            </w:r>
          </w:p>
        </w:tc>
        <w:tc>
          <w:tcPr>
            <w:tcW w:w="3792"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Должность</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по</w:t>
            </w:r>
          </w:p>
        </w:tc>
        <w:tc>
          <w:tcPr>
            <w:tcW w:w="3865" w:type="dxa"/>
            <w:gridSpan w:val="2"/>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c>
          <w:tcPr>
            <w:tcW w:w="3792"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2008</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2022</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ОАО «Мосэнерго»</w:t>
            </w:r>
          </w:p>
        </w:tc>
        <w:tc>
          <w:tcPr>
            <w:tcW w:w="37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Заместитель генерального директора по сбыту</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2014</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2022</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ОАО «Газпром энергохолдинг» (по совместительству)</w:t>
            </w:r>
          </w:p>
        </w:tc>
        <w:tc>
          <w:tcPr>
            <w:tcW w:w="37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Заместитель генерального директора по региональному развитию</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2022</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наст.вр.</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ПАО «Россети» </w:t>
            </w:r>
          </w:p>
        </w:tc>
        <w:tc>
          <w:tcPr>
            <w:tcW w:w="37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Главный советник,</w:t>
            </w:r>
            <w:r>
              <w:rPr>
                <w:rFonts w:ascii="Times New Roman" w:eastAsia="Times New Roman" w:hAnsi="Times New Roman" w:cs="Times New Roman"/>
                <w:color w:val="000000"/>
                <w:sz w:val="24"/>
                <w:szCs w:val="24"/>
                <w:highlight w:val="white"/>
                <w:lang w:eastAsia="ru-RU"/>
              </w:rPr>
              <w:t xml:space="preserve"> Заместитель Генерального директора по реализации услуг и транспорту электроэнергии</w:t>
            </w:r>
            <w:r>
              <w:rPr>
                <w:rFonts w:ascii="Times New Roman" w:eastAsia="Times New Roman" w:hAnsi="Times New Roman" w:cs="Times New Roman"/>
                <w:color w:val="000000"/>
                <w:sz w:val="24"/>
                <w:szCs w:val="24"/>
                <w:highlight w:val="white"/>
              </w:rPr>
              <w:t xml:space="preserve"> </w:t>
            </w:r>
          </w:p>
        </w:tc>
      </w:tr>
      <w:tr w:rsidR="00D602D4">
        <w:trPr>
          <w:trHeight w:val="20"/>
        </w:trPr>
        <w:tc>
          <w:tcPr>
            <w:tcW w:w="9642"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Информация о владении акциями ПАО «Россети Сибирь» </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Акциями ПАО «Россети Сибирь», а также акциями или долями его подконтрольных организаций не владеет</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Доля участия в уставном капитале ПАО «Россети Сибирь»</w:t>
            </w:r>
          </w:p>
        </w:tc>
        <w:tc>
          <w:tcPr>
            <w:tcW w:w="37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Сведения о сделках по приобретению или отчуждению акций ПАО «Россети Сибирь» в течение </w:t>
            </w:r>
            <w:r>
              <w:rPr>
                <w:rFonts w:ascii="Times New Roman" w:eastAsia="Times New Roman" w:hAnsi="Times New Roman" w:cs="Times New Roman"/>
                <w:color w:val="000000"/>
                <w:sz w:val="24"/>
                <w:szCs w:val="24"/>
                <w:highlight w:val="white"/>
                <w:lang w:eastAsia="ru-RU"/>
              </w:rPr>
              <w:lastRenderedPageBreak/>
              <w:t>отчетного года</w:t>
            </w:r>
          </w:p>
        </w:tc>
        <w:tc>
          <w:tcPr>
            <w:tcW w:w="37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lastRenderedPageBreak/>
              <w:t xml:space="preserve">Сделки по приобретению и/или отчуждению акций Общества не </w:t>
            </w:r>
            <w:r>
              <w:rPr>
                <w:rFonts w:ascii="Times New Roman" w:eastAsia="Times New Roman" w:hAnsi="Times New Roman" w:cs="Times New Roman"/>
                <w:color w:val="000000"/>
                <w:sz w:val="24"/>
                <w:szCs w:val="24"/>
                <w:highlight w:val="white"/>
                <w:lang w:eastAsia="ru-RU"/>
              </w:rPr>
              <w:lastRenderedPageBreak/>
              <w:t>совершала</w:t>
            </w:r>
          </w:p>
        </w:tc>
      </w:tr>
    </w:tbl>
    <w:p w:rsidR="00D602D4" w:rsidRDefault="00D602D4">
      <w:pPr>
        <w:tabs>
          <w:tab w:val="left" w:pos="0"/>
        </w:tabs>
        <w:spacing w:after="0" w:line="240" w:lineRule="auto"/>
        <w:ind w:firstLine="709"/>
        <w:jc w:val="center"/>
        <w:rPr>
          <w:rFonts w:ascii="Times New Roman" w:eastAsia="Times New Roman" w:hAnsi="Times New Roman" w:cs="Times New Roman"/>
          <w:color w:val="000000"/>
          <w:sz w:val="24"/>
          <w:szCs w:val="24"/>
          <w:highlight w:val="white"/>
        </w:rPr>
      </w:pPr>
    </w:p>
    <w:p w:rsidR="00D602D4" w:rsidRDefault="00D602D4">
      <w:pPr>
        <w:tabs>
          <w:tab w:val="left" w:pos="0"/>
        </w:tabs>
        <w:spacing w:after="0" w:line="240" w:lineRule="auto"/>
        <w:ind w:firstLine="709"/>
        <w:jc w:val="both"/>
        <w:rPr>
          <w:rFonts w:ascii="Times New Roman" w:eastAsia="Times New Roman" w:hAnsi="Times New Roman" w:cs="Times New Roman"/>
          <w:b/>
          <w:bCs/>
          <w:color w:val="000000"/>
          <w:sz w:val="24"/>
          <w:szCs w:val="24"/>
          <w:highlight w:val="white"/>
        </w:rPr>
      </w:pPr>
    </w:p>
    <w:p w:rsidR="00D602D4" w:rsidRDefault="000B4C86">
      <w:pPr>
        <w:tabs>
          <w:tab w:val="left" w:pos="0"/>
        </w:tabs>
        <w:spacing w:after="0" w:line="240" w:lineRule="auto"/>
        <w:ind w:firstLine="709"/>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color w:val="000000"/>
          <w:sz w:val="24"/>
          <w:szCs w:val="24"/>
        </w:rPr>
        <w:t>Бахарев Дмитрий Владимирович</w:t>
      </w:r>
    </w:p>
    <w:p w:rsidR="00D602D4" w:rsidRDefault="000B4C86">
      <w:pPr>
        <w:tabs>
          <w:tab w:val="left" w:pos="0"/>
        </w:tabs>
        <w:spacing w:after="0" w:line="240" w:lineRule="auto"/>
        <w:ind w:firstLine="709"/>
        <w:jc w:val="right"/>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Таблица 69</w:t>
      </w:r>
    </w:p>
    <w:tbl>
      <w:tblPr>
        <w:tblW w:w="96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9"/>
        <w:gridCol w:w="992"/>
        <w:gridCol w:w="2268"/>
        <w:gridCol w:w="1701"/>
        <w:gridCol w:w="3794"/>
      </w:tblGrid>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Общая информация о члене Совета директоров ПАО «Россети Сибирь»</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рождения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1979</w:t>
            </w:r>
          </w:p>
        </w:tc>
      </w:tr>
      <w:tr w:rsidR="00D602D4">
        <w:trPr>
          <w:trHeight w:val="561"/>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об образовании</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университет, квалификация)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highlight w:val="white"/>
                <w:lang w:eastAsia="ru-RU"/>
              </w:rPr>
              <w:t>2003 год, Московский энергетический институт (Технический университет) инженер-экономист, специальность «Экономика и управление на предприятии».</w:t>
            </w:r>
          </w:p>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highlight w:val="white"/>
                <w:lang w:eastAsia="ru-RU"/>
              </w:rPr>
              <w:t>2006 год, НОУ «Московская международная высшая школа бизнеса «МИРБИС» (Институт), Мастер делового администрирования (MBA), программа «Стратегический менеджмент и предпринимательство»</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Основное место работы, должность </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lang w:eastAsia="ru-RU"/>
              </w:rPr>
              <w:t xml:space="preserve">ПАО «Россети», первый заместитель начальника Департамента тарифной политики </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Участие в органах управления и контроля</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 конец отчетного периода является членом Советов директоров (наблюдательных советов, попечительских советов) ПАО «Россети Северо-Запад», ПАО «Россети Кубань», АО «Энергетик»</w:t>
            </w:r>
          </w:p>
        </w:tc>
      </w:tr>
      <w:tr w:rsidR="00D602D4">
        <w:trPr>
          <w:trHeight w:val="20"/>
        </w:trPr>
        <w:tc>
          <w:tcPr>
            <w:tcW w:w="1881"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Период</w:t>
            </w:r>
          </w:p>
        </w:tc>
        <w:tc>
          <w:tcPr>
            <w:tcW w:w="3969"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Наименование организации </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Должность</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по</w:t>
            </w:r>
          </w:p>
        </w:tc>
        <w:tc>
          <w:tcPr>
            <w:tcW w:w="3969" w:type="dxa"/>
            <w:gridSpan w:val="2"/>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highlight w:val="white"/>
                <w:lang w:eastAsia="ru-RU"/>
              </w:rPr>
              <w:t>2018</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highlight w:val="white"/>
                <w:lang w:eastAsia="ru-RU"/>
              </w:rPr>
              <w:t>2022</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highlight w:val="white"/>
                <w:lang w:eastAsia="ru-RU"/>
              </w:rPr>
            </w:pPr>
            <w:r>
              <w:rPr>
                <w:rFonts w:ascii="Times New Roman" w:eastAsia="Times New Roman" w:hAnsi="Times New Roman" w:cs="Times New Roman"/>
                <w:color w:val="000000"/>
                <w:sz w:val="24"/>
                <w:szCs w:val="24"/>
                <w:highlight w:val="white"/>
                <w:lang w:eastAsia="ru-RU"/>
              </w:rPr>
              <w:t>АО «Объединенная энергетическая компания», г. Москва</w:t>
            </w:r>
          </w:p>
          <w:p w:rsidR="00D602D4" w:rsidRDefault="00D602D4">
            <w:pPr>
              <w:spacing w:after="0" w:line="240" w:lineRule="auto"/>
              <w:jc w:val="both"/>
              <w:rPr>
                <w:rFonts w:ascii="Times New Roman" w:eastAsia="Times New Roman" w:hAnsi="Times New Roman" w:cs="Times New Roman"/>
                <w:color w:val="000000"/>
                <w:sz w:val="24"/>
                <w:szCs w:val="24"/>
                <w:highlight w:val="white"/>
                <w:lang w:eastAsia="ru-RU"/>
              </w:rPr>
            </w:pP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highlight w:val="white"/>
                <w:lang w:eastAsia="ru-RU"/>
              </w:rPr>
            </w:pPr>
            <w:r>
              <w:rPr>
                <w:rFonts w:ascii="Times New Roman" w:eastAsia="Times New Roman" w:hAnsi="Times New Roman" w:cs="Times New Roman"/>
                <w:color w:val="000000"/>
                <w:sz w:val="24"/>
                <w:szCs w:val="24"/>
                <w:highlight w:val="white"/>
                <w:lang w:eastAsia="ru-RU"/>
              </w:rPr>
              <w:t>Заместитель директора по тарифному регулированию</w:t>
            </w:r>
          </w:p>
          <w:p w:rsidR="00D602D4" w:rsidRDefault="00D602D4">
            <w:pPr>
              <w:spacing w:after="0" w:line="240" w:lineRule="auto"/>
              <w:jc w:val="both"/>
              <w:rPr>
                <w:rFonts w:ascii="Times New Roman" w:eastAsia="Times New Roman" w:hAnsi="Times New Roman" w:cs="Times New Roman"/>
                <w:color w:val="000000"/>
                <w:sz w:val="24"/>
                <w:szCs w:val="24"/>
                <w:highlight w:val="white"/>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highlight w:val="white"/>
                <w:lang w:eastAsia="ru-RU"/>
              </w:rPr>
              <w:t>2022</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highlight w:val="white"/>
                <w:lang w:eastAsia="ru-RU"/>
              </w:rPr>
              <w:t>наст.вр</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highlight w:val="white"/>
                <w:lang w:eastAsia="ru-RU"/>
              </w:rPr>
            </w:pPr>
            <w:r>
              <w:rPr>
                <w:rFonts w:ascii="Times New Roman" w:eastAsia="Times New Roman" w:hAnsi="Times New Roman" w:cs="Times New Roman"/>
                <w:color w:val="000000"/>
                <w:sz w:val="24"/>
                <w:szCs w:val="24"/>
                <w:highlight w:val="white"/>
                <w:lang w:eastAsia="ru-RU"/>
              </w:rPr>
              <w:t>ООО «Россети Капитал»</w:t>
            </w:r>
          </w:p>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highlight w:val="white"/>
                <w:lang w:eastAsia="ru-RU"/>
              </w:rPr>
              <w:t>(по совместительству)</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highlight w:val="white"/>
                <w:lang w:eastAsia="ru-RU"/>
              </w:rPr>
            </w:pPr>
            <w:r>
              <w:rPr>
                <w:rFonts w:ascii="Times New Roman" w:eastAsia="Times New Roman" w:hAnsi="Times New Roman" w:cs="Times New Roman"/>
                <w:color w:val="000000"/>
                <w:sz w:val="24"/>
                <w:szCs w:val="24"/>
                <w:highlight w:val="white"/>
                <w:lang w:eastAsia="ru-RU"/>
              </w:rPr>
              <w:t>Заместитель генерального директора по экономике</w:t>
            </w:r>
          </w:p>
          <w:p w:rsidR="00D602D4" w:rsidRDefault="00D602D4">
            <w:pPr>
              <w:spacing w:after="0" w:line="240" w:lineRule="auto"/>
              <w:jc w:val="both"/>
              <w:rPr>
                <w:rFonts w:ascii="Times New Roman" w:eastAsia="Times New Roman" w:hAnsi="Times New Roman" w:cs="Times New Roman"/>
                <w:color w:val="000000"/>
                <w:sz w:val="24"/>
                <w:szCs w:val="24"/>
                <w:highlight w:val="white"/>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highlight w:val="white"/>
                <w:lang w:val="en-US" w:eastAsia="ru-RU"/>
              </w:rPr>
              <w:t>2022</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highlight w:val="white"/>
                <w:lang w:eastAsia="ru-RU"/>
              </w:rPr>
              <w:t>наст.вр</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highlight w:val="white"/>
                <w:lang w:eastAsia="ru-RU"/>
              </w:rPr>
            </w:pPr>
            <w:r>
              <w:rPr>
                <w:rFonts w:ascii="Times New Roman" w:eastAsia="Times New Roman" w:hAnsi="Times New Roman" w:cs="Times New Roman"/>
                <w:color w:val="000000"/>
                <w:sz w:val="24"/>
                <w:szCs w:val="24"/>
                <w:highlight w:val="white"/>
                <w:lang w:eastAsia="ru-RU"/>
              </w:rPr>
              <w:t>ПАО «Россети»</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highlight w:val="white"/>
                <w:lang w:eastAsia="ru-RU"/>
              </w:rPr>
            </w:pPr>
            <w:r>
              <w:rPr>
                <w:rFonts w:ascii="Times New Roman" w:eastAsia="Times New Roman" w:hAnsi="Times New Roman" w:cs="Times New Roman"/>
                <w:color w:val="000000"/>
                <w:sz w:val="24"/>
                <w:szCs w:val="24"/>
                <w:highlight w:val="white"/>
                <w:lang w:eastAsia="ru-RU"/>
              </w:rPr>
              <w:t>Первый заместитель начальника Департамента тарифной политики</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Информация о владении акциями ПАО «Россети Сибирь» </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Акциями ПАО «Россети Сибирь», а также акциями или долями его подконтрольных организаций не владеет.</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Доля участия в уставном капитале ПАО «Россети Сибирь»</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Сделки по приобретению и/или отчуждению акций Общества не совершал</w:t>
            </w:r>
          </w:p>
        </w:tc>
      </w:tr>
    </w:tbl>
    <w:p w:rsidR="00D602D4" w:rsidRDefault="00D602D4">
      <w:pPr>
        <w:tabs>
          <w:tab w:val="left" w:pos="0"/>
        </w:tabs>
        <w:spacing w:after="0" w:line="240" w:lineRule="auto"/>
        <w:ind w:firstLine="709"/>
        <w:jc w:val="center"/>
        <w:rPr>
          <w:rFonts w:ascii="Times New Roman" w:eastAsia="Times New Roman" w:hAnsi="Times New Roman" w:cs="Times New Roman"/>
          <w:color w:val="000000"/>
          <w:sz w:val="24"/>
          <w:szCs w:val="24"/>
          <w:highlight w:val="white"/>
        </w:rPr>
      </w:pPr>
    </w:p>
    <w:p w:rsidR="00D602D4" w:rsidRDefault="000B4C86">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highlight w:val="white"/>
        </w:rPr>
        <w:t>Данилов Антон Евгеньевич</w:t>
      </w:r>
    </w:p>
    <w:p w:rsidR="00D602D4" w:rsidRDefault="000B4C86">
      <w:pPr>
        <w:tabs>
          <w:tab w:val="left" w:pos="0"/>
        </w:tabs>
        <w:spacing w:after="0" w:line="240" w:lineRule="auto"/>
        <w:ind w:firstLine="709"/>
        <w:jc w:val="right"/>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Таблица</w:t>
      </w:r>
      <w:r>
        <w:rPr>
          <w:rFonts w:ascii="Times New Roman" w:eastAsia="Times New Roman" w:hAnsi="Times New Roman" w:cs="Times New Roman"/>
          <w:color w:val="000000"/>
          <w:sz w:val="24"/>
          <w:szCs w:val="24"/>
        </w:rPr>
        <w:t xml:space="preserve"> 70</w:t>
      </w:r>
    </w:p>
    <w:tbl>
      <w:tblPr>
        <w:tblW w:w="96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9"/>
        <w:gridCol w:w="1096"/>
        <w:gridCol w:w="2164"/>
        <w:gridCol w:w="1701"/>
        <w:gridCol w:w="3794"/>
      </w:tblGrid>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Общая информация о члене Совета директоров ПАО «Россети Сибирь»</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рождения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1982</w:t>
            </w:r>
          </w:p>
        </w:tc>
      </w:tr>
      <w:tr w:rsidR="00D602D4">
        <w:trPr>
          <w:trHeight w:val="561"/>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об образовании</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университет, квалификация)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tabs>
                <w:tab w:val="left" w:pos="0"/>
              </w:tabs>
              <w:spacing w:after="0" w:line="240" w:lineRule="auto"/>
              <w:jc w:val="both"/>
              <w:rPr>
                <w:rFonts w:ascii="Times New Roman" w:hAnsi="Times New Roman" w:cs="Times New Roman"/>
                <w:bCs/>
                <w:iCs/>
                <w:sz w:val="24"/>
                <w:szCs w:val="24"/>
                <w:highlight w:val="white"/>
              </w:rPr>
            </w:pPr>
            <w:r>
              <w:rPr>
                <w:rFonts w:ascii="Times New Roman" w:eastAsia="Times New Roman" w:hAnsi="Times New Roman" w:cs="Times New Roman"/>
                <w:color w:val="000000"/>
                <w:sz w:val="24"/>
                <w:szCs w:val="24"/>
                <w:highlight w:val="white"/>
                <w:lang w:eastAsia="ru-RU"/>
              </w:rPr>
              <w:t xml:space="preserve">2004 год, </w:t>
            </w:r>
            <w:r>
              <w:rPr>
                <w:rStyle w:val="Subst0"/>
                <w:rFonts w:ascii="Times New Roman" w:hAnsi="Times New Roman" w:cs="Times New Roman"/>
                <w:b w:val="0"/>
                <w:i w:val="0"/>
                <w:sz w:val="24"/>
                <w:szCs w:val="24"/>
                <w:highlight w:val="white"/>
              </w:rPr>
              <w:t>Кузбасский государственный технический университет, специальность: «Электропривод и автоматика промышленных установок и технологических комплексов».</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Основное место работы, должность </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ООО «Сибирская генерирующая компания», директор по развитию энергорынков и энерготрейдинга </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lastRenderedPageBreak/>
              <w:t>Участие в органах управления и контроля</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 конец отчетного периода является членом советов директоров (наблюдательных советов, попечительских советов) АО «Россети Сибирь Тываэнерго», ООО «ГлавЭнергоСбыт», Ассоциация «Совет производителей электроэнергии и стратегических инвесторов электроэнергетики»</w:t>
            </w:r>
          </w:p>
        </w:tc>
      </w:tr>
      <w:tr w:rsidR="00D602D4">
        <w:trPr>
          <w:trHeight w:val="20"/>
        </w:trPr>
        <w:tc>
          <w:tcPr>
            <w:tcW w:w="198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Период</w:t>
            </w:r>
          </w:p>
        </w:tc>
        <w:tc>
          <w:tcPr>
            <w:tcW w:w="3865"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Наименование организации </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Должность</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по</w:t>
            </w:r>
          </w:p>
        </w:tc>
        <w:tc>
          <w:tcPr>
            <w:tcW w:w="3865" w:type="dxa"/>
            <w:gridSpan w:val="2"/>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2015</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2022</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«Сибирская генерирующая компания»</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Директор по работе на энергорынках Кузбасский филиал</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2020</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2021</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«ГлавЭнергоСбыт»</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Генеральный директор</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val="en-US" w:eastAsia="ru-RU"/>
              </w:rPr>
              <w:t>2022</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2023</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«Сибирская генерирующая компания»</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Директор по энерготрейдингу Кузбасский филиал</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val="en-US" w:eastAsia="ru-RU"/>
              </w:rPr>
              <w:t>2023</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наст.вр.</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«Сибирская генерирующая компания»</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Директор по развитию энергорынков и энерготрейдинга</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Информация о владении акциями ПАО «Россети Сибирь» </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Акциями ПАО «Россети Сибирь», а также акциями или долями его подконтрольных организаций не владеет</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Доля участия в уставном капитале ПАО «Россети Сибирь»</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Сделки по приобретению и/или отчуждению акций Общества не совершал</w:t>
            </w:r>
          </w:p>
        </w:tc>
      </w:tr>
    </w:tbl>
    <w:p w:rsidR="00D602D4" w:rsidRDefault="00D602D4">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p>
    <w:p w:rsidR="00D602D4" w:rsidRDefault="000B4C86">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highlight w:val="white"/>
        </w:rPr>
        <w:t>Клинков Олег Юрьевич</w:t>
      </w:r>
    </w:p>
    <w:p w:rsidR="00D602D4" w:rsidRDefault="000B4C86">
      <w:pPr>
        <w:tabs>
          <w:tab w:val="left" w:pos="0"/>
        </w:tabs>
        <w:spacing w:after="0" w:line="240" w:lineRule="auto"/>
        <w:ind w:firstLine="709"/>
        <w:jc w:val="right"/>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white"/>
        </w:rPr>
        <w:t>Таблица 71</w:t>
      </w:r>
    </w:p>
    <w:tbl>
      <w:tblPr>
        <w:tblW w:w="96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9"/>
        <w:gridCol w:w="1096"/>
        <w:gridCol w:w="2164"/>
        <w:gridCol w:w="1701"/>
        <w:gridCol w:w="3794"/>
      </w:tblGrid>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Общая информация о члене Совета директоров ПАО «Россети Сибирь»</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рождения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1972</w:t>
            </w:r>
          </w:p>
        </w:tc>
      </w:tr>
      <w:tr w:rsidR="00D602D4">
        <w:trPr>
          <w:trHeight w:val="435"/>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об образовании</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университет, квалификация)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1994 год, </w:t>
            </w:r>
            <w:r>
              <w:rPr>
                <w:rStyle w:val="Subst0"/>
                <w:rFonts w:ascii="Times New Roman" w:hAnsi="Times New Roman" w:cs="Times New Roman"/>
                <w:b w:val="0"/>
                <w:i w:val="0"/>
                <w:sz w:val="24"/>
                <w:szCs w:val="24"/>
                <w:highlight w:val="white"/>
              </w:rPr>
              <w:t>военная инженерно-космическая академия имени А.Ф. Можайского, специальность: «Системы автоматического управления летательных аппаратов»</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Основное место работы, должность </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ПАО «Россети», директор по взаимодействию с потребителями – начальник Департамента технологического развития</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Участие в органах управления и контроля</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 конец отчетного периода является членом советов директоров (наблюдательных советов, попечительских советов) ПАО «Россети Юг», ПАО «Россети Урал»</w:t>
            </w:r>
          </w:p>
        </w:tc>
      </w:tr>
      <w:tr w:rsidR="00D602D4">
        <w:trPr>
          <w:trHeight w:val="20"/>
        </w:trPr>
        <w:tc>
          <w:tcPr>
            <w:tcW w:w="198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Период</w:t>
            </w:r>
          </w:p>
        </w:tc>
        <w:tc>
          <w:tcPr>
            <w:tcW w:w="3865"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Наименование организации </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Должность</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по</w:t>
            </w:r>
          </w:p>
        </w:tc>
        <w:tc>
          <w:tcPr>
            <w:tcW w:w="3865" w:type="dxa"/>
            <w:gridSpan w:val="2"/>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2015</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2022</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ПАО «ФСК ЕЭС»</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Начальник Департамента технологического развития</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2020</w:t>
            </w:r>
          </w:p>
        </w:tc>
        <w:tc>
          <w:tcPr>
            <w:tcW w:w="109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наст. вр</w:t>
            </w:r>
          </w:p>
        </w:tc>
        <w:tc>
          <w:tcPr>
            <w:tcW w:w="386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ПАО «Россети» </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Директор по взаимодействию с потребителями – начальник Департамента технологического развития</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Информация о владении акциями ПАО «Россети Сибирь» </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Акциями ПАО «Россети Сибирь», а также акциями или долями его подконтрольных организаций не владеет</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Доля участия в уставном капитале ПАО «Россети Сибирь»</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Сведения о сделках по приобретению или отчуждению акций ПАО «Россети Сибирь» в течение </w:t>
            </w:r>
            <w:r>
              <w:rPr>
                <w:rFonts w:ascii="Times New Roman" w:eastAsia="Times New Roman" w:hAnsi="Times New Roman" w:cs="Times New Roman"/>
                <w:color w:val="000000"/>
                <w:sz w:val="24"/>
                <w:szCs w:val="24"/>
                <w:highlight w:val="white"/>
                <w:lang w:eastAsia="ru-RU"/>
              </w:rPr>
              <w:lastRenderedPageBreak/>
              <w:t>отчетного года</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lastRenderedPageBreak/>
              <w:t xml:space="preserve">Сделки по приобретению и/или отчуждению акций Общества не </w:t>
            </w:r>
            <w:r>
              <w:rPr>
                <w:rFonts w:ascii="Times New Roman" w:eastAsia="Times New Roman" w:hAnsi="Times New Roman" w:cs="Times New Roman"/>
                <w:color w:val="000000"/>
                <w:sz w:val="24"/>
                <w:szCs w:val="24"/>
                <w:highlight w:val="white"/>
                <w:lang w:eastAsia="ru-RU"/>
              </w:rPr>
              <w:lastRenderedPageBreak/>
              <w:t>совершал</w:t>
            </w:r>
          </w:p>
        </w:tc>
      </w:tr>
    </w:tbl>
    <w:p w:rsidR="00D602D4" w:rsidRDefault="00D602D4">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p>
    <w:p w:rsidR="00D602D4" w:rsidRDefault="00D602D4">
      <w:pPr>
        <w:tabs>
          <w:tab w:val="left" w:pos="0"/>
        </w:tabs>
        <w:spacing w:after="0" w:line="240" w:lineRule="auto"/>
        <w:ind w:firstLine="709"/>
        <w:jc w:val="both"/>
        <w:rPr>
          <w:rFonts w:ascii="Times New Roman" w:eastAsia="Times New Roman" w:hAnsi="Times New Roman" w:cs="Times New Roman"/>
          <w:b/>
          <w:bCs/>
          <w:color w:val="000000"/>
          <w:sz w:val="24"/>
          <w:szCs w:val="24"/>
          <w:highlight w:val="white"/>
        </w:rPr>
      </w:pPr>
    </w:p>
    <w:p w:rsidR="00D602D4" w:rsidRDefault="000B4C86">
      <w:pPr>
        <w:tabs>
          <w:tab w:val="left" w:pos="0"/>
        </w:tabs>
        <w:spacing w:after="0" w:line="240" w:lineRule="auto"/>
        <w:ind w:firstLine="709"/>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color w:val="000000"/>
          <w:sz w:val="24"/>
          <w:szCs w:val="24"/>
        </w:rPr>
        <w:t>Козлов Иван Евгеньевич</w:t>
      </w:r>
    </w:p>
    <w:p w:rsidR="00D602D4" w:rsidRDefault="000B4C86">
      <w:pPr>
        <w:tabs>
          <w:tab w:val="left" w:pos="0"/>
        </w:tabs>
        <w:spacing w:after="0" w:line="240" w:lineRule="auto"/>
        <w:ind w:firstLine="709"/>
        <w:jc w:val="right"/>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white"/>
        </w:rPr>
        <w:t>Таблица 72</w:t>
      </w:r>
    </w:p>
    <w:tbl>
      <w:tblPr>
        <w:tblW w:w="96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9"/>
        <w:gridCol w:w="992"/>
        <w:gridCol w:w="2268"/>
        <w:gridCol w:w="1701"/>
        <w:gridCol w:w="3794"/>
      </w:tblGrid>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Общая информация о члене Совета директоров ПАО «Россети Сибирь»</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рождения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1982</w:t>
            </w:r>
          </w:p>
        </w:tc>
      </w:tr>
      <w:tr w:rsidR="00D602D4">
        <w:trPr>
          <w:trHeight w:val="435"/>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об образовании</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университет, квалификация)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hAnsi="Times New Roman" w:cs="Times New Roman"/>
                <w:sz w:val="24"/>
                <w:szCs w:val="24"/>
                <w:highlight w:val="white"/>
              </w:rPr>
            </w:pPr>
            <w:r>
              <w:rPr>
                <w:rStyle w:val="Subst0"/>
                <w:rFonts w:ascii="Times New Roman" w:hAnsi="Times New Roman" w:cs="Times New Roman"/>
                <w:b w:val="0"/>
                <w:bCs w:val="0"/>
                <w:i w:val="0"/>
                <w:iCs w:val="0"/>
                <w:sz w:val="24"/>
                <w:szCs w:val="24"/>
                <w:highlight w:val="white"/>
                <w:lang w:eastAsia="ru-RU"/>
              </w:rPr>
              <w:t xml:space="preserve">2025 год, </w:t>
            </w:r>
            <w:r>
              <w:rPr>
                <w:rStyle w:val="Subst0"/>
                <w:rFonts w:ascii="Times New Roman" w:hAnsi="Times New Roman" w:cs="Times New Roman"/>
                <w:b w:val="0"/>
                <w:bCs w:val="0"/>
                <w:i w:val="0"/>
                <w:iCs w:val="0"/>
                <w:sz w:val="24"/>
                <w:szCs w:val="24"/>
                <w:highlight w:val="white"/>
              </w:rPr>
              <w:t xml:space="preserve">Сибирский Государственный Индустриальный Университет, инженер-электрик, финансы и кредит. </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Основное место работы, должность </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line="240" w:lineRule="auto"/>
            </w:pPr>
            <w:r>
              <w:rPr>
                <w:rFonts w:ascii="Times New Roman" w:eastAsia="Times New Roman" w:hAnsi="Times New Roman" w:cs="Times New Roman"/>
                <w:color w:val="000000"/>
                <w:sz w:val="24"/>
                <w:szCs w:val="24"/>
                <w:highlight w:val="white"/>
              </w:rPr>
              <w:t>ООО «Сибирская генерирующая компания»</w:t>
            </w:r>
            <w:r>
              <w:t xml:space="preserve">, </w:t>
            </w:r>
            <w:r>
              <w:rPr>
                <w:rFonts w:ascii="Times New Roman" w:eastAsia="Times New Roman" w:hAnsi="Times New Roman" w:cs="Times New Roman"/>
                <w:color w:val="000000"/>
                <w:sz w:val="24"/>
                <w:szCs w:val="24"/>
                <w:highlight w:val="white"/>
              </w:rPr>
              <w:t>Директор по закупкам</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Участие в органах управления и контроля</w:t>
            </w:r>
          </w:p>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highlight w:val="white"/>
                <w:lang w:eastAsia="ru-RU"/>
              </w:rPr>
              <w:t>На конец отчетного периода является членом советов директоров (наблюдательных советов, попечительских советов) АО «Кемеровская генерация», Акционерное общество «Енисейская территориальная генерирующая компания (ТГК-13)»</w:t>
            </w:r>
          </w:p>
        </w:tc>
      </w:tr>
      <w:tr w:rsidR="00D602D4">
        <w:trPr>
          <w:trHeight w:val="20"/>
        </w:trPr>
        <w:tc>
          <w:tcPr>
            <w:tcW w:w="1881"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Период</w:t>
            </w:r>
          </w:p>
        </w:tc>
        <w:tc>
          <w:tcPr>
            <w:tcW w:w="3969"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Наименование организации </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Должность</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по</w:t>
            </w:r>
          </w:p>
        </w:tc>
        <w:tc>
          <w:tcPr>
            <w:tcW w:w="3969" w:type="dxa"/>
            <w:gridSpan w:val="2"/>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lang w:eastAsia="ru-RU"/>
              </w:rPr>
              <w:t>2021</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rPr>
              <w:t>2023</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ООО «БАМовская ТЭС-1» </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Генеральный директор</w:t>
            </w:r>
          </w:p>
        </w:tc>
      </w:tr>
      <w:tr w:rsidR="00D602D4">
        <w:trPr>
          <w:trHeight w:val="276"/>
        </w:trPr>
        <w:tc>
          <w:tcPr>
            <w:tcW w:w="88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lang w:eastAsia="ru-RU"/>
              </w:rPr>
              <w:t>2014</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lang w:eastAsia="ru-RU"/>
              </w:rPr>
              <w:t>наст.вр</w:t>
            </w:r>
          </w:p>
        </w:tc>
        <w:tc>
          <w:tcPr>
            <w:tcW w:w="3969"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«Сибирская генерирующая компания»</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Начальник управления сопровождения рынков электроэнергии и мощности, Начальник управления – заместитель директора по рынкам электроэнергии и мощности, Директор по рынкам электроэнергии и мощности, Директор по развитию новых рынков, Директор по коммерции и развитию рынков, Директор по закупкам</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Информация о владении акциями ПАО «Россети Сибирь» </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Акциями ПАО «Россети Сибирь», а также акциями или долями его подконтрольных организаций не владеет</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Доля участия в уставном капитале ПАО «Россети Сибирь»</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Сделки по приобретению и/или отчуждению акций Общества не совершал</w:t>
            </w:r>
          </w:p>
        </w:tc>
      </w:tr>
    </w:tbl>
    <w:p w:rsidR="00D602D4" w:rsidRDefault="00D602D4">
      <w:pPr>
        <w:tabs>
          <w:tab w:val="left" w:pos="0"/>
        </w:tabs>
        <w:spacing w:after="0" w:line="240" w:lineRule="auto"/>
        <w:ind w:firstLine="709"/>
        <w:jc w:val="center"/>
        <w:rPr>
          <w:rFonts w:ascii="Times New Roman" w:eastAsia="Times New Roman" w:hAnsi="Times New Roman" w:cs="Times New Roman"/>
          <w:color w:val="000000"/>
          <w:sz w:val="24"/>
          <w:szCs w:val="24"/>
          <w:highlight w:val="white"/>
        </w:rPr>
      </w:pPr>
    </w:p>
    <w:p w:rsidR="00D602D4" w:rsidRDefault="000B4C86">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rPr>
        <w:t>Трубицын Кирилл Андреевич</w:t>
      </w:r>
    </w:p>
    <w:p w:rsidR="00D602D4" w:rsidRDefault="000B4C86">
      <w:pPr>
        <w:tabs>
          <w:tab w:val="left" w:pos="0"/>
        </w:tabs>
        <w:spacing w:after="0" w:line="240" w:lineRule="auto"/>
        <w:ind w:firstLine="709"/>
        <w:jc w:val="right"/>
        <w:rPr>
          <w:rFonts w:ascii="Times New Roman" w:eastAsia="Times New Roman" w:hAnsi="Times New Roman" w:cs="Times New Roman"/>
          <w:color w:val="000000"/>
          <w:sz w:val="24"/>
          <w:szCs w:val="24"/>
          <w:highlight w:val="yellow"/>
        </w:rPr>
      </w:pPr>
      <w:r>
        <w:rPr>
          <w:rFonts w:ascii="Times New Roman" w:eastAsia="Times New Roman" w:hAnsi="Times New Roman" w:cs="Times New Roman"/>
          <w:color w:val="000000"/>
          <w:sz w:val="24"/>
          <w:szCs w:val="24"/>
          <w:highlight w:val="white"/>
        </w:rPr>
        <w:t>Таблица 73</w:t>
      </w:r>
    </w:p>
    <w:tbl>
      <w:tblPr>
        <w:tblW w:w="96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9"/>
        <w:gridCol w:w="992"/>
        <w:gridCol w:w="2268"/>
        <w:gridCol w:w="1701"/>
        <w:gridCol w:w="3794"/>
      </w:tblGrid>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Общая информация о члене Совета директоров ПАО «Россети Сибирь»</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рождения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1975</w:t>
            </w:r>
          </w:p>
        </w:tc>
      </w:tr>
      <w:tr w:rsidR="00D602D4">
        <w:trPr>
          <w:trHeight w:val="561"/>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об образовании</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университет, квалификация)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tabs>
                <w:tab w:val="left" w:pos="0"/>
              </w:tabs>
              <w:spacing w:after="0"/>
              <w:jc w:val="both"/>
              <w:rPr>
                <w:rFonts w:ascii="Times New Roman" w:hAnsi="Times New Roman" w:cs="Times New Roman"/>
                <w:sz w:val="24"/>
                <w:szCs w:val="24"/>
                <w:highlight w:val="white"/>
              </w:rPr>
            </w:pPr>
            <w:r>
              <w:rPr>
                <w:rFonts w:ascii="Times New Roman" w:eastAsia="Times New Roman" w:hAnsi="Times New Roman" w:cs="Times New Roman"/>
                <w:color w:val="000000"/>
                <w:sz w:val="24"/>
                <w:szCs w:val="24"/>
                <w:lang w:eastAsia="ru-RU"/>
              </w:rPr>
              <w:t>2000</w:t>
            </w:r>
            <w:r>
              <w:rPr>
                <w:rFonts w:ascii="Times New Roman" w:eastAsia="Times New Roman" w:hAnsi="Times New Roman" w:cs="Times New Roman"/>
                <w:color w:val="000000"/>
                <w:sz w:val="24"/>
                <w:szCs w:val="24"/>
                <w:highlight w:val="white"/>
                <w:lang w:eastAsia="ru-RU"/>
              </w:rPr>
              <w:t xml:space="preserve"> год, </w:t>
            </w:r>
            <w:r>
              <w:rPr>
                <w:rStyle w:val="Subst0"/>
                <w:rFonts w:ascii="Times New Roman" w:hAnsi="Times New Roman" w:cs="Times New Roman"/>
                <w:b w:val="0"/>
                <w:i w:val="0"/>
                <w:sz w:val="24"/>
                <w:szCs w:val="24"/>
                <w:highlight w:val="white"/>
              </w:rPr>
              <w:t>Томский государственный университет, юриспруденция</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Основное место работы, должность </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ООО «Сибирская генерирующая компания», директор по </w:t>
            </w:r>
            <w:r>
              <w:rPr>
                <w:rFonts w:ascii="Times New Roman" w:eastAsia="Times New Roman" w:hAnsi="Times New Roman" w:cs="Times New Roman"/>
                <w:color w:val="000000"/>
                <w:sz w:val="24"/>
                <w:szCs w:val="24"/>
                <w:lang w:eastAsia="ru-RU"/>
              </w:rPr>
              <w:t>правовым вопросам</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Участие в органах управления и контроля</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 конец отчетного периода является членом советов директоров (наблюдательных советов, попечительских советов)</w:t>
            </w:r>
            <w:r>
              <w:rPr>
                <w:rFonts w:ascii="Times New Roman" w:eastAsia="Times New Roman" w:hAnsi="Times New Roman" w:cs="Times New Roman"/>
                <w:color w:val="000000"/>
                <w:sz w:val="24"/>
                <w:szCs w:val="24"/>
                <w:lang w:eastAsia="ru-RU"/>
              </w:rPr>
              <w:t xml:space="preserve"> ООО «УралТЭП», ООО «ГлавЭнергоСбыт», ООО </w:t>
            </w:r>
            <w:r>
              <w:rPr>
                <w:rFonts w:ascii="Times New Roman" w:eastAsia="Times New Roman" w:hAnsi="Times New Roman" w:cs="Times New Roman"/>
                <w:color w:val="000000"/>
                <w:sz w:val="24"/>
                <w:szCs w:val="24"/>
                <w:lang w:eastAsia="ru-RU"/>
              </w:rPr>
              <w:lastRenderedPageBreak/>
              <w:t>«Сибирская генерирующая компания», ПАО «ЭЛ5-Энерго», АО «Кузбассэнерго», АО «Енисейская ТГК (ТГК-13)»</w:t>
            </w:r>
          </w:p>
        </w:tc>
      </w:tr>
      <w:tr w:rsidR="00D602D4">
        <w:trPr>
          <w:trHeight w:val="20"/>
        </w:trPr>
        <w:tc>
          <w:tcPr>
            <w:tcW w:w="1881"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lastRenderedPageBreak/>
              <w:t>Период</w:t>
            </w:r>
          </w:p>
        </w:tc>
        <w:tc>
          <w:tcPr>
            <w:tcW w:w="3969"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Наименование организации </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Должность</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по</w:t>
            </w:r>
          </w:p>
        </w:tc>
        <w:tc>
          <w:tcPr>
            <w:tcW w:w="3969" w:type="dxa"/>
            <w:gridSpan w:val="2"/>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lang w:eastAsia="ru-RU"/>
              </w:rPr>
              <w:t>2014</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rPr>
              <w:t>2022</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«Сибирская генерирующая компания»</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Директор по юридическим вопросам</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val="en-US" w:eastAsia="ru-RU"/>
              </w:rPr>
              <w:t>2022</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наст.вр</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rPr>
              <w:t>АО «НТК»</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Директор по правовому сопровождению морских перевозок</w:t>
            </w:r>
          </w:p>
        </w:tc>
      </w:tr>
      <w:tr w:rsidR="00D602D4">
        <w:trPr>
          <w:trHeight w:val="276"/>
        </w:trPr>
        <w:tc>
          <w:tcPr>
            <w:tcW w:w="88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lang w:val="en-US" w:eastAsia="ru-RU"/>
              </w:rPr>
            </w:pPr>
            <w:r>
              <w:rPr>
                <w:rFonts w:ascii="Times New Roman" w:eastAsia="Times New Roman" w:hAnsi="Times New Roman" w:cs="Times New Roman"/>
                <w:color w:val="000000"/>
                <w:sz w:val="24"/>
                <w:szCs w:val="24"/>
              </w:rPr>
              <w:t>2023</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lang w:eastAsia="ru-RU"/>
              </w:rPr>
            </w:pPr>
            <w:r>
              <w:rPr>
                <w:rFonts w:ascii="Times New Roman" w:eastAsia="Times New Roman" w:hAnsi="Times New Roman" w:cs="Times New Roman"/>
                <w:color w:val="000000"/>
                <w:sz w:val="24"/>
                <w:szCs w:val="24"/>
                <w:lang w:eastAsia="ru-RU"/>
              </w:rPr>
              <w:t>наст.вр</w:t>
            </w:r>
          </w:p>
        </w:tc>
        <w:tc>
          <w:tcPr>
            <w:tcW w:w="3969"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«Сибирская генерирующая компания»</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rPr>
              <w:t>Директор по правовым вопросам</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Информация о владении акциями ПАО «Россети Сибирь» </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Акциями ПАО «Россети Сибирь», а также акциями или долями его подконтрольных организаций не владеет</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Доля участия в уставном капитале ПАО «Россети Сибирь»</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Сделки по приобретению и/или отчуждению акций Общества не совершал</w:t>
            </w:r>
          </w:p>
        </w:tc>
      </w:tr>
    </w:tbl>
    <w:p w:rsidR="00D602D4" w:rsidRDefault="00D602D4">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p>
    <w:p w:rsidR="00D602D4" w:rsidRDefault="000B4C86">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highlight w:val="white"/>
        </w:rPr>
        <w:t>Устюгов Дмитрий Владимирович</w:t>
      </w:r>
    </w:p>
    <w:p w:rsidR="00D602D4" w:rsidRDefault="000B4C86">
      <w:pPr>
        <w:tabs>
          <w:tab w:val="left" w:pos="0"/>
        </w:tabs>
        <w:spacing w:after="0" w:line="240" w:lineRule="auto"/>
        <w:ind w:firstLine="709"/>
        <w:jc w:val="right"/>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color w:val="000000"/>
          <w:sz w:val="24"/>
          <w:szCs w:val="24"/>
          <w:highlight w:val="white"/>
        </w:rPr>
        <w:t>Таблица 74</w:t>
      </w:r>
    </w:p>
    <w:tbl>
      <w:tblPr>
        <w:tblW w:w="96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9"/>
        <w:gridCol w:w="992"/>
        <w:gridCol w:w="2268"/>
        <w:gridCol w:w="1701"/>
        <w:gridCol w:w="3794"/>
      </w:tblGrid>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Общая информация о члене Совета директоров ПАО «Россети Сибирь»</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рождения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1976</w:t>
            </w:r>
          </w:p>
        </w:tc>
      </w:tr>
      <w:tr w:rsidR="00D602D4">
        <w:trPr>
          <w:trHeight w:val="435"/>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об образовании</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университет, квалификация)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1999 год, </w:t>
            </w:r>
            <w:r>
              <w:rPr>
                <w:rStyle w:val="Subst0"/>
                <w:rFonts w:ascii="Times New Roman" w:hAnsi="Times New Roman" w:cs="Times New Roman"/>
                <w:b w:val="0"/>
                <w:i w:val="0"/>
                <w:sz w:val="24"/>
                <w:szCs w:val="24"/>
                <w:highlight w:val="white"/>
              </w:rPr>
              <w:t>Омский Государственный Университет, специальность: «Юриспруденция».</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Основное место работы, должность </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ПАО «Россети», директор по правовым вопросам</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Участие в органах управления и контроля</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 конец отчетного периода является членом Советов директоров (наблюдательных советов, попечительских советов) АО ОЭС «СакРусэнерго», АО «НТЦ ФСК ЕЭС», АО «РЭС», ПАО «Россети Северный Кавказ»</w:t>
            </w:r>
          </w:p>
        </w:tc>
      </w:tr>
      <w:tr w:rsidR="00D602D4">
        <w:trPr>
          <w:trHeight w:val="20"/>
        </w:trPr>
        <w:tc>
          <w:tcPr>
            <w:tcW w:w="1881"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Период</w:t>
            </w:r>
          </w:p>
        </w:tc>
        <w:tc>
          <w:tcPr>
            <w:tcW w:w="3969"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Наименование организации </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Должность</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по</w:t>
            </w:r>
          </w:p>
        </w:tc>
        <w:tc>
          <w:tcPr>
            <w:tcW w:w="3969" w:type="dxa"/>
            <w:gridSpan w:val="2"/>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2015</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2020</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ПАО «ФСК ЕЭС»</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Директор по правовым вопросам</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2020</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2021</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ПАО «Россети»/ПАО «ФСК ЕЭС»</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Начальник правового департамента</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2021</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2023</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ПАО «Россети» </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Директор по правовым вопросам</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2021</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2022</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ПАО</w:t>
            </w:r>
            <w:r>
              <w:rPr>
                <w:highlight w:val="white"/>
              </w:rPr>
              <w:t> </w:t>
            </w:r>
            <w:r>
              <w:rPr>
                <w:rFonts w:ascii="Times New Roman" w:eastAsia="Times New Roman" w:hAnsi="Times New Roman" w:cs="Times New Roman"/>
                <w:color w:val="000000"/>
                <w:sz w:val="24"/>
                <w:szCs w:val="24"/>
                <w:highlight w:val="white"/>
              </w:rPr>
              <w:t>«ФСК ЕЭС» (по совместительству)</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Директор по правовым вопросам</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2022</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наст.вр</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ПАО «Россети»</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Директор по правовым вопросам</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Информация о владении акциями ПАО «Россети Сибирь» </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Акциями ПАО «Россети Сибирь», а также акциями или долями его подконтрольных организаций не владеет</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Доля участия в уставном капитале ПАО «Россети Сибирь»</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Сделки по приобретению и/или отчуждению акций Общества не совершал</w:t>
            </w:r>
          </w:p>
        </w:tc>
      </w:tr>
    </w:tbl>
    <w:p w:rsidR="00D602D4" w:rsidRDefault="00D602D4">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p>
    <w:p w:rsidR="00D602D4" w:rsidRDefault="000B4C86">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highlight w:val="white"/>
        </w:rPr>
        <w:t>Ханафеев Марат Анварович</w:t>
      </w:r>
    </w:p>
    <w:p w:rsidR="00D602D4" w:rsidRDefault="000B4C86">
      <w:pPr>
        <w:tabs>
          <w:tab w:val="left" w:pos="0"/>
        </w:tabs>
        <w:spacing w:after="0" w:line="240" w:lineRule="auto"/>
        <w:ind w:firstLine="709"/>
        <w:jc w:val="right"/>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color w:val="000000"/>
          <w:sz w:val="24"/>
          <w:szCs w:val="24"/>
          <w:highlight w:val="white"/>
        </w:rPr>
        <w:t>Таблица 75</w:t>
      </w:r>
    </w:p>
    <w:tbl>
      <w:tblPr>
        <w:tblW w:w="96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9"/>
        <w:gridCol w:w="992"/>
        <w:gridCol w:w="2268"/>
        <w:gridCol w:w="1701"/>
        <w:gridCol w:w="3794"/>
      </w:tblGrid>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Общая информация о члене Совета директоров ПАО «Россети Сибирь»</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lastRenderedPageBreak/>
              <w:t>Год рождения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1982</w:t>
            </w:r>
          </w:p>
        </w:tc>
      </w:tr>
      <w:tr w:rsidR="00D602D4">
        <w:trPr>
          <w:trHeight w:val="561"/>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об образовании</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университет, квалификация)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tabs>
                <w:tab w:val="left" w:pos="0"/>
              </w:tabs>
              <w:spacing w:after="0" w:line="240" w:lineRule="auto"/>
              <w:jc w:val="both"/>
              <w:rPr>
                <w:rFonts w:ascii="Times New Roman" w:hAnsi="Times New Roman" w:cs="Times New Roman"/>
                <w:sz w:val="24"/>
                <w:szCs w:val="24"/>
                <w:highlight w:val="white"/>
              </w:rPr>
            </w:pPr>
            <w:r>
              <w:rPr>
                <w:rFonts w:ascii="Times New Roman" w:eastAsia="Times New Roman" w:hAnsi="Times New Roman" w:cs="Times New Roman"/>
                <w:color w:val="000000"/>
                <w:sz w:val="24"/>
                <w:szCs w:val="24"/>
                <w:highlight w:val="white"/>
                <w:lang w:eastAsia="ru-RU"/>
              </w:rPr>
              <w:t xml:space="preserve">2002 год, </w:t>
            </w:r>
            <w:r>
              <w:rPr>
                <w:rStyle w:val="Subst0"/>
                <w:rFonts w:ascii="Times New Roman" w:hAnsi="Times New Roman" w:cs="Times New Roman"/>
                <w:b w:val="0"/>
                <w:i w:val="0"/>
                <w:sz w:val="24"/>
                <w:szCs w:val="24"/>
                <w:highlight w:val="white"/>
              </w:rPr>
              <w:t>Казанский Государственный финансово-экономический институт, специальность: «Финансы и кредит».</w:t>
            </w:r>
          </w:p>
          <w:p w:rsidR="00D602D4" w:rsidRDefault="000B4C86">
            <w:pPr>
              <w:tabs>
                <w:tab w:val="left" w:pos="0"/>
              </w:tabs>
              <w:spacing w:after="0" w:line="240" w:lineRule="auto"/>
              <w:jc w:val="both"/>
              <w:rPr>
                <w:rFonts w:ascii="Times New Roman" w:hAnsi="Times New Roman" w:cs="Times New Roman"/>
                <w:sz w:val="24"/>
                <w:szCs w:val="24"/>
                <w:highlight w:val="white"/>
              </w:rPr>
            </w:pPr>
            <w:r>
              <w:rPr>
                <w:rStyle w:val="Subst0"/>
                <w:rFonts w:ascii="Times New Roman" w:hAnsi="Times New Roman" w:cs="Times New Roman"/>
                <w:b w:val="0"/>
                <w:i w:val="0"/>
                <w:sz w:val="24"/>
                <w:szCs w:val="24"/>
                <w:highlight w:val="white"/>
              </w:rPr>
              <w:t>2009 год, Академия народного хозяйства при Правительстве Российской Федерации, мастер делового администрирования по специальности: «Финансы и кредит».</w:t>
            </w:r>
          </w:p>
          <w:p w:rsidR="00D602D4" w:rsidRDefault="000B4C86">
            <w:pPr>
              <w:tabs>
                <w:tab w:val="left" w:pos="0"/>
              </w:tabs>
              <w:spacing w:after="0" w:line="240" w:lineRule="auto"/>
              <w:jc w:val="both"/>
              <w:rPr>
                <w:rFonts w:ascii="Times New Roman" w:hAnsi="Times New Roman" w:cs="Times New Roman"/>
                <w:bCs/>
                <w:iCs/>
                <w:sz w:val="24"/>
                <w:szCs w:val="24"/>
                <w:highlight w:val="white"/>
              </w:rPr>
            </w:pPr>
            <w:r>
              <w:rPr>
                <w:rStyle w:val="Subst0"/>
                <w:rFonts w:ascii="Times New Roman" w:hAnsi="Times New Roman" w:cs="Times New Roman"/>
                <w:b w:val="0"/>
                <w:i w:val="0"/>
                <w:sz w:val="24"/>
                <w:szCs w:val="24"/>
                <w:highlight w:val="white"/>
              </w:rPr>
              <w:t xml:space="preserve"> Московская школа управления «Сколково», программа профессиональной переподготовки «Мастер делового администрирования»</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Основное место работы, должность </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ПАО «Россети», з</w:t>
            </w:r>
            <w:r>
              <w:rPr>
                <w:rFonts w:ascii="Times New Roman" w:eastAsia="Times New Roman" w:hAnsi="Times New Roman" w:cs="Times New Roman"/>
                <w:color w:val="000000"/>
                <w:sz w:val="24"/>
                <w:szCs w:val="24"/>
                <w:highlight w:val="white"/>
              </w:rPr>
              <w:t>аместитель Генерального директора по закупочной деятельности</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Участие в органах управления и контроля</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 конец отчетного периода является членом Советов директоров (наблюдательных советов, попечительских советов) АО «ЦИУС ЕЭС», АО «Россети Цифра», ПАО «Россети Московский регион», АО «Россети Центр Закупок», АО «Россети Научно-Технический Центр»</w:t>
            </w:r>
          </w:p>
        </w:tc>
      </w:tr>
      <w:tr w:rsidR="00D602D4">
        <w:trPr>
          <w:trHeight w:val="20"/>
        </w:trPr>
        <w:tc>
          <w:tcPr>
            <w:tcW w:w="1881"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Период</w:t>
            </w:r>
          </w:p>
        </w:tc>
        <w:tc>
          <w:tcPr>
            <w:tcW w:w="3969"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Наименование организации </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Должность</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по</w:t>
            </w:r>
          </w:p>
        </w:tc>
        <w:tc>
          <w:tcPr>
            <w:tcW w:w="3969" w:type="dxa"/>
            <w:gridSpan w:val="2"/>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2019</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2022</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ПАО «ИНТЕР РАО»</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Советник Председателя Правления</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val="en-US" w:eastAsia="ru-RU"/>
              </w:rPr>
              <w:t>2022</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наст.вр</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ПАО «Россети»</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Заместитель Генерального директора по закупочной деятельности</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Информация о владении акциями ПАО «Россети Сибирь» </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Акциями ПАО «Россети Сибирь», а также акциями или долями его подконтрольных организаций не владеет.</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Доля участия в уставном капитале ПАО «Россети Сибирь»</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Сделки по приобретению и/или отчуждению акций Общества не совершал</w:t>
            </w:r>
          </w:p>
        </w:tc>
      </w:tr>
    </w:tbl>
    <w:p w:rsidR="00D602D4" w:rsidRDefault="00D602D4">
      <w:pPr>
        <w:tabs>
          <w:tab w:val="left" w:pos="0"/>
        </w:tabs>
        <w:spacing w:after="0" w:line="240" w:lineRule="auto"/>
        <w:ind w:firstLine="709"/>
        <w:jc w:val="center"/>
        <w:rPr>
          <w:rFonts w:ascii="Times New Roman" w:eastAsia="Times New Roman" w:hAnsi="Times New Roman" w:cs="Times New Roman"/>
          <w:color w:val="000000"/>
          <w:sz w:val="24"/>
          <w:szCs w:val="24"/>
          <w:highlight w:val="white"/>
        </w:rPr>
      </w:pPr>
    </w:p>
    <w:p w:rsidR="00D602D4" w:rsidRDefault="000B4C86">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highlight w:val="white"/>
        </w:rPr>
        <w:t>Черкашин Василий Владимирович</w:t>
      </w:r>
    </w:p>
    <w:p w:rsidR="00D602D4" w:rsidRDefault="000B4C86">
      <w:pPr>
        <w:tabs>
          <w:tab w:val="left" w:pos="0"/>
        </w:tabs>
        <w:spacing w:after="0" w:line="240" w:lineRule="auto"/>
        <w:ind w:firstLine="709"/>
        <w:jc w:val="right"/>
        <w:rPr>
          <w:rFonts w:ascii="Times New Roman" w:eastAsia="Times New Roman" w:hAnsi="Times New Roman" w:cs="Times New Roman"/>
          <w:b/>
          <w:color w:val="000000"/>
          <w:sz w:val="24"/>
          <w:szCs w:val="24"/>
          <w:highlight w:val="yellow"/>
        </w:rPr>
      </w:pPr>
      <w:r>
        <w:rPr>
          <w:rFonts w:ascii="Times New Roman" w:eastAsia="Times New Roman" w:hAnsi="Times New Roman" w:cs="Times New Roman"/>
          <w:color w:val="000000"/>
          <w:sz w:val="24"/>
          <w:szCs w:val="24"/>
          <w:highlight w:val="white"/>
        </w:rPr>
        <w:t>Таблица 76</w:t>
      </w:r>
    </w:p>
    <w:tbl>
      <w:tblPr>
        <w:tblW w:w="96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9"/>
        <w:gridCol w:w="992"/>
        <w:gridCol w:w="2268"/>
        <w:gridCol w:w="1701"/>
        <w:gridCol w:w="3794"/>
      </w:tblGrid>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Общая информация о члене Совета директоров ПАО «Россети Сибирь»</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рождения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1982</w:t>
            </w:r>
          </w:p>
        </w:tc>
      </w:tr>
      <w:tr w:rsidR="00D602D4">
        <w:trPr>
          <w:trHeight w:val="561"/>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об образовании</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университет, квалификация)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tabs>
                <w:tab w:val="left" w:pos="0"/>
              </w:tabs>
              <w:spacing w:after="0" w:line="240" w:lineRule="auto"/>
              <w:jc w:val="both"/>
              <w:rPr>
                <w:rFonts w:ascii="Times New Roman" w:hAnsi="Times New Roman" w:cs="Times New Roman"/>
                <w:sz w:val="24"/>
                <w:szCs w:val="24"/>
                <w:highlight w:val="white"/>
              </w:rPr>
            </w:pPr>
            <w:r>
              <w:rPr>
                <w:rFonts w:ascii="Times New Roman" w:eastAsia="Times New Roman" w:hAnsi="Times New Roman" w:cs="Times New Roman"/>
                <w:color w:val="000000"/>
                <w:sz w:val="24"/>
                <w:szCs w:val="24"/>
                <w:highlight w:val="white"/>
                <w:lang w:eastAsia="ru-RU"/>
              </w:rPr>
              <w:t xml:space="preserve">2003 год, </w:t>
            </w:r>
            <w:r>
              <w:rPr>
                <w:rStyle w:val="Subst0"/>
                <w:rFonts w:ascii="Times New Roman" w:hAnsi="Times New Roman" w:cs="Times New Roman"/>
                <w:b w:val="0"/>
                <w:i w:val="0"/>
                <w:sz w:val="24"/>
                <w:szCs w:val="24"/>
                <w:highlight w:val="white"/>
              </w:rPr>
              <w:t>Государственное образовательное учреждение высшего профессионального образования «Хакасский государственный университет им. Н.Ф. Катанова», бакалавр техники и технологии по направлению «Информатика и вычислительная техника».</w:t>
            </w:r>
          </w:p>
          <w:p w:rsidR="00D602D4" w:rsidRDefault="000B4C86">
            <w:pPr>
              <w:tabs>
                <w:tab w:val="left" w:pos="0"/>
              </w:tabs>
              <w:spacing w:after="0" w:line="240" w:lineRule="auto"/>
              <w:jc w:val="both"/>
              <w:rPr>
                <w:rFonts w:ascii="Times New Roman" w:hAnsi="Times New Roman" w:cs="Times New Roman"/>
                <w:bCs/>
                <w:iCs/>
                <w:sz w:val="24"/>
                <w:szCs w:val="24"/>
                <w:highlight w:val="white"/>
              </w:rPr>
            </w:pPr>
            <w:r>
              <w:rPr>
                <w:rStyle w:val="Subst0"/>
                <w:rFonts w:ascii="Times New Roman" w:hAnsi="Times New Roman" w:cs="Times New Roman"/>
                <w:b w:val="0"/>
                <w:i w:val="0"/>
                <w:sz w:val="24"/>
                <w:szCs w:val="24"/>
                <w:highlight w:val="white"/>
              </w:rPr>
              <w:t>2005 год, магистр техники и технологии по направлению «Информатика и вычислительная техника»</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Основное место работы, должность </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ООО «Сибирская генерирующая компания», директор по развитию </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Участие в органах управления и контроля</w:t>
            </w:r>
          </w:p>
        </w:tc>
      </w:tr>
      <w:tr w:rsidR="00D602D4">
        <w:trPr>
          <w:trHeight w:val="20"/>
        </w:trPr>
        <w:tc>
          <w:tcPr>
            <w:tcW w:w="1881"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Период</w:t>
            </w:r>
          </w:p>
        </w:tc>
        <w:tc>
          <w:tcPr>
            <w:tcW w:w="3969"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Наименование организации </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Должность</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по</w:t>
            </w:r>
          </w:p>
        </w:tc>
        <w:tc>
          <w:tcPr>
            <w:tcW w:w="3969" w:type="dxa"/>
            <w:gridSpan w:val="2"/>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lastRenderedPageBreak/>
              <w:t>2017</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2022</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«Сибирская генерирующая компания»</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Директор по стратегии</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2022</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2023</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«Сибирская генерирующая компания»</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Директор по стратегии и M&amp;A</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val="en-US" w:eastAsia="ru-RU"/>
              </w:rPr>
              <w:t>2023</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наст.вр</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«Сибирская генерирующая компания»</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Директор по развитию </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Информация о владении акциями ПАО «Россети Сибирь» </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Акциями ПАО «Россети Сибирь», а также акциями или долями его подконтрольных организаций не владеет</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Доля участия в уставном капитале ПАО «Россети Сибирь»</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Сделки по приобретению и/или отчуждению акций Общества не совершал</w:t>
            </w:r>
          </w:p>
        </w:tc>
      </w:tr>
    </w:tbl>
    <w:p w:rsidR="00D602D4" w:rsidRDefault="00D602D4">
      <w:pPr>
        <w:tabs>
          <w:tab w:val="left" w:pos="0"/>
        </w:tabs>
        <w:spacing w:after="0" w:line="240" w:lineRule="auto"/>
        <w:ind w:firstLine="709"/>
        <w:jc w:val="center"/>
        <w:rPr>
          <w:rFonts w:ascii="Times New Roman" w:eastAsia="Times New Roman" w:hAnsi="Times New Roman" w:cs="Times New Roman"/>
          <w:color w:val="000000"/>
          <w:sz w:val="24"/>
          <w:szCs w:val="24"/>
          <w:highlight w:val="white"/>
        </w:rPr>
      </w:pPr>
    </w:p>
    <w:p w:rsidR="00D602D4" w:rsidRDefault="000B4C86">
      <w:pPr>
        <w:tabs>
          <w:tab w:val="left" w:pos="0"/>
        </w:tabs>
        <w:spacing w:after="0" w:line="240" w:lineRule="auto"/>
        <w:ind w:firstLine="709"/>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highlight w:val="white"/>
        </w:rPr>
        <w:t>Шашкова Наталья Васильевна</w:t>
      </w:r>
    </w:p>
    <w:p w:rsidR="00D602D4" w:rsidRDefault="000B4C86">
      <w:pPr>
        <w:tabs>
          <w:tab w:val="left" w:pos="0"/>
        </w:tabs>
        <w:spacing w:after="0" w:line="240" w:lineRule="auto"/>
        <w:ind w:firstLine="709"/>
        <w:jc w:val="right"/>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color w:val="000000"/>
          <w:sz w:val="24"/>
          <w:szCs w:val="24"/>
          <w:highlight w:val="white"/>
        </w:rPr>
        <w:t>Таблица 77</w:t>
      </w:r>
    </w:p>
    <w:tbl>
      <w:tblPr>
        <w:tblW w:w="96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9"/>
        <w:gridCol w:w="992"/>
        <w:gridCol w:w="2268"/>
        <w:gridCol w:w="1701"/>
        <w:gridCol w:w="3794"/>
      </w:tblGrid>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Общая информация о члене Совета директоров ПАО «Россети Сибирь»</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рождения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1970</w:t>
            </w:r>
          </w:p>
        </w:tc>
      </w:tr>
      <w:tr w:rsidR="00D602D4">
        <w:trPr>
          <w:trHeight w:val="561"/>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об образовании</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(год, университет, квалификация)</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tabs>
                <w:tab w:val="left" w:pos="0"/>
              </w:tabs>
              <w:spacing w:after="0" w:line="240" w:lineRule="auto"/>
              <w:jc w:val="both"/>
              <w:rPr>
                <w:rFonts w:ascii="Times New Roman" w:hAnsi="Times New Roman" w:cs="Times New Roman"/>
                <w:bCs/>
                <w:iCs/>
                <w:sz w:val="24"/>
                <w:szCs w:val="24"/>
                <w:highlight w:val="white"/>
              </w:rPr>
            </w:pPr>
            <w:r>
              <w:rPr>
                <w:rFonts w:ascii="Times New Roman" w:eastAsia="Times New Roman" w:hAnsi="Times New Roman" w:cs="Times New Roman"/>
                <w:color w:val="000000"/>
                <w:sz w:val="24"/>
                <w:szCs w:val="24"/>
                <w:highlight w:val="white"/>
                <w:lang w:eastAsia="ru-RU"/>
              </w:rPr>
              <w:t xml:space="preserve">1994 год, </w:t>
            </w:r>
            <w:r>
              <w:rPr>
                <w:rFonts w:ascii="Times New Roman" w:hAnsi="Times New Roman" w:cs="Times New Roman"/>
                <w:bCs/>
                <w:iCs/>
                <w:sz w:val="24"/>
                <w:szCs w:val="24"/>
                <w:highlight w:val="white"/>
              </w:rPr>
              <w:t>Кузбасский Государственный Технический университет, специальность: «Менеджмент в машиностроении», квалификация: «инженер-экономист».</w:t>
            </w:r>
          </w:p>
          <w:p w:rsidR="00D602D4" w:rsidRDefault="000B4C86">
            <w:pPr>
              <w:tabs>
                <w:tab w:val="left" w:pos="0"/>
              </w:tabs>
              <w:spacing w:after="0" w:line="240" w:lineRule="auto"/>
              <w:jc w:val="both"/>
              <w:rPr>
                <w:rFonts w:ascii="Times New Roman" w:hAnsi="Times New Roman" w:cs="Times New Roman"/>
                <w:bCs/>
                <w:iCs/>
                <w:sz w:val="24"/>
                <w:szCs w:val="24"/>
                <w:highlight w:val="white"/>
              </w:rPr>
            </w:pPr>
            <w:r>
              <w:rPr>
                <w:rFonts w:ascii="Times New Roman" w:hAnsi="Times New Roman" w:cs="Times New Roman"/>
                <w:bCs/>
                <w:iCs/>
                <w:sz w:val="24"/>
                <w:szCs w:val="24"/>
                <w:highlight w:val="white"/>
              </w:rPr>
              <w:t xml:space="preserve">Профессиональный Сертификат в области менеджмента Открытого Университета (ОУ) Великобритании. Диплом о профессиональной переподготовке в области менеджмента государственного образца </w:t>
            </w:r>
            <w:r>
              <w:rPr>
                <w:rFonts w:ascii="Times New Roman" w:eastAsia="Times New Roman" w:hAnsi="Times New Roman" w:cs="Times New Roman"/>
                <w:sz w:val="24"/>
                <w:szCs w:val="24"/>
              </w:rPr>
              <w:t>Российской Федерации</w:t>
            </w:r>
          </w:p>
        </w:tc>
      </w:tr>
      <w:tr w:rsidR="00D602D4">
        <w:trPr>
          <w:trHeight w:val="20"/>
        </w:trPr>
        <w:tc>
          <w:tcPr>
            <w:tcW w:w="4149" w:type="dxa"/>
            <w:gridSpan w:val="3"/>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Основное место работы, должность </w:t>
            </w:r>
          </w:p>
        </w:tc>
        <w:tc>
          <w:tcPr>
            <w:tcW w:w="5495"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ООО «Сибирская генерирующая компания», директор по экономике </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Участие в органах управления и контроля</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 конец отчетного периода является членом советов директоров (наблюдательных советов, попечительских советов) АО «СибИАЦ», АО «СибЭР»</w:t>
            </w:r>
          </w:p>
        </w:tc>
      </w:tr>
      <w:tr w:rsidR="00D602D4">
        <w:trPr>
          <w:trHeight w:val="20"/>
        </w:trPr>
        <w:tc>
          <w:tcPr>
            <w:tcW w:w="1881"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Период</w:t>
            </w:r>
          </w:p>
        </w:tc>
        <w:tc>
          <w:tcPr>
            <w:tcW w:w="3969" w:type="dxa"/>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Наименование организации </w:t>
            </w:r>
          </w:p>
        </w:tc>
        <w:tc>
          <w:tcPr>
            <w:tcW w:w="379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Должность</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по</w:t>
            </w:r>
          </w:p>
        </w:tc>
        <w:tc>
          <w:tcPr>
            <w:tcW w:w="3969" w:type="dxa"/>
            <w:gridSpan w:val="2"/>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c>
          <w:tcPr>
            <w:tcW w:w="3794"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eastAsia="Times New Roman" w:hAnsi="Times New Roman" w:cs="Times New Roman"/>
                <w:color w:val="000000"/>
                <w:sz w:val="24"/>
                <w:szCs w:val="24"/>
                <w:lang w:eastAsia="ru-RU"/>
              </w:rPr>
            </w:pP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2019</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2022</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«Сибирская генерирующая компания»</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Заместитель Директора по экономике</w:t>
            </w:r>
          </w:p>
        </w:tc>
      </w:tr>
      <w:tr w:rsidR="00D602D4">
        <w:trPr>
          <w:trHeight w:val="20"/>
        </w:trPr>
        <w:tc>
          <w:tcPr>
            <w:tcW w:w="88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val="en-US" w:eastAsia="ru-RU"/>
              </w:rPr>
              <w:t>2022</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наст.вр</w:t>
            </w:r>
          </w:p>
        </w:tc>
        <w:tc>
          <w:tcPr>
            <w:tcW w:w="3969" w:type="dxa"/>
            <w:gridSpan w:val="2"/>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ООО «Сибирская генерирующая компания»</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Директор по экономике</w:t>
            </w:r>
          </w:p>
        </w:tc>
      </w:tr>
      <w:tr w:rsidR="00D602D4">
        <w:trPr>
          <w:trHeight w:val="20"/>
        </w:trPr>
        <w:tc>
          <w:tcPr>
            <w:tcW w:w="964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 xml:space="preserve">Информация о владении акциями ПАО «Россети Сибирь» </w:t>
            </w:r>
          </w:p>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Акциями ПАО «Россети Сибирь», а также акциями или долями его подконтрольных организаций не владеет</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Доля участия в уставном капитале ПАО «Россети Сибирь»</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w:t>
            </w:r>
          </w:p>
        </w:tc>
      </w:tr>
      <w:tr w:rsidR="00D602D4">
        <w:trPr>
          <w:trHeight w:val="20"/>
        </w:trPr>
        <w:tc>
          <w:tcPr>
            <w:tcW w:w="5850" w:type="dxa"/>
            <w:gridSpan w:val="4"/>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Сведения о сделках по приобретению или отчуждению акций ПАО «Россети Сибирь» в течение отчетного года</w:t>
            </w:r>
          </w:p>
        </w:tc>
        <w:tc>
          <w:tcPr>
            <w:tcW w:w="379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lang w:eastAsia="ru-RU"/>
              </w:rPr>
              <w:t>Сделки по приобретению и/или отчуждению акций Общества не совершала.</w:t>
            </w:r>
          </w:p>
        </w:tc>
      </w:tr>
    </w:tbl>
    <w:p w:rsidR="00D602D4" w:rsidRDefault="000B4C86">
      <w:pPr>
        <w:spacing w:after="0" w:line="240" w:lineRule="auto"/>
        <w:ind w:firstLine="709"/>
        <w:jc w:val="both"/>
        <w:rPr>
          <w:rFonts w:ascii="Times New Roman" w:hAnsi="Times New Roman" w:cs="Times New Roman"/>
          <w:highlight w:val="yellow"/>
        </w:rPr>
      </w:pPr>
      <w:r>
        <w:rPr>
          <w:rFonts w:ascii="Times New Roman" w:hAnsi="Times New Roman" w:cs="Times New Roman"/>
          <w:sz w:val="24"/>
          <w:szCs w:val="24"/>
        </w:rPr>
        <w:t>В 2024 году страхование ответственности директоров осуществлялось единым договором по всей группе компаний ПАО «Россети».</w:t>
      </w:r>
    </w:p>
    <w:p w:rsidR="00D602D4" w:rsidRDefault="000B4C86">
      <w:pPr>
        <w:widowControl w:val="0"/>
        <w:spacing w:after="0" w:line="240" w:lineRule="auto"/>
        <w:ind w:firstLine="709"/>
        <w:jc w:val="both"/>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Обучение членов Совета директоров за счет средств Общества в 2024 году не проводилось.</w:t>
      </w:r>
      <w:r>
        <w:rPr>
          <w:rFonts w:ascii="Times New Roman" w:eastAsia="Times New Roman" w:hAnsi="Times New Roman" w:cs="Times New Roman"/>
          <w:b/>
          <w:sz w:val="24"/>
          <w:szCs w:val="24"/>
          <w:highlight w:val="white"/>
        </w:rPr>
        <w:t xml:space="preserve">   </w:t>
      </w:r>
    </w:p>
    <w:p w:rsidR="00D602D4" w:rsidRDefault="00D602D4">
      <w:pPr>
        <w:widowControl w:val="0"/>
        <w:spacing w:after="0" w:line="240" w:lineRule="auto"/>
        <w:ind w:firstLine="709"/>
        <w:jc w:val="both"/>
        <w:rPr>
          <w:rFonts w:ascii="Times New Roman" w:hAnsi="Times New Roman" w:cs="Times New Roman"/>
          <w:spacing w:val="-2"/>
          <w:sz w:val="24"/>
          <w:szCs w:val="24"/>
        </w:rPr>
      </w:pPr>
    </w:p>
    <w:p w:rsidR="00D602D4" w:rsidRDefault="00D602D4">
      <w:pPr>
        <w:widowControl w:val="0"/>
        <w:spacing w:after="0" w:line="240" w:lineRule="auto"/>
        <w:ind w:firstLine="709"/>
        <w:jc w:val="both"/>
        <w:rPr>
          <w:rFonts w:ascii="Times New Roman" w:hAnsi="Times New Roman" w:cs="Times New Roman"/>
          <w:spacing w:val="-2"/>
          <w:sz w:val="24"/>
          <w:szCs w:val="24"/>
        </w:rPr>
      </w:pPr>
    </w:p>
    <w:p w:rsidR="00D602D4" w:rsidRDefault="00D602D4">
      <w:pPr>
        <w:widowControl w:val="0"/>
        <w:spacing w:after="0" w:line="240" w:lineRule="auto"/>
        <w:ind w:firstLine="709"/>
        <w:jc w:val="both"/>
        <w:rPr>
          <w:rFonts w:ascii="Times New Roman" w:hAnsi="Times New Roman" w:cs="Times New Roman"/>
          <w:spacing w:val="-2"/>
          <w:sz w:val="24"/>
          <w:szCs w:val="24"/>
        </w:rPr>
      </w:pPr>
    </w:p>
    <w:p w:rsidR="00D602D4" w:rsidRDefault="000B4C86">
      <w:pPr>
        <w:pStyle w:val="13"/>
        <w:spacing w:before="0" w:line="240" w:lineRule="auto"/>
        <w:rPr>
          <w:rFonts w:ascii="Times New Roman" w:hAnsi="Times New Roman" w:cs="Times New Roman"/>
          <w:b/>
          <w:color w:val="auto"/>
          <w:sz w:val="26"/>
          <w:szCs w:val="26"/>
        </w:rPr>
      </w:pPr>
      <w:bookmarkStart w:id="90" w:name="_Toc127"/>
      <w:r>
        <w:rPr>
          <w:rFonts w:ascii="Times New Roman" w:eastAsia="Times New Roman" w:hAnsi="Times New Roman" w:cs="Times New Roman"/>
          <w:b/>
          <w:color w:val="auto"/>
          <w:sz w:val="26"/>
          <w:szCs w:val="26"/>
        </w:rPr>
        <w:t>5.5. Комитеты Совета директоров Общества</w:t>
      </w:r>
      <w:bookmarkEnd w:id="90"/>
    </w:p>
    <w:p w:rsidR="00D602D4" w:rsidRDefault="00D602D4">
      <w:pPr>
        <w:spacing w:after="0" w:line="240" w:lineRule="auto"/>
        <w:ind w:firstLine="709"/>
        <w:jc w:val="both"/>
        <w:rPr>
          <w:rFonts w:ascii="Times New Roman" w:eastAsia="Calibri" w:hAnsi="Times New Roman" w:cs="Times New Roman"/>
          <w:bCs/>
          <w:iCs/>
          <w:sz w:val="24"/>
          <w:szCs w:val="24"/>
        </w:rPr>
      </w:pPr>
    </w:p>
    <w:p w:rsidR="00D602D4" w:rsidRDefault="000B4C86">
      <w:pPr>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 xml:space="preserve">Комитеты Совета директоров Общества обеспечивают предварительную детальную проработку наиболее важных вопросов, относящихся к компетенции Совета директоров Общества. Комитеты подотчеты Совету директоров Общества. Решения Комитетов Совета директоров Общества носят для Совета директоров рекомендательный характер. </w:t>
      </w:r>
    </w:p>
    <w:p w:rsidR="00D602D4" w:rsidRDefault="000B4C86">
      <w:pPr>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Компетенция, порядок формирования, права и обязанности членов Комитетов Совета директоров Общества регламентируются соответствующими Положениями о Комитетах Совета директоров Общества.</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 xml:space="preserve">В настоящее время в Обществе созданы и действуют: </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 xml:space="preserve">- Комитет по стратегии Совета директоров Общества; </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 Комитет по аудиту Совета директоров Общества;</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 Комитет по кадрам и вознаграждениям Совета директоров Общества;</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 Комитет по надежности Совета директоров Общества;</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 Комитет по технологическому присоединению к электрическим сетям при Совете директоров Общества,</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(далее вместе – Комитеты).</w:t>
      </w:r>
    </w:p>
    <w:p w:rsidR="00D602D4" w:rsidRDefault="000B4C86">
      <w:pPr>
        <w:spacing w:after="0" w:line="240" w:lineRule="auto"/>
        <w:ind w:firstLine="709"/>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Количественный и персональный состав Комитетов определяется решением Совета директоров Общества. Деятельность Комитетов осуществляется в соответствии с Планами работы Комитетов, ежегодно утверждаемыми на заседаниях Комитетов.</w:t>
      </w:r>
    </w:p>
    <w:p w:rsidR="00D602D4" w:rsidRDefault="000B4C86">
      <w:pPr>
        <w:spacing w:after="0" w:line="240" w:lineRule="auto"/>
        <w:ind w:firstLine="709"/>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Составы Комитетов Совета директоров Общества, действующие по состоянию на 31.12.2024, избраны Советом директоров Общества 26.07.2024 (протокол от 29.07.2024 № 530/24) и 19.08.2024 (протокол от 22.08.2024 № 532/24).</w:t>
      </w:r>
    </w:p>
    <w:p w:rsidR="00D602D4" w:rsidRDefault="000B4C86">
      <w:pPr>
        <w:spacing w:after="0" w:line="240" w:lineRule="auto"/>
        <w:ind w:firstLine="709"/>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В 2024 году состоялось 54 заседания Комитетов, из них 5 в очной форме, рассмотрен 121 вопрос, из них 14 в очной форме.  </w:t>
      </w:r>
    </w:p>
    <w:p w:rsidR="00D602D4" w:rsidRDefault="000B4C86">
      <w:pPr>
        <w:widowControl w:val="0"/>
        <w:spacing w:after="0" w:line="240" w:lineRule="auto"/>
        <w:ind w:firstLine="709"/>
        <w:contextualSpacing/>
        <w:jc w:val="right"/>
        <w:rPr>
          <w:rFonts w:ascii="Times New Roman" w:eastAsia="TimesNewRomanPSMT" w:hAnsi="Times New Roman" w:cs="Times New Roman"/>
          <w:sz w:val="24"/>
          <w:szCs w:val="24"/>
          <w:highlight w:val="yellow"/>
        </w:rPr>
      </w:pPr>
      <w:r>
        <w:rPr>
          <w:rFonts w:ascii="Times New Roman" w:eastAsia="TimesNewRomanPSMT" w:hAnsi="Times New Roman" w:cs="Times New Roman"/>
          <w:sz w:val="24"/>
          <w:szCs w:val="24"/>
          <w:highlight w:val="white"/>
        </w:rPr>
        <w:t>Таблица 78</w:t>
      </w:r>
    </w:p>
    <w:p w:rsidR="00D602D4" w:rsidRDefault="000B4C86">
      <w:pPr>
        <w:widowControl w:val="0"/>
        <w:spacing w:after="0" w:line="240" w:lineRule="auto"/>
        <w:ind w:firstLine="709"/>
        <w:contextualSpacing/>
        <w:jc w:val="center"/>
        <w:rPr>
          <w:rFonts w:ascii="Times New Roman" w:eastAsia="Times New Roman" w:hAnsi="Times New Roman" w:cs="Times New Roman"/>
          <w:sz w:val="24"/>
          <w:szCs w:val="24"/>
          <w:highlight w:val="white"/>
        </w:rPr>
      </w:pPr>
      <w:r>
        <w:rPr>
          <w:rFonts w:ascii="Times New Roman" w:eastAsia="TimesNewRomanPSMT" w:hAnsi="Times New Roman" w:cs="Times New Roman"/>
          <w:b/>
          <w:sz w:val="24"/>
          <w:szCs w:val="24"/>
          <w:highlight w:val="white"/>
        </w:rPr>
        <w:t>Статистика голосования на заседаниях Комитетов в 2024 году</w:t>
      </w:r>
    </w:p>
    <w:tbl>
      <w:tblPr>
        <w:tblStyle w:val="83"/>
        <w:tblW w:w="9351" w:type="dxa"/>
        <w:jc w:val="center"/>
        <w:tblInd w:w="0" w:type="dxa"/>
        <w:tblLayout w:type="fixed"/>
        <w:tblLook w:val="04A0" w:firstRow="1" w:lastRow="0" w:firstColumn="1" w:lastColumn="0" w:noHBand="0" w:noVBand="1"/>
      </w:tblPr>
      <w:tblGrid>
        <w:gridCol w:w="1838"/>
        <w:gridCol w:w="1276"/>
        <w:gridCol w:w="1134"/>
        <w:gridCol w:w="1843"/>
        <w:gridCol w:w="1448"/>
        <w:gridCol w:w="1812"/>
      </w:tblGrid>
      <w:tr w:rsidR="00D602D4">
        <w:trPr>
          <w:trHeight w:val="170"/>
          <w:jc w:val="center"/>
        </w:trPr>
        <w:tc>
          <w:tcPr>
            <w:tcW w:w="1838"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b/>
                <w:sz w:val="20"/>
                <w:szCs w:val="20"/>
                <w:highlight w:val="white"/>
              </w:rPr>
            </w:pPr>
            <w:r>
              <w:rPr>
                <w:rFonts w:ascii="Times New Roman" w:eastAsia="TimesNewRomanPSMT" w:hAnsi="Times New Roman" w:cs="Times New Roman"/>
                <w:b/>
                <w:sz w:val="20"/>
                <w:szCs w:val="20"/>
                <w:highlight w:val="white"/>
              </w:rPr>
              <w:t>Вариант голосования</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b/>
                <w:sz w:val="20"/>
                <w:szCs w:val="20"/>
                <w:highlight w:val="white"/>
              </w:rPr>
            </w:pPr>
            <w:r>
              <w:rPr>
                <w:rFonts w:ascii="Times New Roman" w:eastAsia="TimesNewRomanPSMT" w:hAnsi="Times New Roman" w:cs="Times New Roman"/>
                <w:b/>
                <w:sz w:val="20"/>
                <w:szCs w:val="20"/>
                <w:highlight w:val="white"/>
              </w:rPr>
              <w:t>Комитет по стратегии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b/>
                <w:sz w:val="20"/>
                <w:szCs w:val="20"/>
                <w:highlight w:val="white"/>
              </w:rPr>
            </w:pPr>
            <w:r>
              <w:rPr>
                <w:rFonts w:ascii="Times New Roman" w:eastAsia="TimesNewRomanPSMT" w:hAnsi="Times New Roman" w:cs="Times New Roman"/>
                <w:b/>
                <w:sz w:val="20"/>
                <w:szCs w:val="20"/>
                <w:highlight w:val="white"/>
              </w:rPr>
              <w:t>Комитет по аудиту</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b/>
                <w:sz w:val="20"/>
                <w:szCs w:val="20"/>
                <w:highlight w:val="white"/>
              </w:rPr>
            </w:pPr>
            <w:r>
              <w:rPr>
                <w:rFonts w:ascii="Times New Roman" w:eastAsia="TimesNewRomanPSMT" w:hAnsi="Times New Roman" w:cs="Times New Roman"/>
                <w:b/>
                <w:sz w:val="20"/>
                <w:szCs w:val="20"/>
                <w:highlight w:val="white"/>
              </w:rPr>
              <w:t xml:space="preserve">Комитет </w:t>
            </w:r>
          </w:p>
          <w:p w:rsidR="00D602D4" w:rsidRDefault="000B4C86">
            <w:pPr>
              <w:jc w:val="center"/>
              <w:rPr>
                <w:rFonts w:ascii="Times New Roman" w:eastAsia="TimesNewRomanPSMT" w:hAnsi="Times New Roman" w:cs="Times New Roman"/>
                <w:b/>
                <w:sz w:val="20"/>
                <w:szCs w:val="20"/>
                <w:highlight w:val="white"/>
              </w:rPr>
            </w:pPr>
            <w:r>
              <w:rPr>
                <w:rFonts w:ascii="Times New Roman" w:eastAsia="TimesNewRomanPSMT" w:hAnsi="Times New Roman" w:cs="Times New Roman"/>
                <w:b/>
                <w:sz w:val="20"/>
                <w:szCs w:val="20"/>
                <w:highlight w:val="white"/>
              </w:rPr>
              <w:t>по кадрам и вознаграждениям</w:t>
            </w:r>
          </w:p>
        </w:tc>
        <w:tc>
          <w:tcPr>
            <w:tcW w:w="1448"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b/>
                <w:sz w:val="20"/>
                <w:szCs w:val="20"/>
                <w:highlight w:val="white"/>
              </w:rPr>
            </w:pPr>
            <w:r>
              <w:rPr>
                <w:rFonts w:ascii="Times New Roman" w:eastAsia="TimesNewRomanPSMT" w:hAnsi="Times New Roman" w:cs="Times New Roman"/>
                <w:b/>
                <w:sz w:val="20"/>
                <w:szCs w:val="20"/>
                <w:highlight w:val="white"/>
              </w:rPr>
              <w:t>Комитет по надежности</w:t>
            </w:r>
          </w:p>
        </w:tc>
        <w:tc>
          <w:tcPr>
            <w:tcW w:w="18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b/>
                <w:sz w:val="20"/>
                <w:szCs w:val="20"/>
                <w:highlight w:val="white"/>
              </w:rPr>
            </w:pPr>
            <w:r>
              <w:rPr>
                <w:rFonts w:ascii="Times New Roman" w:eastAsia="TimesNewRomanPSMT" w:hAnsi="Times New Roman" w:cs="Times New Roman"/>
                <w:b/>
                <w:sz w:val="20"/>
                <w:szCs w:val="20"/>
                <w:highlight w:val="white"/>
              </w:rPr>
              <w:t>Комитет по технологическому присоединению к электрическим сетям</w:t>
            </w:r>
          </w:p>
        </w:tc>
      </w:tr>
      <w:tr w:rsidR="00D602D4">
        <w:trPr>
          <w:trHeight w:val="242"/>
          <w:jc w:val="center"/>
        </w:trPr>
        <w:tc>
          <w:tcPr>
            <w:tcW w:w="1838" w:type="dxa"/>
            <w:tcBorders>
              <w:top w:val="single" w:sz="4" w:space="0" w:color="000000"/>
              <w:left w:val="single" w:sz="4" w:space="0" w:color="000000"/>
              <w:bottom w:val="single" w:sz="4" w:space="0" w:color="000000"/>
              <w:right w:val="single" w:sz="4" w:space="0" w:color="000000"/>
            </w:tcBorders>
            <w:vAlign w:val="center"/>
          </w:tcPr>
          <w:p w:rsidR="00D602D4" w:rsidRDefault="000B4C86">
            <w:pPr>
              <w:rPr>
                <w:rFonts w:ascii="Times New Roman" w:eastAsia="TimesNewRomanPSMT" w:hAnsi="Times New Roman" w:cs="Times New Roman"/>
                <w:sz w:val="20"/>
                <w:szCs w:val="20"/>
                <w:highlight w:val="white"/>
              </w:rPr>
            </w:pPr>
            <w:r>
              <w:rPr>
                <w:rFonts w:ascii="Times New Roman" w:eastAsia="TimesNewRomanPSMT" w:hAnsi="Times New Roman" w:cs="Times New Roman"/>
                <w:sz w:val="20"/>
                <w:szCs w:val="20"/>
                <w:highlight w:val="white"/>
              </w:rPr>
              <w:t>ЗА, %</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highlight w:val="white"/>
              </w:rPr>
            </w:pPr>
            <w:r>
              <w:rPr>
                <w:rFonts w:ascii="Times New Roman" w:eastAsia="TimesNewRomanPSMT" w:hAnsi="Times New Roman" w:cs="Times New Roman"/>
                <w:sz w:val="20"/>
                <w:szCs w:val="20"/>
              </w:rPr>
              <w:t>37</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100</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91</w:t>
            </w:r>
          </w:p>
        </w:tc>
        <w:tc>
          <w:tcPr>
            <w:tcW w:w="1448"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92</w:t>
            </w:r>
          </w:p>
        </w:tc>
        <w:tc>
          <w:tcPr>
            <w:tcW w:w="18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88</w:t>
            </w:r>
          </w:p>
        </w:tc>
      </w:tr>
      <w:tr w:rsidR="00D602D4">
        <w:trPr>
          <w:trHeight w:val="170"/>
          <w:jc w:val="center"/>
        </w:trPr>
        <w:tc>
          <w:tcPr>
            <w:tcW w:w="1838" w:type="dxa"/>
            <w:tcBorders>
              <w:top w:val="single" w:sz="4" w:space="0" w:color="000000"/>
              <w:left w:val="single" w:sz="4" w:space="0" w:color="000000"/>
              <w:bottom w:val="single" w:sz="4" w:space="0" w:color="000000"/>
              <w:right w:val="single" w:sz="4" w:space="0" w:color="000000"/>
            </w:tcBorders>
            <w:vAlign w:val="center"/>
          </w:tcPr>
          <w:p w:rsidR="00D602D4" w:rsidRDefault="000B4C86">
            <w:pPr>
              <w:rPr>
                <w:rFonts w:ascii="Times New Roman" w:eastAsia="TimesNewRomanPSMT" w:hAnsi="Times New Roman" w:cs="Times New Roman"/>
                <w:sz w:val="20"/>
                <w:szCs w:val="20"/>
                <w:highlight w:val="white"/>
              </w:rPr>
            </w:pPr>
            <w:r>
              <w:rPr>
                <w:rFonts w:ascii="Times New Roman" w:eastAsia="TimesNewRomanPSMT" w:hAnsi="Times New Roman" w:cs="Times New Roman"/>
                <w:sz w:val="20"/>
                <w:szCs w:val="20"/>
                <w:highlight w:val="white"/>
              </w:rPr>
              <w:t>Против, %</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highlight w:val="white"/>
              </w:rPr>
            </w:pPr>
            <w:r>
              <w:rPr>
                <w:rFonts w:ascii="Times New Roman" w:eastAsia="TimesNewRomanPSMT" w:hAnsi="Times New Roman" w:cs="Times New Roman"/>
                <w:sz w:val="20"/>
                <w:szCs w:val="20"/>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w:t>
            </w:r>
          </w:p>
        </w:tc>
        <w:tc>
          <w:tcPr>
            <w:tcW w:w="1448"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w:t>
            </w:r>
          </w:p>
        </w:tc>
        <w:tc>
          <w:tcPr>
            <w:tcW w:w="18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w:t>
            </w:r>
          </w:p>
        </w:tc>
      </w:tr>
      <w:tr w:rsidR="00D602D4">
        <w:trPr>
          <w:trHeight w:val="170"/>
          <w:jc w:val="center"/>
        </w:trPr>
        <w:tc>
          <w:tcPr>
            <w:tcW w:w="1838" w:type="dxa"/>
            <w:tcBorders>
              <w:top w:val="single" w:sz="4" w:space="0" w:color="000000"/>
              <w:left w:val="single" w:sz="4" w:space="0" w:color="000000"/>
              <w:bottom w:val="single" w:sz="4" w:space="0" w:color="000000"/>
              <w:right w:val="single" w:sz="4" w:space="0" w:color="000000"/>
            </w:tcBorders>
            <w:vAlign w:val="center"/>
          </w:tcPr>
          <w:p w:rsidR="00D602D4" w:rsidRDefault="000B4C86">
            <w:pPr>
              <w:rPr>
                <w:rFonts w:ascii="Times New Roman" w:eastAsia="TimesNewRomanPSMT" w:hAnsi="Times New Roman" w:cs="Times New Roman"/>
                <w:sz w:val="20"/>
                <w:szCs w:val="20"/>
                <w:highlight w:val="white"/>
              </w:rPr>
            </w:pPr>
            <w:r>
              <w:rPr>
                <w:rFonts w:ascii="Times New Roman" w:eastAsia="TimesNewRomanPSMT" w:hAnsi="Times New Roman" w:cs="Times New Roman"/>
                <w:sz w:val="20"/>
                <w:szCs w:val="20"/>
                <w:highlight w:val="white"/>
              </w:rPr>
              <w:t xml:space="preserve">Воздержался, % </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highlight w:val="white"/>
              </w:rPr>
            </w:pPr>
            <w:r>
              <w:rPr>
                <w:rFonts w:ascii="Times New Roman" w:eastAsia="TimesNewRomanPSMT" w:hAnsi="Times New Roman" w:cs="Times New Roman"/>
                <w:sz w:val="20"/>
                <w:szCs w:val="20"/>
              </w:rPr>
              <w:t>57</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9</w:t>
            </w:r>
          </w:p>
        </w:tc>
        <w:tc>
          <w:tcPr>
            <w:tcW w:w="1448"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8</w:t>
            </w:r>
          </w:p>
        </w:tc>
        <w:tc>
          <w:tcPr>
            <w:tcW w:w="18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NewRomanPSMT" w:hAnsi="Times New Roman" w:cs="Times New Roman"/>
                <w:sz w:val="20"/>
                <w:szCs w:val="20"/>
              </w:rPr>
            </w:pPr>
            <w:r>
              <w:rPr>
                <w:rFonts w:ascii="Times New Roman" w:eastAsia="TimesNewRomanPSMT" w:hAnsi="Times New Roman" w:cs="Times New Roman"/>
                <w:sz w:val="20"/>
                <w:szCs w:val="20"/>
              </w:rPr>
              <w:t>12</w:t>
            </w:r>
          </w:p>
        </w:tc>
      </w:tr>
    </w:tbl>
    <w:p w:rsidR="00D602D4" w:rsidRDefault="00D602D4">
      <w:pPr>
        <w:spacing w:after="0" w:line="240" w:lineRule="auto"/>
        <w:ind w:firstLine="709"/>
        <w:jc w:val="right"/>
        <w:rPr>
          <w:rFonts w:ascii="Times New Roman" w:eastAsia="TimesNewRomanPSMT" w:hAnsi="Times New Roman" w:cs="Times New Roman"/>
          <w:sz w:val="24"/>
          <w:szCs w:val="24"/>
        </w:rPr>
      </w:pPr>
    </w:p>
    <w:p w:rsidR="00D602D4" w:rsidRDefault="000B4C86">
      <w:pPr>
        <w:spacing w:after="0" w:line="240" w:lineRule="auto"/>
        <w:ind w:firstLine="709"/>
        <w:jc w:val="right"/>
        <w:rPr>
          <w:rFonts w:ascii="Times New Roman" w:eastAsia="TimesNewRomanPSMT" w:hAnsi="Times New Roman" w:cs="Times New Roman"/>
          <w:sz w:val="24"/>
          <w:szCs w:val="24"/>
        </w:rPr>
      </w:pPr>
      <w:r>
        <w:rPr>
          <w:rFonts w:ascii="Times New Roman" w:eastAsia="TimesNewRomanPSMT" w:hAnsi="Times New Roman" w:cs="Times New Roman"/>
          <w:sz w:val="24"/>
          <w:szCs w:val="24"/>
          <w:highlight w:val="white"/>
        </w:rPr>
        <w:t>Таблица 7</w:t>
      </w:r>
      <w:r>
        <w:rPr>
          <w:rFonts w:ascii="Times New Roman" w:eastAsia="TimesNewRomanPSMT" w:hAnsi="Times New Roman" w:cs="Times New Roman"/>
          <w:sz w:val="24"/>
          <w:szCs w:val="24"/>
        </w:rPr>
        <w:t>9</w:t>
      </w:r>
    </w:p>
    <w:p w:rsidR="00D602D4" w:rsidRDefault="000B4C86">
      <w:pPr>
        <w:widowControl w:val="0"/>
        <w:tabs>
          <w:tab w:val="left" w:pos="0"/>
        </w:tabs>
        <w:spacing w:after="0" w:line="240" w:lineRule="auto"/>
        <w:ind w:firstLine="709"/>
        <w:jc w:val="center"/>
        <w:rPr>
          <w:rFonts w:ascii="Times New Roman" w:eastAsia="TimesNewRomanPSMT" w:hAnsi="Times New Roman" w:cs="Times New Roman"/>
          <w:sz w:val="24"/>
          <w:szCs w:val="24"/>
        </w:rPr>
      </w:pPr>
      <w:r>
        <w:rPr>
          <w:rFonts w:ascii="Times New Roman" w:eastAsia="Times New Roman" w:hAnsi="Times New Roman" w:cs="Times New Roman"/>
          <w:b/>
          <w:color w:val="000000"/>
          <w:sz w:val="24"/>
          <w:szCs w:val="24"/>
        </w:rPr>
        <w:t>Статистика работы Комитетов в 2022-2024 годах</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1"/>
        <w:gridCol w:w="567"/>
        <w:gridCol w:w="993"/>
        <w:gridCol w:w="992"/>
        <w:gridCol w:w="1134"/>
        <w:gridCol w:w="1134"/>
      </w:tblGrid>
      <w:tr w:rsidR="00D602D4">
        <w:trPr>
          <w:cantSplit/>
          <w:trHeight w:val="402"/>
          <w:jc w:val="center"/>
        </w:trPr>
        <w:tc>
          <w:tcPr>
            <w:tcW w:w="4531" w:type="dxa"/>
            <w:vMerge w:val="restart"/>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Показатели</w:t>
            </w:r>
          </w:p>
        </w:tc>
        <w:tc>
          <w:tcPr>
            <w:tcW w:w="567" w:type="dxa"/>
            <w:vMerge w:val="restart"/>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 Ед.</w:t>
            </w:r>
          </w:p>
          <w:p w:rsidR="00D602D4" w:rsidRDefault="000B4C86">
            <w:pPr>
              <w:widowControl w:val="0"/>
              <w:tabs>
                <w:tab w:val="left" w:pos="34"/>
              </w:tabs>
              <w:spacing w:after="0" w:line="240" w:lineRule="auto"/>
              <w:ind w:right="-143"/>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 изм.</w:t>
            </w:r>
          </w:p>
        </w:tc>
        <w:tc>
          <w:tcPr>
            <w:tcW w:w="4253" w:type="dxa"/>
            <w:gridSpan w:val="4"/>
            <w:vAlign w:val="center"/>
          </w:tcPr>
          <w:p w:rsidR="00D602D4" w:rsidRDefault="000B4C86">
            <w:pPr>
              <w:widowControl w:val="0"/>
              <w:spacing w:after="0" w:line="240" w:lineRule="auto"/>
              <w:ind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Период</w:t>
            </w:r>
          </w:p>
        </w:tc>
      </w:tr>
      <w:tr w:rsidR="00D602D4">
        <w:trPr>
          <w:cantSplit/>
          <w:jc w:val="center"/>
        </w:trPr>
        <w:tc>
          <w:tcPr>
            <w:tcW w:w="4531" w:type="dxa"/>
            <w:vMerge/>
            <w:vAlign w:val="center"/>
          </w:tcPr>
          <w:p w:rsidR="00D602D4" w:rsidRDefault="00D602D4">
            <w:pPr>
              <w:widowControl w:val="0"/>
              <w:spacing w:after="0" w:line="240" w:lineRule="auto"/>
              <w:jc w:val="center"/>
              <w:rPr>
                <w:rFonts w:ascii="Times New Roman" w:eastAsia="Times New Roman" w:hAnsi="Times New Roman" w:cs="Times New Roman"/>
                <w:b/>
                <w:bCs/>
                <w:color w:val="000000"/>
                <w:sz w:val="18"/>
                <w:szCs w:val="18"/>
                <w:lang w:eastAsia="ru-RU"/>
              </w:rPr>
            </w:pPr>
          </w:p>
        </w:tc>
        <w:tc>
          <w:tcPr>
            <w:tcW w:w="567" w:type="dxa"/>
            <w:vMerge/>
            <w:vAlign w:val="center"/>
          </w:tcPr>
          <w:p w:rsidR="00D602D4" w:rsidRDefault="00D602D4">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p>
        </w:tc>
        <w:tc>
          <w:tcPr>
            <w:tcW w:w="993" w:type="dxa"/>
            <w:vAlign w:val="center"/>
          </w:tcPr>
          <w:p w:rsidR="00D602D4" w:rsidRDefault="000B4C86">
            <w:pPr>
              <w:widowControl w:val="0"/>
              <w:tabs>
                <w:tab w:val="left" w:pos="179"/>
              </w:tabs>
              <w:spacing w:after="0" w:line="240" w:lineRule="auto"/>
              <w:ind w:left="-105" w:right="-11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2022 </w:t>
            </w:r>
          </w:p>
          <w:p w:rsidR="00D602D4" w:rsidRDefault="000B4C86">
            <w:pPr>
              <w:widowControl w:val="0"/>
              <w:tabs>
                <w:tab w:val="left" w:pos="179"/>
              </w:tabs>
              <w:spacing w:after="0" w:line="240" w:lineRule="auto"/>
              <w:ind w:left="-105" w:right="-11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год</w:t>
            </w:r>
          </w:p>
        </w:tc>
        <w:tc>
          <w:tcPr>
            <w:tcW w:w="992" w:type="dxa"/>
            <w:shd w:val="clear" w:color="FFFFFF" w:fill="FFFFFF"/>
            <w:vAlign w:val="center"/>
          </w:tcPr>
          <w:p w:rsidR="00D602D4" w:rsidRDefault="000B4C86">
            <w:pPr>
              <w:widowControl w:val="0"/>
              <w:tabs>
                <w:tab w:val="left" w:pos="179"/>
              </w:tabs>
              <w:spacing w:after="0" w:line="240" w:lineRule="auto"/>
              <w:ind w:left="-105" w:right="-11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2023 </w:t>
            </w:r>
          </w:p>
          <w:p w:rsidR="00D602D4" w:rsidRDefault="000B4C86">
            <w:pPr>
              <w:widowControl w:val="0"/>
              <w:tabs>
                <w:tab w:val="left" w:pos="179"/>
              </w:tabs>
              <w:spacing w:after="0" w:line="240" w:lineRule="auto"/>
              <w:ind w:left="-105" w:right="-11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год</w:t>
            </w:r>
          </w:p>
        </w:tc>
        <w:tc>
          <w:tcPr>
            <w:tcW w:w="1134" w:type="dxa"/>
            <w:vAlign w:val="center"/>
          </w:tcPr>
          <w:p w:rsidR="00D602D4" w:rsidRDefault="000B4C86">
            <w:pPr>
              <w:widowControl w:val="0"/>
              <w:tabs>
                <w:tab w:val="left" w:pos="179"/>
              </w:tabs>
              <w:spacing w:after="0" w:line="240" w:lineRule="auto"/>
              <w:ind w:left="-105" w:right="-11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2024 </w:t>
            </w:r>
          </w:p>
          <w:p w:rsidR="00D602D4" w:rsidRDefault="000B4C86">
            <w:pPr>
              <w:widowControl w:val="0"/>
              <w:tabs>
                <w:tab w:val="left" w:pos="179"/>
              </w:tabs>
              <w:spacing w:after="0" w:line="240" w:lineRule="auto"/>
              <w:ind w:left="-105" w:right="-110"/>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год</w:t>
            </w:r>
          </w:p>
        </w:tc>
        <w:tc>
          <w:tcPr>
            <w:tcW w:w="1134" w:type="dxa"/>
            <w:vAlign w:val="center"/>
          </w:tcPr>
          <w:p w:rsidR="00D602D4" w:rsidRDefault="000B4C86">
            <w:pPr>
              <w:widowControl w:val="0"/>
              <w:tabs>
                <w:tab w:val="left" w:pos="179"/>
                <w:tab w:val="left" w:pos="751"/>
              </w:tabs>
              <w:spacing w:after="0" w:line="240" w:lineRule="auto"/>
              <w:ind w:left="-105" w:right="-110"/>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изменение</w:t>
            </w:r>
          </w:p>
          <w:p w:rsidR="00D602D4" w:rsidRDefault="000B4C86">
            <w:pPr>
              <w:widowControl w:val="0"/>
              <w:tabs>
                <w:tab w:val="left" w:pos="179"/>
              </w:tabs>
              <w:spacing w:after="0" w:line="240" w:lineRule="auto"/>
              <w:ind w:left="-105" w:right="-110"/>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2024/2023, %</w:t>
            </w:r>
          </w:p>
        </w:tc>
      </w:tr>
      <w:tr w:rsidR="00D602D4">
        <w:trPr>
          <w:cantSplit/>
          <w:trHeight w:val="58"/>
          <w:jc w:val="center"/>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NewRomanPSMT" w:hAnsi="Times New Roman" w:cs="Times New Roman"/>
                <w:sz w:val="20"/>
                <w:szCs w:val="20"/>
              </w:rPr>
              <w:t>Комитет по стратегии (очные заседания /заочные заседания)</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2/15</w:t>
            </w:r>
          </w:p>
        </w:tc>
        <w:tc>
          <w:tcPr>
            <w:tcW w:w="992" w:type="dxa"/>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eastAsia="ru-RU"/>
              </w:rPr>
              <w:t>0</w:t>
            </w:r>
            <w:r>
              <w:rPr>
                <w:rFonts w:ascii="Times New Roman" w:eastAsia="Times New Roman" w:hAnsi="Times New Roman" w:cs="Times New Roman"/>
                <w:color w:val="000000"/>
                <w:sz w:val="20"/>
                <w:szCs w:val="20"/>
                <w:lang w:eastAsia="ru-RU"/>
              </w:rPr>
              <w:t>/12</w:t>
            </w:r>
          </w:p>
        </w:tc>
        <w:tc>
          <w:tcPr>
            <w:tcW w:w="1134" w:type="dxa"/>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eastAsia="ru-RU"/>
              </w:rPr>
              <w:t>0/12</w:t>
            </w:r>
          </w:p>
        </w:tc>
        <w:tc>
          <w:tcPr>
            <w:tcW w:w="1134" w:type="dxa"/>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eastAsia="ru-RU"/>
              </w:rPr>
              <w:t>0/0</w:t>
            </w:r>
          </w:p>
        </w:tc>
      </w:tr>
      <w:tr w:rsidR="00D602D4">
        <w:trPr>
          <w:cantSplit/>
          <w:trHeight w:val="58"/>
          <w:jc w:val="center"/>
        </w:trPr>
        <w:tc>
          <w:tcPr>
            <w:tcW w:w="4531" w:type="dxa"/>
            <w:vAlign w:val="center"/>
          </w:tcPr>
          <w:p w:rsidR="00D602D4" w:rsidRDefault="000B4C86">
            <w:pPr>
              <w:spacing w:after="0" w:line="240" w:lineRule="auto"/>
              <w:rPr>
                <w:rFonts w:ascii="Times New Roman" w:eastAsia="TimesNewRomanPSMT" w:hAnsi="Times New Roman" w:cs="Times New Roman"/>
                <w:sz w:val="20"/>
                <w:szCs w:val="20"/>
              </w:rPr>
            </w:pPr>
            <w:r>
              <w:rPr>
                <w:rFonts w:ascii="Times New Roman" w:eastAsia="TimesNewRomanPSMT" w:hAnsi="Times New Roman" w:cs="Times New Roman"/>
                <w:sz w:val="20"/>
                <w:szCs w:val="20"/>
              </w:rPr>
              <w:t>Комитет по аудиту (очные заседания /заочные заседания)</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4/11</w:t>
            </w:r>
          </w:p>
        </w:tc>
        <w:tc>
          <w:tcPr>
            <w:tcW w:w="992" w:type="dxa"/>
            <w:vAlign w:val="center"/>
          </w:tcPr>
          <w:p w:rsidR="00D602D4" w:rsidRDefault="000B4C86">
            <w:pPr>
              <w:widowControl w:val="0"/>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8/10</w:t>
            </w:r>
          </w:p>
        </w:tc>
        <w:tc>
          <w:tcPr>
            <w:tcW w:w="1134" w:type="dxa"/>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eastAsia="ru-RU"/>
              </w:rPr>
              <w:t>5/</w:t>
            </w:r>
            <w:r>
              <w:rPr>
                <w:rFonts w:ascii="Times New Roman" w:eastAsia="Times New Roman" w:hAnsi="Times New Roman" w:cs="Times New Roman"/>
                <w:color w:val="000000"/>
                <w:sz w:val="20"/>
                <w:szCs w:val="20"/>
              </w:rPr>
              <w:t>9</w:t>
            </w:r>
          </w:p>
        </w:tc>
        <w:tc>
          <w:tcPr>
            <w:tcW w:w="1134" w:type="dxa"/>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eastAsia="ru-RU"/>
              </w:rPr>
              <w:t>-38/-10</w:t>
            </w:r>
          </w:p>
        </w:tc>
      </w:tr>
      <w:tr w:rsidR="00D602D4">
        <w:trPr>
          <w:cantSplit/>
          <w:trHeight w:val="58"/>
          <w:jc w:val="center"/>
        </w:trPr>
        <w:tc>
          <w:tcPr>
            <w:tcW w:w="4531" w:type="dxa"/>
            <w:vAlign w:val="center"/>
          </w:tcPr>
          <w:p w:rsidR="00D602D4" w:rsidRDefault="000B4C86">
            <w:pPr>
              <w:spacing w:after="0" w:line="240" w:lineRule="auto"/>
              <w:rPr>
                <w:rFonts w:ascii="Times New Roman" w:eastAsia="TimesNewRomanPSMT" w:hAnsi="Times New Roman" w:cs="Times New Roman"/>
                <w:sz w:val="20"/>
                <w:szCs w:val="20"/>
              </w:rPr>
            </w:pPr>
            <w:r>
              <w:rPr>
                <w:rFonts w:ascii="Times New Roman" w:eastAsia="TimesNewRomanPSMT" w:hAnsi="Times New Roman" w:cs="Times New Roman"/>
                <w:sz w:val="20"/>
                <w:szCs w:val="20"/>
              </w:rPr>
              <w:t>Комитет по кадрам и вознаграждениям (очные заседания /заочные заседания)</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0/11</w:t>
            </w:r>
          </w:p>
        </w:tc>
        <w:tc>
          <w:tcPr>
            <w:tcW w:w="992" w:type="dxa"/>
            <w:vAlign w:val="center"/>
          </w:tcPr>
          <w:p w:rsidR="00D602D4" w:rsidRDefault="000B4C86">
            <w:pPr>
              <w:widowControl w:val="0"/>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0/11</w:t>
            </w:r>
          </w:p>
        </w:tc>
        <w:tc>
          <w:tcPr>
            <w:tcW w:w="1134" w:type="dxa"/>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eastAsia="ru-RU"/>
              </w:rPr>
              <w:t>0/9</w:t>
            </w:r>
          </w:p>
        </w:tc>
        <w:tc>
          <w:tcPr>
            <w:tcW w:w="1134" w:type="dxa"/>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eastAsia="ru-RU"/>
              </w:rPr>
              <w:t>0/-18</w:t>
            </w:r>
          </w:p>
        </w:tc>
      </w:tr>
      <w:tr w:rsidR="00D602D4">
        <w:trPr>
          <w:cantSplit/>
          <w:trHeight w:val="58"/>
          <w:jc w:val="center"/>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NewRomanPSMT" w:hAnsi="Times New Roman" w:cs="Times New Roman"/>
                <w:sz w:val="20"/>
                <w:szCs w:val="20"/>
              </w:rPr>
              <w:t>Комитет по надежности (очные заседания /заочные заседания)</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0/7</w:t>
            </w:r>
          </w:p>
        </w:tc>
        <w:tc>
          <w:tcPr>
            <w:tcW w:w="992" w:type="dxa"/>
            <w:vAlign w:val="center"/>
          </w:tcPr>
          <w:p w:rsidR="00D602D4" w:rsidRDefault="000B4C86">
            <w:pPr>
              <w:widowControl w:val="0"/>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0/5</w:t>
            </w:r>
          </w:p>
        </w:tc>
        <w:tc>
          <w:tcPr>
            <w:tcW w:w="1134" w:type="dxa"/>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eastAsia="ru-RU"/>
              </w:rPr>
              <w:t>0/9</w:t>
            </w:r>
          </w:p>
        </w:tc>
        <w:tc>
          <w:tcPr>
            <w:tcW w:w="1134" w:type="dxa"/>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eastAsia="ru-RU"/>
              </w:rPr>
              <w:t>0/</w:t>
            </w:r>
            <w:r>
              <w:rPr>
                <w:rFonts w:ascii="Times New Roman" w:eastAsia="Times New Roman" w:hAnsi="Times New Roman" w:cs="Times New Roman"/>
                <w:color w:val="000000"/>
                <w:sz w:val="20"/>
                <w:szCs w:val="20"/>
              </w:rPr>
              <w:t>80</w:t>
            </w:r>
          </w:p>
        </w:tc>
      </w:tr>
      <w:tr w:rsidR="00D602D4">
        <w:trPr>
          <w:cantSplit/>
          <w:trHeight w:val="58"/>
          <w:jc w:val="center"/>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NewRomanPSMT" w:hAnsi="Times New Roman" w:cs="Times New Roman"/>
                <w:sz w:val="20"/>
                <w:szCs w:val="20"/>
              </w:rPr>
              <w:t>Комитет по технологическому присоединению к электрическим сетям (очные заседания /заочные заседания)</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0/5</w:t>
            </w:r>
          </w:p>
        </w:tc>
        <w:tc>
          <w:tcPr>
            <w:tcW w:w="992" w:type="dxa"/>
            <w:vAlign w:val="center"/>
          </w:tcPr>
          <w:p w:rsidR="00D602D4" w:rsidRDefault="000B4C86">
            <w:pPr>
              <w:widowControl w:val="0"/>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1/4</w:t>
            </w:r>
          </w:p>
        </w:tc>
        <w:tc>
          <w:tcPr>
            <w:tcW w:w="1134" w:type="dxa"/>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eastAsia="ru-RU"/>
              </w:rPr>
              <w:t>0/5</w:t>
            </w:r>
          </w:p>
        </w:tc>
        <w:tc>
          <w:tcPr>
            <w:tcW w:w="1134" w:type="dxa"/>
            <w:vAlign w:val="center"/>
          </w:tcPr>
          <w:p w:rsidR="00D602D4" w:rsidRDefault="000B4C86">
            <w:pPr>
              <w:tabs>
                <w:tab w:val="left" w:pos="179"/>
              </w:tabs>
              <w:spacing w:after="0" w:line="240" w:lineRule="auto"/>
              <w:ind w:left="-105" w:right="-11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en-US" w:eastAsia="ru-RU"/>
              </w:rPr>
              <w:t>0/</w:t>
            </w:r>
            <w:r>
              <w:rPr>
                <w:rFonts w:ascii="Times New Roman" w:eastAsia="Times New Roman" w:hAnsi="Times New Roman" w:cs="Times New Roman"/>
                <w:color w:val="000000"/>
                <w:sz w:val="20"/>
                <w:szCs w:val="20"/>
              </w:rPr>
              <w:t>25</w:t>
            </w:r>
          </w:p>
        </w:tc>
      </w:tr>
    </w:tbl>
    <w:p w:rsidR="00D602D4" w:rsidRDefault="00D602D4">
      <w:pPr>
        <w:spacing w:after="0" w:line="240" w:lineRule="auto"/>
        <w:rPr>
          <w:rFonts w:ascii="Times New Roman" w:eastAsia="TimesNewRomanPSMT" w:hAnsi="Times New Roman" w:cs="Times New Roman"/>
          <w:sz w:val="24"/>
          <w:szCs w:val="24"/>
        </w:rPr>
      </w:pPr>
    </w:p>
    <w:p w:rsidR="00D602D4" w:rsidRDefault="00D602D4">
      <w:pPr>
        <w:spacing w:after="0" w:line="240" w:lineRule="auto"/>
        <w:jc w:val="right"/>
        <w:rPr>
          <w:rFonts w:ascii="Times New Roman" w:eastAsia="TimesNewRomanPSMT" w:hAnsi="Times New Roman" w:cs="Times New Roman"/>
          <w:sz w:val="24"/>
          <w:szCs w:val="24"/>
        </w:rPr>
      </w:pPr>
    </w:p>
    <w:p w:rsidR="00D602D4" w:rsidRDefault="000B4C86">
      <w:pPr>
        <w:spacing w:after="0" w:line="240" w:lineRule="auto"/>
        <w:jc w:val="right"/>
        <w:rPr>
          <w:rFonts w:ascii="Times New Roman" w:eastAsia="TimesNewRomanPSMT" w:hAnsi="Times New Roman" w:cs="Times New Roman"/>
          <w:sz w:val="24"/>
          <w:szCs w:val="24"/>
        </w:rPr>
      </w:pPr>
      <w:r>
        <w:rPr>
          <w:rFonts w:ascii="Times New Roman" w:eastAsia="TimesNewRomanPSMT" w:hAnsi="Times New Roman" w:cs="Times New Roman"/>
          <w:sz w:val="24"/>
          <w:szCs w:val="24"/>
          <w:highlight w:val="white"/>
        </w:rPr>
        <w:t xml:space="preserve">Таблица </w:t>
      </w:r>
      <w:r>
        <w:rPr>
          <w:rFonts w:ascii="Times New Roman" w:eastAsia="TimesNewRomanPSMT" w:hAnsi="Times New Roman" w:cs="Times New Roman"/>
          <w:sz w:val="24"/>
          <w:szCs w:val="24"/>
        </w:rPr>
        <w:t>80</w:t>
      </w:r>
    </w:p>
    <w:p w:rsidR="00D602D4" w:rsidRDefault="000B4C86">
      <w:pPr>
        <w:spacing w:after="0" w:line="240" w:lineRule="auto"/>
        <w:jc w:val="center"/>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Информация по количеству рассмотренных Комитетами вопросов в 2022-2024 годах</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1"/>
        <w:gridCol w:w="567"/>
        <w:gridCol w:w="993"/>
        <w:gridCol w:w="992"/>
        <w:gridCol w:w="1134"/>
        <w:gridCol w:w="1135"/>
      </w:tblGrid>
      <w:tr w:rsidR="00D602D4">
        <w:trPr>
          <w:cantSplit/>
          <w:trHeight w:val="385"/>
          <w:jc w:val="center"/>
        </w:trPr>
        <w:tc>
          <w:tcPr>
            <w:tcW w:w="4531" w:type="dxa"/>
            <w:vMerge w:val="restart"/>
            <w:vAlign w:val="center"/>
          </w:tcPr>
          <w:p w:rsidR="00D602D4" w:rsidRDefault="000B4C86">
            <w:pPr>
              <w:widowControl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Показатели</w:t>
            </w:r>
          </w:p>
        </w:tc>
        <w:tc>
          <w:tcPr>
            <w:tcW w:w="567" w:type="dxa"/>
            <w:vMerge w:val="restart"/>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 Ед.</w:t>
            </w:r>
          </w:p>
          <w:p w:rsidR="00D602D4" w:rsidRDefault="000B4C86">
            <w:pPr>
              <w:widowControl w:val="0"/>
              <w:tabs>
                <w:tab w:val="left" w:pos="34"/>
              </w:tabs>
              <w:spacing w:after="0" w:line="240" w:lineRule="auto"/>
              <w:ind w:right="-143"/>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 изм.</w:t>
            </w:r>
          </w:p>
        </w:tc>
        <w:tc>
          <w:tcPr>
            <w:tcW w:w="4254" w:type="dxa"/>
            <w:gridSpan w:val="4"/>
            <w:vAlign w:val="center"/>
          </w:tcPr>
          <w:p w:rsidR="00D602D4" w:rsidRDefault="000B4C86">
            <w:pPr>
              <w:widowControl w:val="0"/>
              <w:spacing w:after="0" w:line="240" w:lineRule="auto"/>
              <w:ind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Период</w:t>
            </w:r>
          </w:p>
        </w:tc>
      </w:tr>
      <w:tr w:rsidR="00D602D4">
        <w:trPr>
          <w:cantSplit/>
          <w:jc w:val="center"/>
        </w:trPr>
        <w:tc>
          <w:tcPr>
            <w:tcW w:w="4531" w:type="dxa"/>
            <w:vMerge/>
            <w:vAlign w:val="center"/>
          </w:tcPr>
          <w:p w:rsidR="00D602D4" w:rsidRDefault="00D602D4">
            <w:pPr>
              <w:widowControl w:val="0"/>
              <w:spacing w:after="0" w:line="240" w:lineRule="auto"/>
              <w:jc w:val="center"/>
              <w:rPr>
                <w:rFonts w:ascii="Times New Roman" w:eastAsia="Times New Roman" w:hAnsi="Times New Roman" w:cs="Times New Roman"/>
                <w:b/>
                <w:bCs/>
                <w:color w:val="000000"/>
                <w:sz w:val="18"/>
                <w:szCs w:val="18"/>
                <w:lang w:eastAsia="ru-RU"/>
              </w:rPr>
            </w:pPr>
          </w:p>
        </w:tc>
        <w:tc>
          <w:tcPr>
            <w:tcW w:w="567" w:type="dxa"/>
            <w:vMerge/>
            <w:vAlign w:val="center"/>
          </w:tcPr>
          <w:p w:rsidR="00D602D4" w:rsidRDefault="00D602D4">
            <w:pPr>
              <w:widowControl w:val="0"/>
              <w:tabs>
                <w:tab w:val="left" w:pos="34"/>
              </w:tabs>
              <w:spacing w:after="0" w:line="240" w:lineRule="auto"/>
              <w:ind w:right="-143"/>
              <w:rPr>
                <w:rFonts w:ascii="Times New Roman" w:eastAsia="Times New Roman" w:hAnsi="Times New Roman" w:cs="Times New Roman"/>
                <w:b/>
                <w:bCs/>
                <w:color w:val="000000"/>
                <w:sz w:val="18"/>
                <w:szCs w:val="18"/>
                <w:lang w:eastAsia="ru-RU"/>
              </w:rPr>
            </w:pPr>
          </w:p>
        </w:tc>
        <w:tc>
          <w:tcPr>
            <w:tcW w:w="993" w:type="dxa"/>
            <w:vAlign w:val="center"/>
          </w:tcPr>
          <w:p w:rsidR="00D602D4" w:rsidRDefault="000B4C86">
            <w:pPr>
              <w:widowControl w:val="0"/>
              <w:spacing w:after="0" w:line="240" w:lineRule="auto"/>
              <w:ind w:left="-105"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2022</w:t>
            </w:r>
          </w:p>
          <w:p w:rsidR="00D602D4" w:rsidRDefault="000B4C86">
            <w:pPr>
              <w:widowControl w:val="0"/>
              <w:spacing w:after="0" w:line="240" w:lineRule="auto"/>
              <w:ind w:left="-105"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год</w:t>
            </w:r>
          </w:p>
        </w:tc>
        <w:tc>
          <w:tcPr>
            <w:tcW w:w="992" w:type="dxa"/>
            <w:shd w:val="clear" w:color="FFFFFF" w:fill="FFFFFF"/>
            <w:vAlign w:val="center"/>
          </w:tcPr>
          <w:p w:rsidR="00D602D4" w:rsidRDefault="000B4C86">
            <w:pPr>
              <w:widowControl w:val="0"/>
              <w:spacing w:after="0" w:line="240" w:lineRule="auto"/>
              <w:ind w:left="-105"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2023</w:t>
            </w:r>
          </w:p>
          <w:p w:rsidR="00D602D4" w:rsidRDefault="000B4C86">
            <w:pPr>
              <w:widowControl w:val="0"/>
              <w:spacing w:after="0" w:line="240" w:lineRule="auto"/>
              <w:ind w:left="-105"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год</w:t>
            </w:r>
          </w:p>
        </w:tc>
        <w:tc>
          <w:tcPr>
            <w:tcW w:w="1134" w:type="dxa"/>
            <w:vAlign w:val="center"/>
          </w:tcPr>
          <w:p w:rsidR="00D602D4" w:rsidRDefault="000B4C86">
            <w:pPr>
              <w:widowControl w:val="0"/>
              <w:spacing w:after="0" w:line="240" w:lineRule="auto"/>
              <w:ind w:left="-105"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2024</w:t>
            </w:r>
          </w:p>
          <w:p w:rsidR="00D602D4" w:rsidRDefault="000B4C86">
            <w:pPr>
              <w:widowControl w:val="0"/>
              <w:spacing w:after="0" w:line="240" w:lineRule="auto"/>
              <w:ind w:left="-105"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год</w:t>
            </w:r>
          </w:p>
        </w:tc>
        <w:tc>
          <w:tcPr>
            <w:tcW w:w="1135" w:type="dxa"/>
            <w:vAlign w:val="center"/>
          </w:tcPr>
          <w:p w:rsidR="00D602D4" w:rsidRDefault="000B4C86">
            <w:pPr>
              <w:widowControl w:val="0"/>
              <w:tabs>
                <w:tab w:val="left" w:pos="751"/>
              </w:tabs>
              <w:spacing w:after="0" w:line="240" w:lineRule="auto"/>
              <w:ind w:left="-105" w:right="-143"/>
              <w:jc w:val="center"/>
              <w:rPr>
                <w:rFonts w:ascii="Times New Roman" w:eastAsia="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Изменение</w:t>
            </w:r>
          </w:p>
          <w:p w:rsidR="00D602D4" w:rsidRDefault="000B4C86">
            <w:pPr>
              <w:widowControl w:val="0"/>
              <w:spacing w:after="0" w:line="240" w:lineRule="auto"/>
              <w:ind w:left="-105"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highlight w:val="white"/>
                <w:lang w:eastAsia="ru-RU"/>
              </w:rPr>
              <w:t>2024/2023, %</w:t>
            </w:r>
          </w:p>
        </w:tc>
      </w:tr>
      <w:tr w:rsidR="00D602D4">
        <w:trPr>
          <w:cantSplit/>
          <w:trHeight w:val="58"/>
          <w:jc w:val="center"/>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NewRomanPSMT" w:hAnsi="Times New Roman" w:cs="Times New Roman"/>
                <w:sz w:val="20"/>
                <w:szCs w:val="20"/>
              </w:rPr>
              <w:t>Комитет по стратегии (очные заседания / заочные заседания)</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3 / 37</w:t>
            </w:r>
          </w:p>
        </w:tc>
        <w:tc>
          <w:tcPr>
            <w:tcW w:w="992" w:type="dxa"/>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0/36</w:t>
            </w:r>
          </w:p>
        </w:tc>
        <w:tc>
          <w:tcPr>
            <w:tcW w:w="1134" w:type="dxa"/>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0/30</w:t>
            </w:r>
          </w:p>
        </w:tc>
        <w:tc>
          <w:tcPr>
            <w:tcW w:w="1135" w:type="dxa"/>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0/-17</w:t>
            </w:r>
          </w:p>
        </w:tc>
      </w:tr>
      <w:tr w:rsidR="00D602D4">
        <w:trPr>
          <w:cantSplit/>
          <w:trHeight w:val="58"/>
          <w:jc w:val="center"/>
        </w:trPr>
        <w:tc>
          <w:tcPr>
            <w:tcW w:w="4531" w:type="dxa"/>
            <w:vAlign w:val="center"/>
          </w:tcPr>
          <w:p w:rsidR="00D602D4" w:rsidRDefault="000B4C86">
            <w:pPr>
              <w:spacing w:after="0" w:line="240" w:lineRule="auto"/>
              <w:rPr>
                <w:rFonts w:ascii="Times New Roman" w:eastAsia="TimesNewRomanPSMT" w:hAnsi="Times New Roman" w:cs="Times New Roman"/>
                <w:sz w:val="20"/>
                <w:szCs w:val="20"/>
              </w:rPr>
            </w:pPr>
            <w:r>
              <w:rPr>
                <w:rFonts w:ascii="Times New Roman" w:eastAsia="TimesNewRomanPSMT" w:hAnsi="Times New Roman" w:cs="Times New Roman"/>
                <w:sz w:val="20"/>
                <w:szCs w:val="20"/>
              </w:rPr>
              <w:t>Комитет по аудиту (очные заседания / заочные заседания)</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13 / 28</w:t>
            </w:r>
          </w:p>
        </w:tc>
        <w:tc>
          <w:tcPr>
            <w:tcW w:w="992" w:type="dxa"/>
            <w:vAlign w:val="center"/>
          </w:tcPr>
          <w:p w:rsidR="00D602D4" w:rsidRDefault="000B4C86">
            <w:pPr>
              <w:widowControl w:val="0"/>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16/25</w:t>
            </w:r>
          </w:p>
        </w:tc>
        <w:tc>
          <w:tcPr>
            <w:tcW w:w="1134" w:type="dxa"/>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14/32</w:t>
            </w:r>
          </w:p>
        </w:tc>
        <w:tc>
          <w:tcPr>
            <w:tcW w:w="1135" w:type="dxa"/>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-12/28</w:t>
            </w:r>
          </w:p>
        </w:tc>
      </w:tr>
      <w:tr w:rsidR="00D602D4">
        <w:trPr>
          <w:cantSplit/>
          <w:trHeight w:val="58"/>
          <w:jc w:val="center"/>
        </w:trPr>
        <w:tc>
          <w:tcPr>
            <w:tcW w:w="4531" w:type="dxa"/>
            <w:vAlign w:val="center"/>
          </w:tcPr>
          <w:p w:rsidR="00D602D4" w:rsidRDefault="000B4C86">
            <w:pPr>
              <w:spacing w:after="0" w:line="240" w:lineRule="auto"/>
              <w:rPr>
                <w:rFonts w:ascii="Times New Roman" w:eastAsia="TimesNewRomanPSMT" w:hAnsi="Times New Roman" w:cs="Times New Roman"/>
                <w:sz w:val="20"/>
                <w:szCs w:val="20"/>
              </w:rPr>
            </w:pPr>
            <w:r>
              <w:rPr>
                <w:rFonts w:ascii="Times New Roman" w:eastAsia="TimesNewRomanPSMT" w:hAnsi="Times New Roman" w:cs="Times New Roman"/>
                <w:sz w:val="20"/>
                <w:szCs w:val="20"/>
              </w:rPr>
              <w:t>Комитет по кадрам и вознаграждениям (очные заседания / заочные заседания)</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 / 18</w:t>
            </w:r>
          </w:p>
        </w:tc>
        <w:tc>
          <w:tcPr>
            <w:tcW w:w="992" w:type="dxa"/>
            <w:vAlign w:val="center"/>
          </w:tcPr>
          <w:p w:rsidR="00D602D4" w:rsidRDefault="000B4C86">
            <w:pPr>
              <w:widowControl w:val="0"/>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0/16</w:t>
            </w:r>
          </w:p>
        </w:tc>
        <w:tc>
          <w:tcPr>
            <w:tcW w:w="1134" w:type="dxa"/>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0/11</w:t>
            </w:r>
          </w:p>
        </w:tc>
        <w:tc>
          <w:tcPr>
            <w:tcW w:w="1135" w:type="dxa"/>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0/-31</w:t>
            </w:r>
          </w:p>
        </w:tc>
      </w:tr>
      <w:tr w:rsidR="00D602D4">
        <w:trPr>
          <w:cantSplit/>
          <w:trHeight w:val="58"/>
          <w:jc w:val="center"/>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NewRomanPSMT" w:hAnsi="Times New Roman" w:cs="Times New Roman"/>
                <w:sz w:val="20"/>
                <w:szCs w:val="20"/>
              </w:rPr>
              <w:t>Комитет по надежности (очные заседания / заочные заседания)</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 / 22</w:t>
            </w:r>
          </w:p>
        </w:tc>
        <w:tc>
          <w:tcPr>
            <w:tcW w:w="992" w:type="dxa"/>
            <w:vAlign w:val="center"/>
          </w:tcPr>
          <w:p w:rsidR="00D602D4" w:rsidRDefault="000B4C86">
            <w:pPr>
              <w:widowControl w:val="0"/>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0/20</w:t>
            </w:r>
          </w:p>
        </w:tc>
        <w:tc>
          <w:tcPr>
            <w:tcW w:w="1134" w:type="dxa"/>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0/26</w:t>
            </w:r>
          </w:p>
        </w:tc>
        <w:tc>
          <w:tcPr>
            <w:tcW w:w="1135" w:type="dxa"/>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0/30</w:t>
            </w:r>
          </w:p>
        </w:tc>
      </w:tr>
      <w:tr w:rsidR="00D602D4">
        <w:trPr>
          <w:cantSplit/>
          <w:trHeight w:val="58"/>
          <w:jc w:val="center"/>
        </w:trPr>
        <w:tc>
          <w:tcPr>
            <w:tcW w:w="4531" w:type="dxa"/>
            <w:vAlign w:val="center"/>
          </w:tcPr>
          <w:p w:rsidR="00D602D4" w:rsidRDefault="000B4C86">
            <w:pPr>
              <w:tabs>
                <w:tab w:val="left" w:pos="9356"/>
              </w:tabs>
              <w:spacing w:after="0" w:line="240" w:lineRule="auto"/>
              <w:rPr>
                <w:rFonts w:ascii="Times New Roman" w:eastAsia="Times New Roman" w:hAnsi="Times New Roman" w:cs="Times New Roman"/>
                <w:sz w:val="20"/>
                <w:szCs w:val="20"/>
              </w:rPr>
            </w:pPr>
            <w:r>
              <w:rPr>
                <w:rFonts w:ascii="Times New Roman" w:eastAsia="TimesNewRomanPSMT" w:hAnsi="Times New Roman" w:cs="Times New Roman"/>
                <w:sz w:val="20"/>
                <w:szCs w:val="20"/>
              </w:rPr>
              <w:t>Комитет по технологическому присоединению к электрическим сетям (очные заседания / заочные заседания)</w:t>
            </w:r>
          </w:p>
        </w:tc>
        <w:tc>
          <w:tcPr>
            <w:tcW w:w="567" w:type="dxa"/>
            <w:vAlign w:val="center"/>
          </w:tcPr>
          <w:p w:rsidR="00D602D4" w:rsidRDefault="000B4C86">
            <w:pPr>
              <w:widowControl w:val="0"/>
              <w:tabs>
                <w:tab w:val="left" w:pos="34"/>
              </w:tabs>
              <w:spacing w:after="0" w:line="240" w:lineRule="auto"/>
              <w:ind w:right="-143"/>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993" w:type="dxa"/>
            <w:shd w:val="clear" w:color="FFFFFF" w:fill="FFFFFF"/>
            <w:vAlign w:val="center"/>
          </w:tcPr>
          <w:p w:rsidR="00D602D4" w:rsidRDefault="000B4C86">
            <w:pPr>
              <w:widowControl w:val="0"/>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 / 9</w:t>
            </w:r>
          </w:p>
        </w:tc>
        <w:tc>
          <w:tcPr>
            <w:tcW w:w="992" w:type="dxa"/>
            <w:vAlign w:val="center"/>
          </w:tcPr>
          <w:p w:rsidR="00D602D4" w:rsidRDefault="000B4C86">
            <w:pPr>
              <w:widowControl w:val="0"/>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1/9</w:t>
            </w:r>
          </w:p>
        </w:tc>
        <w:tc>
          <w:tcPr>
            <w:tcW w:w="1134" w:type="dxa"/>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0/8</w:t>
            </w:r>
          </w:p>
        </w:tc>
        <w:tc>
          <w:tcPr>
            <w:tcW w:w="1135" w:type="dxa"/>
            <w:vAlign w:val="center"/>
          </w:tcPr>
          <w:p w:rsidR="00D602D4" w:rsidRDefault="000B4C86">
            <w:pPr>
              <w:spacing w:after="0" w:line="240" w:lineRule="auto"/>
              <w:ind w:left="-105" w:right="-11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0/-11</w:t>
            </w:r>
          </w:p>
        </w:tc>
      </w:tr>
    </w:tbl>
    <w:p w:rsidR="00D602D4" w:rsidRDefault="00D602D4">
      <w:pPr>
        <w:widowControl w:val="0"/>
        <w:spacing w:after="0" w:line="240" w:lineRule="auto"/>
        <w:jc w:val="right"/>
        <w:rPr>
          <w:rFonts w:ascii="Times New Roman" w:eastAsia="Times New Roman" w:hAnsi="Times New Roman" w:cs="Times New Roman"/>
          <w:sz w:val="24"/>
          <w:szCs w:val="24"/>
          <w:highlight w:val="yellow"/>
        </w:rPr>
      </w:pPr>
    </w:p>
    <w:p w:rsidR="00D602D4" w:rsidRDefault="000B4C86">
      <w:pPr>
        <w:widowControl w:val="0"/>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Таблица </w:t>
      </w:r>
      <w:r>
        <w:rPr>
          <w:rFonts w:ascii="Times New Roman" w:eastAsia="Times New Roman" w:hAnsi="Times New Roman" w:cs="Times New Roman"/>
          <w:sz w:val="24"/>
          <w:szCs w:val="24"/>
        </w:rPr>
        <w:t>81</w:t>
      </w:r>
    </w:p>
    <w:p w:rsidR="00D602D4" w:rsidRDefault="000B4C86">
      <w:pPr>
        <w:widowControl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Участие членов Совета директоров Общества, избранных на ГОСА 18.06.2024,</w:t>
      </w:r>
    </w:p>
    <w:p w:rsidR="00D602D4" w:rsidRDefault="000B4C86">
      <w:pPr>
        <w:widowControl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 деятельности Комитетов в 2024 году</w:t>
      </w:r>
    </w:p>
    <w:tbl>
      <w:tblPr>
        <w:tblW w:w="10224" w:type="dxa"/>
        <w:jc w:val="center"/>
        <w:tblLayout w:type="fixed"/>
        <w:tblLook w:val="04A0" w:firstRow="1" w:lastRow="0" w:firstColumn="1" w:lastColumn="0" w:noHBand="0" w:noVBand="1"/>
      </w:tblPr>
      <w:tblGrid>
        <w:gridCol w:w="1555"/>
        <w:gridCol w:w="1275"/>
        <w:gridCol w:w="1573"/>
        <w:gridCol w:w="1134"/>
        <w:gridCol w:w="1168"/>
        <w:gridCol w:w="1230"/>
        <w:gridCol w:w="1137"/>
        <w:gridCol w:w="1152"/>
      </w:tblGrid>
      <w:tr w:rsidR="00D602D4">
        <w:trPr>
          <w:trHeight w:val="1425"/>
          <w:jc w:val="center"/>
        </w:trPr>
        <w:tc>
          <w:tcPr>
            <w:tcW w:w="155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Ф.И.О.</w:t>
            </w:r>
          </w:p>
        </w:tc>
        <w:tc>
          <w:tcPr>
            <w:tcW w:w="1275"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Наименование акционера, выдвинувшего соответствующего директора</w:t>
            </w:r>
          </w:p>
        </w:tc>
        <w:tc>
          <w:tcPr>
            <w:tcW w:w="1573"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Статус в Совете директоров</w:t>
            </w:r>
          </w:p>
        </w:tc>
        <w:tc>
          <w:tcPr>
            <w:tcW w:w="1134"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Комитет по стратегии</w:t>
            </w:r>
          </w:p>
        </w:tc>
        <w:tc>
          <w:tcPr>
            <w:tcW w:w="1168"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Комитет по аудиту </w:t>
            </w:r>
          </w:p>
        </w:tc>
        <w:tc>
          <w:tcPr>
            <w:tcW w:w="1230"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Комитет по кадрам и вознаграждениям</w:t>
            </w:r>
          </w:p>
        </w:tc>
        <w:tc>
          <w:tcPr>
            <w:tcW w:w="1137"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Комитет по надежности</w:t>
            </w:r>
          </w:p>
        </w:tc>
        <w:tc>
          <w:tcPr>
            <w:tcW w:w="1152"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Комитет по  технологическому присоединению к электрическим сетям</w:t>
            </w:r>
          </w:p>
        </w:tc>
      </w:tr>
      <w:tr w:rsidR="00D602D4">
        <w:trPr>
          <w:trHeight w:val="840"/>
          <w:jc w:val="center"/>
        </w:trPr>
        <w:tc>
          <w:tcPr>
            <w:tcW w:w="155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Тихонова Мария Геннадьевна</w:t>
            </w:r>
          </w:p>
        </w:tc>
        <w:tc>
          <w:tcPr>
            <w:tcW w:w="127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ПАО «Россети»</w:t>
            </w:r>
          </w:p>
        </w:tc>
        <w:tc>
          <w:tcPr>
            <w:tcW w:w="157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Председатель Совета директоров </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6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23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3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52"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r>
      <w:tr w:rsidR="00D602D4">
        <w:trPr>
          <w:trHeight w:val="840"/>
          <w:jc w:val="center"/>
        </w:trPr>
        <w:tc>
          <w:tcPr>
            <w:tcW w:w="155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Андреева Елена Викторовна</w:t>
            </w:r>
          </w:p>
        </w:tc>
        <w:tc>
          <w:tcPr>
            <w:tcW w:w="127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ПАО «Россети»</w:t>
            </w:r>
          </w:p>
        </w:tc>
        <w:tc>
          <w:tcPr>
            <w:tcW w:w="157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Член СД, неисполнительный директор</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6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23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3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52"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r>
      <w:tr w:rsidR="00D602D4">
        <w:trPr>
          <w:trHeight w:val="840"/>
          <w:jc w:val="center"/>
        </w:trPr>
        <w:tc>
          <w:tcPr>
            <w:tcW w:w="155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Бахарев Дмитрий Владимирович</w:t>
            </w:r>
          </w:p>
        </w:tc>
        <w:tc>
          <w:tcPr>
            <w:tcW w:w="127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ПАО «Россети»</w:t>
            </w:r>
          </w:p>
        </w:tc>
        <w:tc>
          <w:tcPr>
            <w:tcW w:w="157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Член СД, неисполнительный директор</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16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Участвует</w:t>
            </w:r>
          </w:p>
        </w:tc>
        <w:tc>
          <w:tcPr>
            <w:tcW w:w="123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13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1152"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r w:rsidR="00D602D4">
        <w:trPr>
          <w:trHeight w:val="840"/>
          <w:jc w:val="center"/>
        </w:trPr>
        <w:tc>
          <w:tcPr>
            <w:tcW w:w="155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Данилов Антон Евгеньевич </w:t>
            </w:r>
          </w:p>
        </w:tc>
        <w:tc>
          <w:tcPr>
            <w:tcW w:w="127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ERGLIS LIMITED (ЭРГЛИС ЛИМИТЕД)</w:t>
            </w:r>
          </w:p>
        </w:tc>
        <w:tc>
          <w:tcPr>
            <w:tcW w:w="157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Член СД, неисполнительный директор</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Участвует</w:t>
            </w:r>
          </w:p>
        </w:tc>
        <w:tc>
          <w:tcPr>
            <w:tcW w:w="116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23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3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Участвует</w:t>
            </w:r>
          </w:p>
        </w:tc>
        <w:tc>
          <w:tcPr>
            <w:tcW w:w="1152"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Участвует</w:t>
            </w:r>
          </w:p>
        </w:tc>
      </w:tr>
      <w:tr w:rsidR="00D602D4">
        <w:trPr>
          <w:trHeight w:val="840"/>
          <w:jc w:val="center"/>
        </w:trPr>
        <w:tc>
          <w:tcPr>
            <w:tcW w:w="155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Клинков Олег Юрьевич</w:t>
            </w:r>
          </w:p>
        </w:tc>
        <w:tc>
          <w:tcPr>
            <w:tcW w:w="127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ПАО «Россети»</w:t>
            </w:r>
          </w:p>
        </w:tc>
        <w:tc>
          <w:tcPr>
            <w:tcW w:w="157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Член СД, неисполнительный директор</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w:t>
            </w:r>
          </w:p>
        </w:tc>
        <w:tc>
          <w:tcPr>
            <w:tcW w:w="116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23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3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52"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Участвует</w:t>
            </w:r>
          </w:p>
        </w:tc>
      </w:tr>
      <w:tr w:rsidR="00D602D4">
        <w:trPr>
          <w:trHeight w:val="840"/>
          <w:jc w:val="center"/>
        </w:trPr>
        <w:tc>
          <w:tcPr>
            <w:tcW w:w="155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rPr>
                <w:rFonts w:ascii="Times New Roman" w:hAnsi="Times New Roman" w:cs="Times New Roman"/>
                <w:sz w:val="20"/>
                <w:szCs w:val="20"/>
                <w:highlight w:val="white"/>
              </w:rPr>
            </w:pPr>
            <w:r>
              <w:rPr>
                <w:rFonts w:ascii="Times New Roman" w:eastAsia="Times New Roman" w:hAnsi="Times New Roman" w:cs="Times New Roman"/>
                <w:sz w:val="20"/>
                <w:szCs w:val="20"/>
                <w:highlight w:val="white"/>
              </w:rPr>
              <w:t>Козлов Иван Евгеньевич</w:t>
            </w:r>
          </w:p>
        </w:tc>
        <w:tc>
          <w:tcPr>
            <w:tcW w:w="127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ERGLIS LIMITED (ЭРГЛИС ЛИМИТЕД)</w:t>
            </w:r>
          </w:p>
          <w:p w:rsidR="00D602D4" w:rsidRDefault="00D602D4">
            <w:pPr>
              <w:spacing w:after="0" w:line="240" w:lineRule="auto"/>
              <w:jc w:val="center"/>
              <w:rPr>
                <w:rFonts w:ascii="Times New Roman" w:hAnsi="Times New Roman" w:cs="Times New Roman"/>
                <w:color w:val="000000"/>
                <w:sz w:val="20"/>
                <w:szCs w:val="20"/>
              </w:rPr>
            </w:pPr>
          </w:p>
        </w:tc>
        <w:tc>
          <w:tcPr>
            <w:tcW w:w="157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Член СД, неисполнительный директор</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Участвует</w:t>
            </w:r>
          </w:p>
        </w:tc>
        <w:tc>
          <w:tcPr>
            <w:tcW w:w="116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w:t>
            </w:r>
          </w:p>
        </w:tc>
        <w:tc>
          <w:tcPr>
            <w:tcW w:w="123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w:t>
            </w:r>
          </w:p>
        </w:tc>
        <w:tc>
          <w:tcPr>
            <w:tcW w:w="113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52"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r>
      <w:tr w:rsidR="00D602D4">
        <w:trPr>
          <w:trHeight w:val="840"/>
          <w:jc w:val="center"/>
        </w:trPr>
        <w:tc>
          <w:tcPr>
            <w:tcW w:w="155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Трубицын Кирилл Адреевич</w:t>
            </w:r>
          </w:p>
        </w:tc>
        <w:tc>
          <w:tcPr>
            <w:tcW w:w="127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ERGLIS LIMITED (ЭРГЛИС ЛИМИТЕД)</w:t>
            </w:r>
          </w:p>
        </w:tc>
        <w:tc>
          <w:tcPr>
            <w:tcW w:w="157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Член СД, независимый директор </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Участвует</w:t>
            </w:r>
          </w:p>
        </w:tc>
        <w:tc>
          <w:tcPr>
            <w:tcW w:w="116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center"/>
              <w:rPr>
                <w:rFonts w:ascii="Times New Roman" w:hAnsi="Times New Roman" w:cs="Times New Roman"/>
                <w:color w:val="000000"/>
                <w:sz w:val="20"/>
                <w:szCs w:val="20"/>
              </w:rPr>
            </w:pPr>
          </w:p>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Участвует</w:t>
            </w:r>
          </w:p>
          <w:p w:rsidR="00D602D4" w:rsidRDefault="00D602D4">
            <w:pPr>
              <w:spacing w:after="0" w:line="240" w:lineRule="auto"/>
              <w:jc w:val="center"/>
              <w:rPr>
                <w:rFonts w:ascii="Times New Roman" w:hAnsi="Times New Roman" w:cs="Times New Roman"/>
                <w:color w:val="000000"/>
                <w:sz w:val="20"/>
                <w:szCs w:val="20"/>
              </w:rPr>
            </w:pPr>
          </w:p>
        </w:tc>
        <w:tc>
          <w:tcPr>
            <w:tcW w:w="123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Участвует</w:t>
            </w:r>
          </w:p>
        </w:tc>
        <w:tc>
          <w:tcPr>
            <w:tcW w:w="113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52"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r>
      <w:tr w:rsidR="00D602D4">
        <w:trPr>
          <w:trHeight w:val="840"/>
          <w:jc w:val="center"/>
        </w:trPr>
        <w:tc>
          <w:tcPr>
            <w:tcW w:w="155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lastRenderedPageBreak/>
              <w:t>Устюгов Дмитрий Владимирович</w:t>
            </w:r>
          </w:p>
        </w:tc>
        <w:tc>
          <w:tcPr>
            <w:tcW w:w="127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ПАО «Россети»</w:t>
            </w:r>
          </w:p>
        </w:tc>
        <w:tc>
          <w:tcPr>
            <w:tcW w:w="157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Член СД, неисполнительный директор</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6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23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Участвует</w:t>
            </w:r>
          </w:p>
        </w:tc>
        <w:tc>
          <w:tcPr>
            <w:tcW w:w="113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52"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r>
      <w:tr w:rsidR="00D602D4">
        <w:trPr>
          <w:trHeight w:val="840"/>
          <w:jc w:val="center"/>
        </w:trPr>
        <w:tc>
          <w:tcPr>
            <w:tcW w:w="155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Ханафеев Марат Анварович</w:t>
            </w:r>
          </w:p>
        </w:tc>
        <w:tc>
          <w:tcPr>
            <w:tcW w:w="127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ПАО «Россети»</w:t>
            </w:r>
          </w:p>
        </w:tc>
        <w:tc>
          <w:tcPr>
            <w:tcW w:w="157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Член СД, неисполнительный директор</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w:t>
            </w:r>
          </w:p>
        </w:tc>
        <w:tc>
          <w:tcPr>
            <w:tcW w:w="116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23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3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52"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r>
      <w:tr w:rsidR="00D602D4">
        <w:trPr>
          <w:trHeight w:val="840"/>
          <w:jc w:val="center"/>
        </w:trPr>
        <w:tc>
          <w:tcPr>
            <w:tcW w:w="155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Черкашин Василий Владимирович</w:t>
            </w:r>
          </w:p>
        </w:tc>
        <w:tc>
          <w:tcPr>
            <w:tcW w:w="127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ERGLIS LIMITED (ЭРГЛИС ЛИМИТЕД)</w:t>
            </w:r>
          </w:p>
        </w:tc>
        <w:tc>
          <w:tcPr>
            <w:tcW w:w="157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Член СД, неисполнительный директор </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Участвует</w:t>
            </w:r>
          </w:p>
        </w:tc>
        <w:tc>
          <w:tcPr>
            <w:tcW w:w="116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w:t>
            </w:r>
          </w:p>
        </w:tc>
        <w:tc>
          <w:tcPr>
            <w:tcW w:w="123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w:t>
            </w:r>
          </w:p>
        </w:tc>
        <w:tc>
          <w:tcPr>
            <w:tcW w:w="1137"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c>
          <w:tcPr>
            <w:tcW w:w="1152"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 -</w:t>
            </w:r>
          </w:p>
        </w:tc>
      </w:tr>
      <w:tr w:rsidR="00D602D4">
        <w:trPr>
          <w:trHeight w:val="840"/>
          <w:jc w:val="center"/>
        </w:trPr>
        <w:tc>
          <w:tcPr>
            <w:tcW w:w="1555" w:type="dxa"/>
            <w:vMerge w:val="restart"/>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Шашкова Наталья Васильевна</w:t>
            </w:r>
          </w:p>
        </w:tc>
        <w:tc>
          <w:tcPr>
            <w:tcW w:w="1275"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ERGLIS LIMITED (ЭРГЛИС ЛИМИТЕД)</w:t>
            </w:r>
          </w:p>
        </w:tc>
        <w:tc>
          <w:tcPr>
            <w:tcW w:w="157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Член СД, независимый директор</w:t>
            </w:r>
          </w:p>
        </w:tc>
        <w:tc>
          <w:tcPr>
            <w:tcW w:w="1134"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Участвует</w:t>
            </w:r>
          </w:p>
        </w:tc>
        <w:tc>
          <w:tcPr>
            <w:tcW w:w="1168"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center"/>
              <w:rPr>
                <w:rFonts w:ascii="Times New Roman" w:hAnsi="Times New Roman" w:cs="Times New Roman"/>
                <w:color w:val="000000"/>
                <w:sz w:val="20"/>
                <w:szCs w:val="20"/>
              </w:rPr>
            </w:pPr>
          </w:p>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Участвует</w:t>
            </w:r>
          </w:p>
          <w:p w:rsidR="00D602D4" w:rsidRDefault="00D602D4">
            <w:pPr>
              <w:spacing w:after="0" w:line="240" w:lineRule="auto"/>
              <w:jc w:val="center"/>
              <w:rPr>
                <w:rFonts w:ascii="Times New Roman" w:hAnsi="Times New Roman" w:cs="Times New Roman"/>
                <w:color w:val="000000"/>
                <w:sz w:val="20"/>
                <w:szCs w:val="20"/>
              </w:rPr>
            </w:pPr>
          </w:p>
        </w:tc>
        <w:tc>
          <w:tcPr>
            <w:tcW w:w="1230"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w:t>
            </w:r>
          </w:p>
        </w:tc>
        <w:tc>
          <w:tcPr>
            <w:tcW w:w="1137"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w:t>
            </w:r>
          </w:p>
        </w:tc>
        <w:tc>
          <w:tcPr>
            <w:tcW w:w="1152"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w:t>
            </w:r>
          </w:p>
        </w:tc>
      </w:tr>
    </w:tbl>
    <w:p w:rsidR="00D602D4" w:rsidRDefault="00D602D4">
      <w:pPr>
        <w:widowControl w:val="0"/>
        <w:spacing w:after="0" w:line="240" w:lineRule="auto"/>
        <w:ind w:firstLine="709"/>
        <w:jc w:val="center"/>
        <w:rPr>
          <w:rFonts w:ascii="Times New Roman" w:eastAsia="Calibri" w:hAnsi="Times New Roman" w:cs="Times New Roman"/>
          <w:b/>
          <w:bCs/>
          <w:sz w:val="24"/>
          <w:szCs w:val="24"/>
        </w:rPr>
      </w:pPr>
    </w:p>
    <w:p w:rsidR="00D602D4" w:rsidRDefault="000B4C86">
      <w:pPr>
        <w:widowControl w:val="0"/>
        <w:spacing w:after="0" w:line="240" w:lineRule="auto"/>
        <w:ind w:firstLine="709"/>
        <w:jc w:val="center"/>
        <w:rPr>
          <w:rFonts w:ascii="Times New Roman" w:eastAsia="Calibri" w:hAnsi="Times New Roman" w:cs="Times New Roman"/>
          <w:b/>
          <w:bCs/>
          <w:sz w:val="24"/>
          <w:szCs w:val="24"/>
        </w:rPr>
      </w:pPr>
      <w:r>
        <w:rPr>
          <w:rFonts w:ascii="Times New Roman" w:eastAsia="Times New Roman" w:hAnsi="Times New Roman" w:cs="Times New Roman"/>
          <w:b/>
          <w:sz w:val="24"/>
          <w:szCs w:val="24"/>
        </w:rPr>
        <w:t>Отчет Комитета по стратегии</w:t>
      </w:r>
      <w:r>
        <w:rPr>
          <w:rFonts w:ascii="Times New Roman" w:eastAsia="Calibri" w:hAnsi="Times New Roman" w:cs="Times New Roman"/>
          <w:bCs/>
          <w:iCs/>
          <w:sz w:val="24"/>
          <w:szCs w:val="24"/>
        </w:rPr>
        <w:t xml:space="preserve"> </w:t>
      </w:r>
      <w:r>
        <w:rPr>
          <w:rFonts w:ascii="Times New Roman" w:eastAsia="Calibri" w:hAnsi="Times New Roman" w:cs="Times New Roman"/>
          <w:b/>
          <w:bCs/>
          <w:iCs/>
          <w:sz w:val="24"/>
          <w:szCs w:val="24"/>
        </w:rPr>
        <w:t>Совета директоров Общества</w:t>
      </w:r>
    </w:p>
    <w:p w:rsidR="00D602D4" w:rsidRDefault="00D602D4">
      <w:pPr>
        <w:widowControl w:val="0"/>
        <w:spacing w:after="0" w:line="240" w:lineRule="auto"/>
        <w:ind w:firstLine="709"/>
        <w:jc w:val="center"/>
        <w:rPr>
          <w:rFonts w:ascii="Times New Roman" w:eastAsia="Times New Roman" w:hAnsi="Times New Roman" w:cs="Times New Roman"/>
          <w:sz w:val="24"/>
          <w:szCs w:val="24"/>
        </w:rPr>
      </w:pP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Комитет по стратегии Совета директоров ПАО «Россети Сибирь» (далее – Комитет по стратегии) создан по решению Совета директоров Общества от 25.04.2007 (протокол от 27.04.2007 №4). </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Деятельность Комитета по стратегии регулируется </w:t>
      </w:r>
      <w:hyperlink r:id="rId102" w:tooltip="http://www.mrsk-yuga.ru/files/file/site/aud_novred.pdf" w:history="1">
        <w:r>
          <w:rPr>
            <w:rFonts w:ascii="Times New Roman" w:eastAsia="Times New Roman" w:hAnsi="Times New Roman" w:cs="Times New Roman"/>
            <w:sz w:val="24"/>
            <w:szCs w:val="24"/>
          </w:rPr>
          <w:t>Положением о Комитете по стратегии Совета директоров</w:t>
        </w:r>
      </w:hyperlink>
      <w:r>
        <w:rPr>
          <w:rFonts w:ascii="Times New Roman" w:eastAsia="Times New Roman" w:hAnsi="Times New Roman" w:cs="Times New Roman"/>
          <w:sz w:val="24"/>
          <w:szCs w:val="24"/>
        </w:rPr>
        <w:t xml:space="preserve"> Общества, утвержденным решением Совета директоров Общества от 31.07.2019 (протокол от 02.08.2019 № 333/19)</w:t>
      </w:r>
      <w:r>
        <w:rPr>
          <w:rStyle w:val="af1"/>
          <w:rFonts w:ascii="Times New Roman" w:eastAsia="Times New Roman" w:hAnsi="Times New Roman" w:cs="Times New Roman"/>
          <w:sz w:val="24"/>
          <w:szCs w:val="24"/>
        </w:rPr>
        <w:footnoteReference w:id="27"/>
      </w:r>
      <w:r>
        <w:rPr>
          <w:rFonts w:ascii="Times New Roman" w:eastAsia="Times New Roman" w:hAnsi="Times New Roman" w:cs="Times New Roman"/>
          <w:sz w:val="24"/>
          <w:szCs w:val="24"/>
        </w:rPr>
        <w:t xml:space="preserve">. </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ключевым  задачам Комитета по стратегии относятся выработка и представление рекомендаций (заключений) Совету директоров Общества по направлениям деятельности Совета директоров, включая стратегическое развитие и приоритетные направления деятельности, инновационное развитие, организация бизнес-процессов, бизнес-планирование, дивидендная политика, управление рисками, оценка эффективности деятельности Общества, а также другие задачи и направления, определенные Кодексом корпоративного управления Банка России. </w:t>
      </w:r>
    </w:p>
    <w:p w:rsidR="00D602D4" w:rsidRDefault="000B4C86">
      <w:pPr>
        <w:widowControl w:val="0"/>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Таблица </w:t>
      </w:r>
      <w:r>
        <w:rPr>
          <w:rFonts w:ascii="Times New Roman" w:eastAsia="Times New Roman" w:hAnsi="Times New Roman" w:cs="Times New Roman"/>
          <w:sz w:val="24"/>
          <w:szCs w:val="24"/>
        </w:rPr>
        <w:t>82</w:t>
      </w:r>
    </w:p>
    <w:p w:rsidR="00D602D4" w:rsidRDefault="000B4C86">
      <w:pPr>
        <w:widowControl w:val="0"/>
        <w:spacing w:after="0" w:line="240" w:lineRule="auto"/>
        <w:ind w:firstLine="709"/>
        <w:jc w:val="center"/>
        <w:rPr>
          <w:rFonts w:ascii="Times New Roman" w:eastAsia="Times New Roman" w:hAnsi="Times New Roman" w:cs="Times New Roman"/>
          <w:b/>
          <w:sz w:val="18"/>
          <w:szCs w:val="18"/>
          <w:highlight w:val="yellow"/>
        </w:rPr>
      </w:pPr>
      <w:r>
        <w:rPr>
          <w:rFonts w:ascii="Times New Roman" w:eastAsia="Times New Roman" w:hAnsi="Times New Roman" w:cs="Times New Roman"/>
          <w:b/>
          <w:sz w:val="24"/>
          <w:szCs w:val="24"/>
        </w:rPr>
        <w:t>Персональный состав и участие членов Комитета по стратегии в работе Комитета по стратегии с 01.01.2024 по</w:t>
      </w:r>
      <w:r>
        <w:rPr>
          <w:rFonts w:ascii="Times New Roman" w:eastAsia="Times New Roman" w:hAnsi="Times New Roman" w:cs="Times New Roman"/>
          <w:b/>
          <w:sz w:val="24"/>
          <w:szCs w:val="24"/>
          <w:highlight w:val="white"/>
        </w:rPr>
        <w:t xml:space="preserve"> 19.08.2024</w:t>
      </w:r>
    </w:p>
    <w:tbl>
      <w:tblPr>
        <w:tblW w:w="93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05"/>
        <w:gridCol w:w="3260"/>
        <w:gridCol w:w="1827"/>
        <w:gridCol w:w="1843"/>
      </w:tblGrid>
      <w:tr w:rsidR="00D602D4">
        <w:trPr>
          <w:trHeight w:val="170"/>
          <w:jc w:val="center"/>
        </w:trPr>
        <w:tc>
          <w:tcPr>
            <w:tcW w:w="2405" w:type="dxa"/>
            <w:vMerge w:val="restart"/>
            <w:shd w:val="clear" w:color="FFFFFF" w:fill="FFFFFF"/>
            <w:vAlign w:val="center"/>
          </w:tcPr>
          <w:p w:rsidR="00D602D4" w:rsidRDefault="000B4C86">
            <w:pPr>
              <w:widowControl w:val="0"/>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Ф. И. О.</w:t>
            </w:r>
          </w:p>
        </w:tc>
        <w:tc>
          <w:tcPr>
            <w:tcW w:w="3260" w:type="dxa"/>
            <w:vMerge w:val="restart"/>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Должность</w:t>
            </w:r>
          </w:p>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(на момент избрания)</w:t>
            </w:r>
          </w:p>
        </w:tc>
        <w:tc>
          <w:tcPr>
            <w:tcW w:w="3670" w:type="dxa"/>
            <w:gridSpan w:val="2"/>
            <w:tcBorders>
              <w:bottom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 Заочные заседания (7)</w:t>
            </w:r>
          </w:p>
        </w:tc>
      </w:tr>
      <w:tr w:rsidR="00D602D4">
        <w:trPr>
          <w:trHeight w:val="170"/>
          <w:jc w:val="center"/>
        </w:trPr>
        <w:tc>
          <w:tcPr>
            <w:tcW w:w="2405" w:type="dxa"/>
            <w:vMerge/>
            <w:shd w:val="clear" w:color="FFFFFF" w:fill="FFFFFF"/>
            <w:vAlign w:val="center"/>
          </w:tcPr>
          <w:p w:rsidR="00D602D4" w:rsidRDefault="00D602D4">
            <w:pPr>
              <w:widowControl w:val="0"/>
              <w:spacing w:after="0" w:line="240" w:lineRule="auto"/>
              <w:jc w:val="center"/>
              <w:rPr>
                <w:rFonts w:ascii="Times New Roman" w:eastAsia="Times New Roman" w:hAnsi="Times New Roman" w:cs="Times New Roman"/>
                <w:b/>
                <w:sz w:val="20"/>
                <w:szCs w:val="20"/>
              </w:rPr>
            </w:pPr>
          </w:p>
        </w:tc>
        <w:tc>
          <w:tcPr>
            <w:tcW w:w="3260" w:type="dxa"/>
            <w:vMerge/>
            <w:shd w:val="clear" w:color="FFFFFF" w:fill="FFFFFF"/>
            <w:vAlign w:val="center"/>
          </w:tcPr>
          <w:p w:rsidR="00D602D4" w:rsidRDefault="00D602D4">
            <w:pPr>
              <w:widowControl w:val="0"/>
              <w:spacing w:after="0" w:line="240" w:lineRule="auto"/>
              <w:jc w:val="center"/>
              <w:rPr>
                <w:rFonts w:ascii="Times New Roman" w:eastAsia="Times New Roman" w:hAnsi="Times New Roman" w:cs="Times New Roman"/>
                <w:b/>
                <w:sz w:val="20"/>
                <w:szCs w:val="20"/>
              </w:rPr>
            </w:pPr>
          </w:p>
        </w:tc>
        <w:tc>
          <w:tcPr>
            <w:tcW w:w="1827" w:type="dxa"/>
            <w:tcBorders>
              <w:top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Количество заседаний, в которых член Комитета принял участие</w:t>
            </w:r>
          </w:p>
        </w:tc>
        <w:tc>
          <w:tcPr>
            <w:tcW w:w="1843" w:type="dxa"/>
            <w:tcBorders>
              <w:top w:val="single" w:sz="4" w:space="0" w:color="000000"/>
              <w:left w:val="single" w:sz="4" w:space="0" w:color="000000"/>
            </w:tcBorders>
            <w:vAlign w:val="center"/>
          </w:tcPr>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Процент участия, %</w:t>
            </w:r>
          </w:p>
        </w:tc>
      </w:tr>
      <w:tr w:rsidR="00D602D4">
        <w:trPr>
          <w:trHeight w:val="170"/>
          <w:jc w:val="center"/>
        </w:trPr>
        <w:tc>
          <w:tcPr>
            <w:tcW w:w="2405" w:type="dxa"/>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Полинов </w:t>
            </w:r>
          </w:p>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Алексей Александрович</w:t>
            </w:r>
            <w:r>
              <w:rPr>
                <w:rFonts w:ascii="Times New Roman" w:eastAsia="Times New Roman" w:hAnsi="Times New Roman" w:cs="Times New Roman"/>
                <w:color w:val="000000"/>
                <w:sz w:val="20"/>
                <w:szCs w:val="20"/>
                <w:lang w:eastAsia="ru-RU"/>
              </w:rPr>
              <w:br/>
            </w:r>
          </w:p>
        </w:tc>
        <w:tc>
          <w:tcPr>
            <w:tcW w:w="3260" w:type="dxa"/>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Председатель Комитета,</w:t>
            </w:r>
            <w:r>
              <w:rPr>
                <w:rFonts w:ascii="Times New Roman" w:hAnsi="Times New Roman" w:cs="Times New Roman"/>
                <w:color w:val="000000"/>
                <w:sz w:val="20"/>
                <w:szCs w:val="20"/>
              </w:rPr>
              <w:br/>
              <w:t>Заместитель Генерального директора по экономике и финансам ПАО «Россети»</w:t>
            </w:r>
          </w:p>
        </w:tc>
        <w:tc>
          <w:tcPr>
            <w:tcW w:w="182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40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Акилин </w:t>
            </w:r>
          </w:p>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Павел Евгеньевич</w:t>
            </w:r>
          </w:p>
        </w:tc>
        <w:tc>
          <w:tcPr>
            <w:tcW w:w="326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Генеральный директор ПАО «Россети Сибирь»</w:t>
            </w:r>
          </w:p>
        </w:tc>
        <w:tc>
          <w:tcPr>
            <w:tcW w:w="182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40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Бычко</w:t>
            </w:r>
          </w:p>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Михаил Александрович</w:t>
            </w:r>
          </w:p>
        </w:tc>
        <w:tc>
          <w:tcPr>
            <w:tcW w:w="326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Начальник Департамента капитального строительства ПАО «Россети»</w:t>
            </w:r>
          </w:p>
        </w:tc>
        <w:tc>
          <w:tcPr>
            <w:tcW w:w="182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40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Данилов </w:t>
            </w:r>
          </w:p>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Антон Евгеньевич</w:t>
            </w:r>
            <w:r>
              <w:rPr>
                <w:rFonts w:ascii="Times New Roman" w:eastAsia="Times New Roman" w:hAnsi="Times New Roman" w:cs="Times New Roman"/>
                <w:color w:val="000000"/>
                <w:sz w:val="20"/>
                <w:szCs w:val="20"/>
                <w:lang w:eastAsia="ru-RU"/>
              </w:rPr>
              <w:br/>
            </w:r>
            <w:r>
              <w:rPr>
                <w:rFonts w:ascii="Times New Roman" w:eastAsia="Times New Roman" w:hAnsi="Times New Roman" w:cs="Times New Roman"/>
                <w:color w:val="000000"/>
                <w:sz w:val="20"/>
                <w:szCs w:val="20"/>
                <w:lang w:eastAsia="ru-RU"/>
              </w:rPr>
              <w:br/>
            </w:r>
            <w:r>
              <w:rPr>
                <w:rFonts w:ascii="Times New Roman" w:eastAsia="Times New Roman" w:hAnsi="Times New Roman" w:cs="Times New Roman"/>
                <w:i/>
                <w:color w:val="000000"/>
                <w:sz w:val="20"/>
                <w:szCs w:val="20"/>
                <w:lang w:eastAsia="ru-RU"/>
              </w:rPr>
              <w:t>Член Совета директоров</w:t>
            </w:r>
            <w:r>
              <w:rPr>
                <w:rFonts w:ascii="Times New Roman" w:eastAsia="Times New Roman" w:hAnsi="Times New Roman" w:cs="Times New Roman"/>
                <w:i/>
                <w:color w:val="000000"/>
                <w:sz w:val="20"/>
                <w:szCs w:val="20"/>
                <w:lang w:eastAsia="ru-RU"/>
              </w:rPr>
              <w:br/>
              <w:t>Неисполнительный директор</w:t>
            </w:r>
          </w:p>
        </w:tc>
        <w:tc>
          <w:tcPr>
            <w:tcW w:w="326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развитию энергорынков и энерготрейдинга ООО «Сибирская генерирующая компания»</w:t>
            </w:r>
          </w:p>
        </w:tc>
        <w:tc>
          <w:tcPr>
            <w:tcW w:w="182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40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 xml:space="preserve">Краинский </w:t>
            </w:r>
          </w:p>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Даниил Владимирович</w:t>
            </w:r>
          </w:p>
        </w:tc>
        <w:tc>
          <w:tcPr>
            <w:tcW w:w="326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Заместитель Генерального директора по правовому обеспечению ПАО «Россети»</w:t>
            </w:r>
          </w:p>
        </w:tc>
        <w:tc>
          <w:tcPr>
            <w:tcW w:w="182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40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Лещевская </w:t>
            </w:r>
          </w:p>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Юлия Александровна</w:t>
            </w:r>
          </w:p>
        </w:tc>
        <w:tc>
          <w:tcPr>
            <w:tcW w:w="326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Заместитель Генерального директора по стратегии ПАО «Россети»</w:t>
            </w:r>
          </w:p>
        </w:tc>
        <w:tc>
          <w:tcPr>
            <w:tcW w:w="182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40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Парамонова </w:t>
            </w:r>
          </w:p>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Наталья Владимировна</w:t>
            </w:r>
          </w:p>
        </w:tc>
        <w:tc>
          <w:tcPr>
            <w:tcW w:w="326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Первый заместитель начальника Департамента экономики ПАО «Россети»</w:t>
            </w:r>
          </w:p>
        </w:tc>
        <w:tc>
          <w:tcPr>
            <w:tcW w:w="182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40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Степина </w:t>
            </w:r>
          </w:p>
          <w:p w:rsidR="00D602D4" w:rsidRDefault="000B4C86">
            <w:pPr>
              <w:spacing w:after="0" w:line="240" w:lineRule="auto"/>
              <w:jc w:val="both"/>
              <w:rPr>
                <w:rFonts w:ascii="Times New Roman" w:eastAsia="Times New Roman" w:hAnsi="Times New Roman" w:cs="Times New Roman"/>
                <w:i/>
                <w:color w:val="000000"/>
                <w:sz w:val="20"/>
                <w:szCs w:val="20"/>
                <w:lang w:eastAsia="ru-RU"/>
              </w:rPr>
            </w:pPr>
            <w:r>
              <w:rPr>
                <w:rFonts w:ascii="Times New Roman" w:eastAsia="Times New Roman" w:hAnsi="Times New Roman" w:cs="Times New Roman"/>
                <w:color w:val="000000"/>
                <w:sz w:val="20"/>
                <w:szCs w:val="20"/>
                <w:lang w:eastAsia="ru-RU"/>
              </w:rPr>
              <w:t>Екатерина Андреевна</w:t>
            </w:r>
            <w:r>
              <w:rPr>
                <w:rFonts w:ascii="Times New Roman" w:eastAsia="Times New Roman" w:hAnsi="Times New Roman" w:cs="Times New Roman"/>
                <w:color w:val="000000"/>
                <w:sz w:val="20"/>
                <w:szCs w:val="20"/>
                <w:lang w:eastAsia="ru-RU"/>
              </w:rPr>
              <w:br/>
            </w:r>
            <w:r>
              <w:rPr>
                <w:rFonts w:ascii="Times New Roman" w:eastAsia="Times New Roman" w:hAnsi="Times New Roman" w:cs="Times New Roman"/>
                <w:color w:val="000000"/>
                <w:sz w:val="20"/>
                <w:szCs w:val="20"/>
                <w:lang w:eastAsia="ru-RU"/>
              </w:rPr>
              <w:br/>
            </w:r>
            <w:r>
              <w:rPr>
                <w:rFonts w:ascii="Times New Roman" w:eastAsia="Times New Roman" w:hAnsi="Times New Roman" w:cs="Times New Roman"/>
                <w:i/>
                <w:color w:val="000000"/>
                <w:sz w:val="20"/>
                <w:szCs w:val="20"/>
                <w:lang w:eastAsia="ru-RU"/>
              </w:rPr>
              <w:t>Член Совета директоров</w:t>
            </w:r>
          </w:p>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i/>
                <w:color w:val="000000"/>
                <w:sz w:val="20"/>
                <w:szCs w:val="20"/>
                <w:lang w:eastAsia="ru-RU"/>
              </w:rPr>
              <w:t>Независимый директор</w:t>
            </w:r>
          </w:p>
        </w:tc>
        <w:tc>
          <w:tcPr>
            <w:tcW w:w="326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тарифообразованию                              ООО «Сибирская генерирующая компания»</w:t>
            </w:r>
          </w:p>
        </w:tc>
        <w:tc>
          <w:tcPr>
            <w:tcW w:w="182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40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Трубицын </w:t>
            </w:r>
          </w:p>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Кирилл Андреевич</w:t>
            </w:r>
          </w:p>
        </w:tc>
        <w:tc>
          <w:tcPr>
            <w:tcW w:w="326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правовому сопровождению морских перевозок, Дивизион морских перевозок АО «НТК»</w:t>
            </w:r>
          </w:p>
        </w:tc>
        <w:tc>
          <w:tcPr>
            <w:tcW w:w="182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40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Черкашин </w:t>
            </w:r>
          </w:p>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Василий Владимирович</w:t>
            </w:r>
          </w:p>
        </w:tc>
        <w:tc>
          <w:tcPr>
            <w:tcW w:w="3260"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развитию ООО «Сибирская генерирующая компания»</w:t>
            </w:r>
          </w:p>
        </w:tc>
        <w:tc>
          <w:tcPr>
            <w:tcW w:w="182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405"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Шашкова </w:t>
            </w:r>
          </w:p>
          <w:p w:rsidR="00D602D4" w:rsidRDefault="000B4C8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Наталья Васильевна</w:t>
            </w:r>
          </w:p>
          <w:p w:rsidR="00D602D4" w:rsidRDefault="00D602D4">
            <w:pPr>
              <w:spacing w:after="0" w:line="240" w:lineRule="auto"/>
              <w:rPr>
                <w:rFonts w:ascii="Times New Roman" w:eastAsia="Times New Roman" w:hAnsi="Times New Roman" w:cs="Times New Roman"/>
                <w:color w:val="000000"/>
                <w:sz w:val="20"/>
                <w:szCs w:val="20"/>
                <w:lang w:eastAsia="ru-RU"/>
              </w:rPr>
            </w:pPr>
          </w:p>
          <w:p w:rsidR="00D602D4" w:rsidRDefault="000B4C86">
            <w:pPr>
              <w:spacing w:after="0" w:line="240" w:lineRule="auto"/>
              <w:rPr>
                <w:rFonts w:ascii="Times New Roman" w:eastAsia="Times New Roman" w:hAnsi="Times New Roman" w:cs="Times New Roman"/>
                <w:i/>
                <w:color w:val="000000"/>
                <w:sz w:val="20"/>
                <w:szCs w:val="20"/>
                <w:lang w:eastAsia="ru-RU"/>
              </w:rPr>
            </w:pPr>
            <w:r>
              <w:rPr>
                <w:rFonts w:ascii="Times New Roman" w:eastAsia="Times New Roman" w:hAnsi="Times New Roman" w:cs="Times New Roman"/>
                <w:i/>
                <w:color w:val="000000"/>
                <w:sz w:val="20"/>
                <w:szCs w:val="20"/>
                <w:lang w:eastAsia="ru-RU"/>
              </w:rPr>
              <w:t>Член Совета директоров</w:t>
            </w:r>
          </w:p>
          <w:p w:rsidR="00D602D4" w:rsidRDefault="000B4C8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i/>
                <w:color w:val="000000"/>
                <w:sz w:val="20"/>
                <w:szCs w:val="20"/>
                <w:lang w:eastAsia="ru-RU"/>
              </w:rPr>
              <w:t>Независимый директор</w:t>
            </w:r>
          </w:p>
        </w:tc>
        <w:tc>
          <w:tcPr>
            <w:tcW w:w="326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Директор по экономике ООО «Сибирская генерирующая компания»</w:t>
            </w:r>
          </w:p>
        </w:tc>
        <w:tc>
          <w:tcPr>
            <w:tcW w:w="182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84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lang w:val="en-US"/>
              </w:rPr>
            </w:pPr>
            <w:r>
              <w:rPr>
                <w:rFonts w:ascii="Times New Roman" w:hAnsi="Times New Roman" w:cs="Times New Roman"/>
                <w:color w:val="000000"/>
                <w:sz w:val="20"/>
                <w:szCs w:val="20"/>
              </w:rPr>
              <w:t>100</w:t>
            </w:r>
          </w:p>
        </w:tc>
      </w:tr>
    </w:tbl>
    <w:p w:rsidR="00D602D4" w:rsidRDefault="00D602D4">
      <w:pPr>
        <w:widowControl w:val="0"/>
        <w:spacing w:after="0" w:line="240" w:lineRule="auto"/>
        <w:ind w:firstLine="709"/>
        <w:jc w:val="center"/>
        <w:rPr>
          <w:rFonts w:ascii="Times New Roman" w:eastAsia="Times New Roman" w:hAnsi="Times New Roman" w:cs="Times New Roman"/>
          <w:b/>
          <w:sz w:val="24"/>
          <w:szCs w:val="24"/>
        </w:rPr>
      </w:pPr>
    </w:p>
    <w:p w:rsidR="00D602D4" w:rsidRDefault="000B4C86">
      <w:pPr>
        <w:widowControl w:val="0"/>
        <w:spacing w:after="0" w:line="240" w:lineRule="auto"/>
        <w:ind w:firstLine="709"/>
        <w:jc w:val="right"/>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highlight w:val="white"/>
        </w:rPr>
        <w:t>Таблица 83</w:t>
      </w:r>
    </w:p>
    <w:p w:rsidR="00D602D4" w:rsidRDefault="000B4C86">
      <w:pPr>
        <w:widowControl w:val="0"/>
        <w:spacing w:after="0" w:line="240" w:lineRule="auto"/>
        <w:ind w:firstLine="709"/>
        <w:jc w:val="center"/>
        <w:rPr>
          <w:rFonts w:ascii="Times New Roman" w:eastAsia="Times New Roman" w:hAnsi="Times New Roman" w:cs="Times New Roman"/>
          <w:b/>
          <w:sz w:val="18"/>
          <w:szCs w:val="18"/>
        </w:rPr>
      </w:pPr>
      <w:r>
        <w:rPr>
          <w:rFonts w:ascii="Times New Roman" w:eastAsia="Times New Roman" w:hAnsi="Times New Roman" w:cs="Times New Roman"/>
          <w:b/>
          <w:sz w:val="24"/>
          <w:szCs w:val="24"/>
        </w:rPr>
        <w:t>Персональный состав и участие членов Комитета по стратегии в работе Комитета по стратегии с 19.08.2024 (дата избрания состава комитета) по 31.12.2024</w:t>
      </w:r>
    </w:p>
    <w:tbl>
      <w:tblPr>
        <w:tblW w:w="9357" w:type="dxa"/>
        <w:jc w:val="center"/>
        <w:tblLook w:val="04A0" w:firstRow="1" w:lastRow="0" w:firstColumn="1" w:lastColumn="0" w:noHBand="0" w:noVBand="1"/>
      </w:tblPr>
      <w:tblGrid>
        <w:gridCol w:w="2410"/>
        <w:gridCol w:w="3260"/>
        <w:gridCol w:w="1843"/>
        <w:gridCol w:w="1844"/>
      </w:tblGrid>
      <w:tr w:rsidR="00D602D4">
        <w:trPr>
          <w:trHeight w:val="170"/>
          <w:jc w:val="center"/>
        </w:trPr>
        <w:tc>
          <w:tcPr>
            <w:tcW w:w="241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Ф. И. О.</w:t>
            </w:r>
          </w:p>
        </w:tc>
        <w:tc>
          <w:tcPr>
            <w:tcW w:w="3260" w:type="dxa"/>
            <w:vMerge w:val="restart"/>
            <w:tcBorders>
              <w:top w:val="single" w:sz="4" w:space="0" w:color="000000"/>
              <w:left w:val="non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Должность</w:t>
            </w:r>
          </w:p>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 момент избрания)</w:t>
            </w:r>
          </w:p>
        </w:tc>
        <w:tc>
          <w:tcPr>
            <w:tcW w:w="3687" w:type="dxa"/>
            <w:gridSpan w:val="2"/>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 Заочные заседания (5)</w:t>
            </w:r>
          </w:p>
        </w:tc>
      </w:tr>
      <w:tr w:rsidR="00D602D4">
        <w:trPr>
          <w:trHeight w:val="631"/>
          <w:jc w:val="center"/>
        </w:trPr>
        <w:tc>
          <w:tcPr>
            <w:tcW w:w="241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bCs/>
                <w:color w:val="000000"/>
                <w:sz w:val="20"/>
                <w:szCs w:val="20"/>
                <w:lang w:eastAsia="ru-RU"/>
              </w:rPr>
            </w:pPr>
          </w:p>
        </w:tc>
        <w:tc>
          <w:tcPr>
            <w:tcW w:w="3260" w:type="dxa"/>
            <w:vMerge/>
            <w:tcBorders>
              <w:left w:val="non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center"/>
              <w:rPr>
                <w:rFonts w:ascii="Times New Roman" w:eastAsia="Times New Roman" w:hAnsi="Times New Roman" w:cs="Times New Roman"/>
                <w:b/>
                <w:bCs/>
                <w:color w:val="000000"/>
                <w:sz w:val="20"/>
                <w:szCs w:val="20"/>
                <w:lang w:eastAsia="ru-RU"/>
              </w:rPr>
            </w:pPr>
          </w:p>
        </w:tc>
        <w:tc>
          <w:tcPr>
            <w:tcW w:w="184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Количество заседаний, в которых член Комитета принял участие</w:t>
            </w:r>
          </w:p>
        </w:tc>
        <w:tc>
          <w:tcPr>
            <w:tcW w:w="184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Процент участия, %</w:t>
            </w:r>
          </w:p>
        </w:tc>
      </w:tr>
      <w:tr w:rsidR="00D602D4">
        <w:trPr>
          <w:trHeight w:val="170"/>
          <w:jc w:val="center"/>
        </w:trPr>
        <w:tc>
          <w:tcPr>
            <w:tcW w:w="2410"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0"/>
                <w:szCs w:val="20"/>
                <w:highlight w:val="white"/>
                <w:lang w:eastAsia="ru-RU"/>
              </w:rPr>
              <w:t xml:space="preserve">Алешин </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Артем Геннадьевич</w:t>
            </w:r>
            <w:r>
              <w:rPr>
                <w:rFonts w:ascii="Times New Roman" w:eastAsia="Times New Roman" w:hAnsi="Times New Roman" w:cs="Times New Roman"/>
                <w:color w:val="000000"/>
                <w:sz w:val="20"/>
                <w:szCs w:val="20"/>
                <w:highlight w:val="white"/>
                <w:lang w:eastAsia="ru-RU"/>
              </w:rPr>
              <w:br/>
            </w:r>
          </w:p>
        </w:tc>
        <w:tc>
          <w:tcPr>
            <w:tcW w:w="3260"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Председатель Комитета,</w:t>
            </w:r>
            <w:r>
              <w:rPr>
                <w:rFonts w:ascii="Times New Roman" w:hAnsi="Times New Roman" w:cs="Times New Roman"/>
                <w:color w:val="000000"/>
                <w:sz w:val="20"/>
                <w:szCs w:val="20"/>
              </w:rPr>
              <w:br/>
            </w:r>
            <w:r>
              <w:rPr>
                <w:rFonts w:ascii="Times New Roman" w:eastAsia="Times New Roman" w:hAnsi="Times New Roman" w:cs="Times New Roman"/>
                <w:color w:val="000000"/>
                <w:sz w:val="20"/>
                <w:szCs w:val="20"/>
                <w:lang w:eastAsia="ru-RU"/>
              </w:rPr>
              <w:t xml:space="preserve">Временно исполняющий обязанности заместителя Генерального директора по экономике и финансам </w:t>
            </w:r>
          </w:p>
          <w:p w:rsidR="00D602D4" w:rsidRDefault="000B4C86">
            <w:pPr>
              <w:spacing w:after="0" w:line="240" w:lineRule="auto"/>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ПАО «Россети»</w:t>
            </w:r>
          </w:p>
        </w:tc>
        <w:tc>
          <w:tcPr>
            <w:tcW w:w="184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84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410"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Акилин </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Павел Евгеньевич</w:t>
            </w:r>
          </w:p>
        </w:tc>
        <w:tc>
          <w:tcPr>
            <w:tcW w:w="3260"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Генеральный директор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ПАО «Россети Сибирь»</w:t>
            </w:r>
          </w:p>
        </w:tc>
        <w:tc>
          <w:tcPr>
            <w:tcW w:w="184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84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410"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Бычко</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Михаил Александрович</w:t>
            </w:r>
          </w:p>
        </w:tc>
        <w:tc>
          <w:tcPr>
            <w:tcW w:w="3260"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Начальник Департамента капитального строительства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ПАО «Россети»</w:t>
            </w:r>
          </w:p>
        </w:tc>
        <w:tc>
          <w:tcPr>
            <w:tcW w:w="184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84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410"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Данилов </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Антон Евгеньевич</w:t>
            </w:r>
            <w:r>
              <w:rPr>
                <w:rFonts w:ascii="Times New Roman" w:eastAsia="Times New Roman" w:hAnsi="Times New Roman" w:cs="Times New Roman"/>
                <w:color w:val="000000"/>
                <w:sz w:val="20"/>
                <w:szCs w:val="20"/>
                <w:highlight w:val="white"/>
                <w:lang w:eastAsia="ru-RU"/>
              </w:rPr>
              <w:br/>
            </w:r>
            <w:r>
              <w:rPr>
                <w:rFonts w:ascii="Times New Roman" w:eastAsia="Times New Roman" w:hAnsi="Times New Roman" w:cs="Times New Roman"/>
                <w:color w:val="000000"/>
                <w:sz w:val="20"/>
                <w:szCs w:val="20"/>
                <w:highlight w:val="white"/>
                <w:lang w:eastAsia="ru-RU"/>
              </w:rPr>
              <w:br/>
            </w:r>
            <w:r>
              <w:rPr>
                <w:rFonts w:ascii="Times New Roman" w:eastAsia="Times New Roman" w:hAnsi="Times New Roman" w:cs="Times New Roman"/>
                <w:i/>
                <w:color w:val="000000"/>
                <w:sz w:val="20"/>
                <w:szCs w:val="20"/>
                <w:highlight w:val="white"/>
                <w:lang w:eastAsia="ru-RU"/>
              </w:rPr>
              <w:t>Член Совета директоров</w:t>
            </w:r>
            <w:r>
              <w:rPr>
                <w:rFonts w:ascii="Times New Roman" w:eastAsia="Times New Roman" w:hAnsi="Times New Roman" w:cs="Times New Roman"/>
                <w:i/>
                <w:color w:val="000000"/>
                <w:sz w:val="20"/>
                <w:szCs w:val="20"/>
                <w:highlight w:val="white"/>
                <w:lang w:eastAsia="ru-RU"/>
              </w:rPr>
              <w:br/>
              <w:t>Неисполнительный директор</w:t>
            </w:r>
          </w:p>
        </w:tc>
        <w:tc>
          <w:tcPr>
            <w:tcW w:w="3260"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развитию энергорынков и энерготрейдинга ООО «Сибирская генерирующая компания»</w:t>
            </w:r>
          </w:p>
        </w:tc>
        <w:tc>
          <w:tcPr>
            <w:tcW w:w="184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84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D602D4">
        <w:trPr>
          <w:trHeight w:val="230"/>
          <w:jc w:val="center"/>
        </w:trPr>
        <w:tc>
          <w:tcPr>
            <w:tcW w:w="2410" w:type="dxa"/>
            <w:vMerge w:val="restart"/>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0"/>
                <w:szCs w:val="20"/>
                <w:highlight w:val="white"/>
                <w:lang w:eastAsia="ru-RU"/>
              </w:rPr>
              <w:t xml:space="preserve">Козлов </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Иван Евгеньевич</w:t>
            </w:r>
          </w:p>
          <w:p w:rsidR="00D602D4" w:rsidRDefault="00D602D4">
            <w:pPr>
              <w:spacing w:after="0" w:line="240" w:lineRule="auto"/>
              <w:jc w:val="both"/>
              <w:rPr>
                <w:rFonts w:ascii="Times New Roman" w:eastAsia="Times New Roman" w:hAnsi="Times New Roman" w:cs="Times New Roman"/>
                <w:color w:val="000000"/>
                <w:sz w:val="20"/>
                <w:szCs w:val="20"/>
                <w:highlight w:val="white"/>
              </w:rPr>
            </w:pP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i/>
                <w:color w:val="000000"/>
                <w:sz w:val="20"/>
                <w:szCs w:val="20"/>
                <w:highlight w:val="white"/>
                <w:lang w:eastAsia="ru-RU"/>
              </w:rPr>
              <w:t>Член Совета директоров</w:t>
            </w:r>
            <w:r>
              <w:rPr>
                <w:rFonts w:ascii="Times New Roman" w:eastAsia="Times New Roman" w:hAnsi="Times New Roman" w:cs="Times New Roman"/>
                <w:i/>
                <w:color w:val="000000"/>
                <w:sz w:val="20"/>
                <w:szCs w:val="20"/>
                <w:highlight w:val="white"/>
                <w:lang w:eastAsia="ru-RU"/>
              </w:rPr>
              <w:br/>
              <w:t>Неисполнительный директор</w:t>
            </w:r>
          </w:p>
        </w:tc>
        <w:tc>
          <w:tcPr>
            <w:tcW w:w="3260" w:type="dxa"/>
            <w:vMerge w:val="restart"/>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Директор по закупкам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ООО «Сибирская генерирующая компания»</w:t>
            </w:r>
          </w:p>
        </w:tc>
        <w:tc>
          <w:tcPr>
            <w:tcW w:w="1843"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844" w:type="dxa"/>
            <w:vMerge w:val="restart"/>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410"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Краинский </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Даниил Владимирович</w:t>
            </w:r>
          </w:p>
        </w:tc>
        <w:tc>
          <w:tcPr>
            <w:tcW w:w="3260"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Заместитель Генерального директора по правовому обеспечению ПАО «Россети»</w:t>
            </w:r>
          </w:p>
        </w:tc>
        <w:tc>
          <w:tcPr>
            <w:tcW w:w="184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84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410"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lastRenderedPageBreak/>
              <w:t xml:space="preserve">Лещевская </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Юлия Александровна</w:t>
            </w:r>
          </w:p>
        </w:tc>
        <w:tc>
          <w:tcPr>
            <w:tcW w:w="3260"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Заместитель Генерального директора по стратегии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ПАО «Россети»</w:t>
            </w:r>
          </w:p>
        </w:tc>
        <w:tc>
          <w:tcPr>
            <w:tcW w:w="184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84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410"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Парамонова </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Наталья Владимировна</w:t>
            </w:r>
          </w:p>
        </w:tc>
        <w:tc>
          <w:tcPr>
            <w:tcW w:w="3260"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Первый заместитель начальника Департамента экономики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ПАО «Россети»</w:t>
            </w:r>
          </w:p>
        </w:tc>
        <w:tc>
          <w:tcPr>
            <w:tcW w:w="184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84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410"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Трубицын </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Кирилл Андреевич</w:t>
            </w:r>
          </w:p>
          <w:p w:rsidR="00D602D4" w:rsidRDefault="00D602D4">
            <w:pPr>
              <w:spacing w:after="0" w:line="240" w:lineRule="auto"/>
              <w:jc w:val="both"/>
              <w:rPr>
                <w:rFonts w:ascii="Times New Roman" w:eastAsia="Times New Roman" w:hAnsi="Times New Roman" w:cs="Times New Roman"/>
                <w:color w:val="000000"/>
                <w:sz w:val="20"/>
                <w:szCs w:val="20"/>
                <w:highlight w:val="white"/>
              </w:rPr>
            </w:pPr>
          </w:p>
          <w:p w:rsidR="00D602D4" w:rsidRDefault="000B4C86">
            <w:pPr>
              <w:spacing w:after="0" w:line="240" w:lineRule="auto"/>
              <w:jc w:val="both"/>
              <w:rPr>
                <w:rFonts w:ascii="Times New Roman" w:eastAsia="Times New Roman" w:hAnsi="Times New Roman" w:cs="Times New Roman"/>
                <w:i/>
                <w:color w:val="000000"/>
                <w:sz w:val="20"/>
                <w:szCs w:val="20"/>
                <w:highlight w:val="white"/>
              </w:rPr>
            </w:pPr>
            <w:r>
              <w:rPr>
                <w:rFonts w:ascii="Times New Roman" w:eastAsia="Times New Roman" w:hAnsi="Times New Roman" w:cs="Times New Roman"/>
                <w:i/>
                <w:color w:val="000000"/>
                <w:sz w:val="20"/>
                <w:szCs w:val="20"/>
                <w:highlight w:val="white"/>
                <w:lang w:eastAsia="ru-RU"/>
              </w:rPr>
              <w:t>Член Совета директоров</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i/>
                <w:color w:val="000000"/>
                <w:sz w:val="20"/>
                <w:szCs w:val="20"/>
                <w:highlight w:val="white"/>
                <w:lang w:eastAsia="ru-RU"/>
              </w:rPr>
              <w:t>Независимый директор</w:t>
            </w:r>
          </w:p>
        </w:tc>
        <w:tc>
          <w:tcPr>
            <w:tcW w:w="3260"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правовым вопросам ООО «Сибирская генерирующая компания»</w:t>
            </w:r>
          </w:p>
        </w:tc>
        <w:tc>
          <w:tcPr>
            <w:tcW w:w="184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84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410"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Черкашин </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Василий Владимирович</w:t>
            </w:r>
          </w:p>
          <w:p w:rsidR="00D602D4" w:rsidRDefault="00D602D4">
            <w:pPr>
              <w:spacing w:after="0" w:line="240" w:lineRule="auto"/>
              <w:jc w:val="both"/>
              <w:rPr>
                <w:rFonts w:ascii="Times New Roman" w:eastAsia="Times New Roman" w:hAnsi="Times New Roman" w:cs="Times New Roman"/>
                <w:color w:val="000000"/>
                <w:sz w:val="20"/>
                <w:szCs w:val="20"/>
                <w:highlight w:val="white"/>
              </w:rPr>
            </w:pP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i/>
                <w:color w:val="000000"/>
                <w:sz w:val="20"/>
                <w:szCs w:val="20"/>
                <w:highlight w:val="white"/>
                <w:lang w:eastAsia="ru-RU"/>
              </w:rPr>
              <w:t>Член Совета директоров</w:t>
            </w:r>
            <w:r>
              <w:rPr>
                <w:rFonts w:ascii="Times New Roman" w:eastAsia="Times New Roman" w:hAnsi="Times New Roman" w:cs="Times New Roman"/>
                <w:i/>
                <w:color w:val="000000"/>
                <w:sz w:val="20"/>
                <w:szCs w:val="20"/>
                <w:highlight w:val="white"/>
                <w:lang w:eastAsia="ru-RU"/>
              </w:rPr>
              <w:br/>
              <w:t>Неисполнительный директор</w:t>
            </w:r>
          </w:p>
        </w:tc>
        <w:tc>
          <w:tcPr>
            <w:tcW w:w="3260"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Директор по стратегии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ООО «Сибирская генерирующая компания»</w:t>
            </w:r>
          </w:p>
        </w:tc>
        <w:tc>
          <w:tcPr>
            <w:tcW w:w="1843"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84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410"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 xml:space="preserve">Шашкова </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color w:val="000000"/>
                <w:sz w:val="20"/>
                <w:szCs w:val="20"/>
                <w:highlight w:val="white"/>
                <w:lang w:eastAsia="ru-RU"/>
              </w:rPr>
              <w:t>Наталья Васильевна</w:t>
            </w:r>
          </w:p>
          <w:p w:rsidR="00D602D4" w:rsidRDefault="00D602D4">
            <w:pPr>
              <w:spacing w:after="0" w:line="240" w:lineRule="auto"/>
              <w:jc w:val="both"/>
              <w:rPr>
                <w:rFonts w:ascii="Times New Roman" w:eastAsia="Times New Roman" w:hAnsi="Times New Roman" w:cs="Times New Roman"/>
                <w:color w:val="000000"/>
                <w:sz w:val="20"/>
                <w:szCs w:val="20"/>
                <w:highlight w:val="white"/>
              </w:rPr>
            </w:pPr>
          </w:p>
          <w:p w:rsidR="00D602D4" w:rsidRDefault="000B4C86">
            <w:pPr>
              <w:spacing w:after="0" w:line="240" w:lineRule="auto"/>
              <w:jc w:val="both"/>
              <w:rPr>
                <w:rFonts w:ascii="Times New Roman" w:eastAsia="Times New Roman" w:hAnsi="Times New Roman" w:cs="Times New Roman"/>
                <w:i/>
                <w:color w:val="000000"/>
                <w:sz w:val="20"/>
                <w:szCs w:val="20"/>
                <w:highlight w:val="white"/>
              </w:rPr>
            </w:pPr>
            <w:r>
              <w:rPr>
                <w:rFonts w:ascii="Times New Roman" w:eastAsia="Times New Roman" w:hAnsi="Times New Roman" w:cs="Times New Roman"/>
                <w:i/>
                <w:color w:val="000000"/>
                <w:sz w:val="20"/>
                <w:szCs w:val="20"/>
                <w:highlight w:val="white"/>
                <w:lang w:eastAsia="ru-RU"/>
              </w:rPr>
              <w:t>Член Совета директоров</w:t>
            </w:r>
          </w:p>
          <w:p w:rsidR="00D602D4" w:rsidRDefault="000B4C86">
            <w:pPr>
              <w:spacing w:after="0"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i/>
                <w:color w:val="000000"/>
                <w:sz w:val="20"/>
                <w:szCs w:val="20"/>
                <w:highlight w:val="white"/>
                <w:lang w:eastAsia="ru-RU"/>
              </w:rPr>
              <w:t>Независимый директор</w:t>
            </w:r>
          </w:p>
        </w:tc>
        <w:tc>
          <w:tcPr>
            <w:tcW w:w="3260" w:type="dxa"/>
            <w:tcBorders>
              <w:top w:val="singl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Директор по экономике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ООО «Сибирская генерирующая компания»</w:t>
            </w:r>
          </w:p>
        </w:tc>
        <w:tc>
          <w:tcPr>
            <w:tcW w:w="1843"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1844"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bl>
    <w:p w:rsidR="00D602D4" w:rsidRDefault="00D602D4">
      <w:pPr>
        <w:pStyle w:val="ac"/>
        <w:widowControl w:val="0"/>
        <w:tabs>
          <w:tab w:val="left" w:pos="142"/>
          <w:tab w:val="left" w:pos="360"/>
          <w:tab w:val="left" w:pos="993"/>
        </w:tabs>
        <w:spacing w:after="0" w:line="240" w:lineRule="auto"/>
        <w:ind w:left="0"/>
        <w:jc w:val="both"/>
        <w:rPr>
          <w:rFonts w:ascii="Times New Roman" w:hAnsi="Times New Roman"/>
          <w:sz w:val="24"/>
          <w:szCs w:val="24"/>
        </w:rPr>
      </w:pPr>
    </w:p>
    <w:p w:rsidR="00D602D4" w:rsidRDefault="000B4C86">
      <w:pPr>
        <w:pStyle w:val="ac"/>
        <w:widowControl w:val="0"/>
        <w:tabs>
          <w:tab w:val="left" w:pos="142"/>
          <w:tab w:val="left" w:pos="360"/>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В 2024 году состоялось 12 заседаний (08 февраля, 22 февраля, 16 апреля, 08 мая, 28 мая, 17 июня, 25 июля, 03 сентября, 25 октября, 31 октября, 11 декабря, 23 декабря) Комитета по стратегии в заочной форме. Рассмотрено 30 вопросов. </w:t>
      </w:r>
    </w:p>
    <w:p w:rsidR="00D602D4" w:rsidRDefault="000B4C86">
      <w:pPr>
        <w:pStyle w:val="ac"/>
        <w:widowControl w:val="0"/>
        <w:tabs>
          <w:tab w:val="left" w:pos="142"/>
          <w:tab w:val="left" w:pos="360"/>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Представлены рекомендации Совету директоров по 29 вопросам, в том числе по вопросам:</w:t>
      </w:r>
    </w:p>
    <w:p w:rsidR="00D602D4" w:rsidRDefault="000B4C86">
      <w:pPr>
        <w:pStyle w:val="ac"/>
        <w:widowControl w:val="0"/>
        <w:numPr>
          <w:ilvl w:val="0"/>
          <w:numId w:val="94"/>
        </w:numPr>
        <w:tabs>
          <w:tab w:val="left" w:pos="142"/>
          <w:tab w:val="left" w:pos="360"/>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об утверждении бизнес-плана ПАО «Россети Сибирь» на 2024 год и прогнозных показателей на 2025-2028 годы;</w:t>
      </w:r>
    </w:p>
    <w:p w:rsidR="00D602D4" w:rsidRDefault="000B4C86">
      <w:pPr>
        <w:pStyle w:val="ac"/>
        <w:widowControl w:val="0"/>
        <w:numPr>
          <w:ilvl w:val="0"/>
          <w:numId w:val="94"/>
        </w:numPr>
        <w:tabs>
          <w:tab w:val="left" w:pos="142"/>
          <w:tab w:val="left" w:pos="360"/>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об утверждении актуализированной Программы цифровой трансформации ПАО «Россети Сибирь» на период с 2023 до 2030 года;</w:t>
      </w:r>
    </w:p>
    <w:p w:rsidR="00D602D4" w:rsidRDefault="000B4C86">
      <w:pPr>
        <w:pStyle w:val="ac"/>
        <w:widowControl w:val="0"/>
        <w:numPr>
          <w:ilvl w:val="0"/>
          <w:numId w:val="94"/>
        </w:numPr>
        <w:tabs>
          <w:tab w:val="left" w:pos="142"/>
          <w:tab w:val="left" w:pos="360"/>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об утверждении сводного на принципах РСБУ и консолидированного на принципах МСФО бизнес-плана Группы ПАО «Россети Сибирь» на 2024 год и прогнозных показателей на 2025-2028 годы;</w:t>
      </w:r>
    </w:p>
    <w:p w:rsidR="00D602D4" w:rsidRDefault="000B4C86">
      <w:pPr>
        <w:pStyle w:val="ac"/>
        <w:widowControl w:val="0"/>
        <w:numPr>
          <w:ilvl w:val="0"/>
          <w:numId w:val="93"/>
        </w:numPr>
        <w:tabs>
          <w:tab w:val="left" w:pos="142"/>
          <w:tab w:val="left" w:pos="360"/>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об утверждении ключевых показателей эффективности и функциональных ключевых показателей эффективности руководящего состава ПАО «Россети Сибирь» на 2024-2026 годы;</w:t>
      </w:r>
    </w:p>
    <w:p w:rsidR="00D602D4" w:rsidRDefault="000B4C86">
      <w:pPr>
        <w:pStyle w:val="ac"/>
        <w:widowControl w:val="0"/>
        <w:numPr>
          <w:ilvl w:val="0"/>
          <w:numId w:val="92"/>
        </w:numPr>
        <w:tabs>
          <w:tab w:val="left" w:pos="142"/>
          <w:tab w:val="left" w:pos="360"/>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об одобрении проекта инвестиционной программы ПАО «Россети Сибирь» на период 2024-2029 гг.</w:t>
      </w:r>
    </w:p>
    <w:p w:rsidR="00D602D4" w:rsidRDefault="000B4C86">
      <w:pPr>
        <w:widowControl w:val="0"/>
        <w:spacing w:after="0" w:line="240" w:lineRule="auto"/>
        <w:ind w:firstLine="709"/>
        <w:jc w:val="right"/>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highlight w:val="white"/>
        </w:rPr>
        <w:t>Таблица 84</w:t>
      </w:r>
    </w:p>
    <w:p w:rsidR="00D602D4" w:rsidRDefault="000B4C86">
      <w:pPr>
        <w:widowControl w:val="0"/>
        <w:spacing w:after="0" w:line="240" w:lineRule="auto"/>
        <w:ind w:firstLine="70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Категории рассмотренных Комитетом по стратегии вопросов в 2024 году</w:t>
      </w:r>
    </w:p>
    <w:tbl>
      <w:tblPr>
        <w:tblStyle w:val="83"/>
        <w:tblW w:w="9227" w:type="dxa"/>
        <w:jc w:val="center"/>
        <w:tblInd w:w="0" w:type="dxa"/>
        <w:tblLook w:val="04A0" w:firstRow="1" w:lastRow="0" w:firstColumn="1" w:lastColumn="0" w:noHBand="0" w:noVBand="1"/>
      </w:tblPr>
      <w:tblGrid>
        <w:gridCol w:w="4957"/>
        <w:gridCol w:w="637"/>
        <w:gridCol w:w="1793"/>
        <w:gridCol w:w="1840"/>
      </w:tblGrid>
      <w:tr w:rsidR="00D602D4">
        <w:trPr>
          <w:trHeight w:val="340"/>
          <w:jc w:val="center"/>
        </w:trPr>
        <w:tc>
          <w:tcPr>
            <w:tcW w:w="495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bCs/>
                <w:color w:val="000000"/>
                <w:sz w:val="20"/>
                <w:szCs w:val="20"/>
              </w:rPr>
              <w:t>Категории вопросов</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34"/>
              </w:tabs>
              <w:ind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Ед.</w:t>
            </w:r>
          </w:p>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bCs/>
                <w:color w:val="000000"/>
                <w:sz w:val="20"/>
                <w:szCs w:val="20"/>
              </w:rPr>
              <w:t>изм.</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sz w:val="20"/>
                <w:szCs w:val="20"/>
              </w:rPr>
              <w:t>Количество вопросов</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b/>
                <w:sz w:val="20"/>
                <w:szCs w:val="20"/>
                <w:highlight w:val="white"/>
              </w:rPr>
            </w:pPr>
            <w:r>
              <w:rPr>
                <w:rFonts w:ascii="Times New Roman" w:hAnsi="Times New Roman"/>
                <w:b/>
                <w:sz w:val="20"/>
                <w:szCs w:val="20"/>
                <w:highlight w:val="white"/>
              </w:rPr>
              <w:t>Процент от общего числа, %</w:t>
            </w:r>
          </w:p>
        </w:tc>
      </w:tr>
      <w:tr w:rsidR="00D602D4">
        <w:trPr>
          <w:trHeight w:val="340"/>
          <w:jc w:val="center"/>
        </w:trPr>
        <w:tc>
          <w:tcPr>
            <w:tcW w:w="495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Рассмотрение БП и отчетов об исполнении БП</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9</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w:t>
            </w:r>
          </w:p>
        </w:tc>
      </w:tr>
      <w:tr w:rsidR="00D602D4">
        <w:trPr>
          <w:trHeight w:val="340"/>
          <w:jc w:val="center"/>
        </w:trPr>
        <w:tc>
          <w:tcPr>
            <w:tcW w:w="495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Рассмотрение ИПР и отчетов об исполнении ИПР</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6</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w:t>
            </w:r>
          </w:p>
        </w:tc>
      </w:tr>
      <w:tr w:rsidR="00D602D4">
        <w:trPr>
          <w:trHeight w:val="340"/>
          <w:jc w:val="center"/>
        </w:trPr>
        <w:tc>
          <w:tcPr>
            <w:tcW w:w="495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Вопросы, связанные с управлением рисками</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1</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r>
      <w:tr w:rsidR="00D602D4">
        <w:trPr>
          <w:trHeight w:val="340"/>
          <w:jc w:val="center"/>
        </w:trPr>
        <w:tc>
          <w:tcPr>
            <w:tcW w:w="495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КПЭ и отчеты об исполнении КПЭ</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2</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D602D4">
        <w:trPr>
          <w:trHeight w:val="340"/>
          <w:jc w:val="center"/>
        </w:trPr>
        <w:tc>
          <w:tcPr>
            <w:tcW w:w="495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Отчеты по направлениям деятельности</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6</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w:t>
            </w:r>
          </w:p>
        </w:tc>
      </w:tr>
      <w:tr w:rsidR="00D602D4">
        <w:trPr>
          <w:trHeight w:val="340"/>
          <w:jc w:val="center"/>
        </w:trPr>
        <w:tc>
          <w:tcPr>
            <w:tcW w:w="495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Организационные вопросы</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2</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D602D4">
        <w:trPr>
          <w:trHeight w:val="340"/>
          <w:jc w:val="center"/>
        </w:trPr>
        <w:tc>
          <w:tcPr>
            <w:tcW w:w="495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 xml:space="preserve">Другое </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4</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p>
        </w:tc>
      </w:tr>
    </w:tbl>
    <w:p w:rsidR="00D602D4" w:rsidRDefault="00D602D4">
      <w:pPr>
        <w:widowControl w:val="0"/>
        <w:spacing w:after="0" w:line="240" w:lineRule="auto"/>
        <w:jc w:val="center"/>
        <w:rPr>
          <w:rFonts w:ascii="Times New Roman" w:eastAsia="Times New Roman" w:hAnsi="Times New Roman" w:cs="Times New Roman"/>
          <w:b/>
          <w:sz w:val="24"/>
          <w:szCs w:val="24"/>
        </w:rPr>
      </w:pPr>
    </w:p>
    <w:p w:rsidR="00D602D4" w:rsidRDefault="00D602D4">
      <w:pPr>
        <w:widowControl w:val="0"/>
        <w:spacing w:after="0" w:line="240" w:lineRule="auto"/>
        <w:ind w:firstLine="709"/>
        <w:jc w:val="center"/>
        <w:rPr>
          <w:rFonts w:ascii="Times New Roman" w:eastAsia="Times New Roman" w:hAnsi="Times New Roman" w:cs="Times New Roman"/>
          <w:b/>
          <w:bCs/>
          <w:sz w:val="24"/>
          <w:szCs w:val="24"/>
        </w:rPr>
      </w:pPr>
    </w:p>
    <w:p w:rsidR="00D602D4" w:rsidRDefault="00D602D4">
      <w:pPr>
        <w:widowControl w:val="0"/>
        <w:spacing w:after="0" w:line="240" w:lineRule="auto"/>
        <w:ind w:firstLine="709"/>
        <w:jc w:val="center"/>
        <w:rPr>
          <w:rFonts w:ascii="Times New Roman" w:eastAsia="Calibri" w:hAnsi="Times New Roman" w:cs="Times New Roman"/>
          <w:b/>
          <w:bCs/>
          <w:sz w:val="24"/>
          <w:szCs w:val="24"/>
        </w:rPr>
      </w:pPr>
    </w:p>
    <w:p w:rsidR="00D602D4" w:rsidRDefault="00D602D4">
      <w:pPr>
        <w:widowControl w:val="0"/>
        <w:spacing w:after="0" w:line="240" w:lineRule="auto"/>
        <w:ind w:firstLine="709"/>
        <w:jc w:val="center"/>
        <w:rPr>
          <w:rFonts w:ascii="Times New Roman" w:eastAsia="Calibri" w:hAnsi="Times New Roman" w:cs="Times New Roman"/>
          <w:b/>
          <w:bCs/>
          <w:sz w:val="24"/>
          <w:szCs w:val="24"/>
        </w:rPr>
      </w:pPr>
    </w:p>
    <w:p w:rsidR="00D602D4" w:rsidRDefault="00D602D4">
      <w:pPr>
        <w:widowControl w:val="0"/>
        <w:spacing w:after="0" w:line="240" w:lineRule="auto"/>
        <w:ind w:firstLine="709"/>
        <w:jc w:val="center"/>
        <w:rPr>
          <w:rFonts w:ascii="Times New Roman" w:eastAsia="Calibri" w:hAnsi="Times New Roman" w:cs="Times New Roman"/>
          <w:b/>
          <w:bCs/>
          <w:sz w:val="24"/>
          <w:szCs w:val="24"/>
        </w:rPr>
      </w:pPr>
    </w:p>
    <w:p w:rsidR="00D602D4" w:rsidRDefault="00D602D4">
      <w:pPr>
        <w:widowControl w:val="0"/>
        <w:spacing w:after="0" w:line="240" w:lineRule="auto"/>
        <w:ind w:firstLine="709"/>
        <w:jc w:val="center"/>
        <w:rPr>
          <w:rFonts w:ascii="Times New Roman" w:eastAsia="Calibri" w:hAnsi="Times New Roman" w:cs="Times New Roman"/>
          <w:b/>
          <w:bCs/>
          <w:sz w:val="24"/>
          <w:szCs w:val="24"/>
        </w:rPr>
      </w:pPr>
    </w:p>
    <w:p w:rsidR="00D602D4" w:rsidRDefault="000B4C86">
      <w:pPr>
        <w:widowControl w:val="0"/>
        <w:spacing w:after="0" w:line="240" w:lineRule="auto"/>
        <w:ind w:firstLine="709"/>
        <w:jc w:val="center"/>
        <w:rPr>
          <w:rFonts w:ascii="Times New Roman" w:eastAsia="Calibri" w:hAnsi="Times New Roman" w:cs="Times New Roman"/>
          <w:b/>
          <w:bCs/>
          <w:sz w:val="24"/>
          <w:szCs w:val="24"/>
        </w:rPr>
      </w:pPr>
      <w:r>
        <w:rPr>
          <w:rFonts w:ascii="Times New Roman" w:eastAsia="Times New Roman" w:hAnsi="Times New Roman" w:cs="Times New Roman"/>
          <w:b/>
          <w:sz w:val="24"/>
          <w:szCs w:val="24"/>
        </w:rPr>
        <w:t>Отчет Комитета по аудиту</w:t>
      </w:r>
      <w:r>
        <w:rPr>
          <w:rFonts w:ascii="Times New Roman" w:eastAsia="Calibri" w:hAnsi="Times New Roman" w:cs="Times New Roman"/>
          <w:bCs/>
          <w:iCs/>
          <w:sz w:val="24"/>
          <w:szCs w:val="24"/>
        </w:rPr>
        <w:t xml:space="preserve"> </w:t>
      </w:r>
      <w:r>
        <w:rPr>
          <w:rFonts w:ascii="Times New Roman" w:eastAsia="Calibri" w:hAnsi="Times New Roman" w:cs="Times New Roman"/>
          <w:b/>
          <w:bCs/>
          <w:iCs/>
          <w:sz w:val="24"/>
          <w:szCs w:val="24"/>
        </w:rPr>
        <w:t>Совета директоров Общества</w:t>
      </w:r>
    </w:p>
    <w:p w:rsidR="00D602D4" w:rsidRDefault="00D602D4">
      <w:pPr>
        <w:widowControl w:val="0"/>
        <w:spacing w:after="0" w:line="240" w:lineRule="auto"/>
        <w:ind w:firstLine="709"/>
        <w:jc w:val="center"/>
        <w:rPr>
          <w:rFonts w:ascii="Times New Roman" w:eastAsia="Times New Roman" w:hAnsi="Times New Roman" w:cs="Times New Roman"/>
          <w:b/>
          <w:bCs/>
          <w:sz w:val="24"/>
          <w:szCs w:val="24"/>
        </w:rPr>
      </w:pP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Комитет по аудиту Совета директоров ПАО «Россети Сибирь» </w:t>
      </w:r>
      <w:r>
        <w:rPr>
          <w:rFonts w:ascii="Times New Roman" w:eastAsia="Calibri" w:hAnsi="Times New Roman" w:cs="Times New Roman"/>
          <w:bCs/>
          <w:iCs/>
          <w:sz w:val="24"/>
          <w:szCs w:val="24"/>
        </w:rPr>
        <w:t>(далее – Комитет по аудиту)</w:t>
      </w:r>
      <w:r>
        <w:rPr>
          <w:rFonts w:ascii="Times New Roman" w:eastAsia="Times New Roman" w:hAnsi="Times New Roman" w:cs="Times New Roman"/>
          <w:sz w:val="24"/>
          <w:szCs w:val="24"/>
        </w:rPr>
        <w:t xml:space="preserve"> создан по решению Совета директоров Общества от 12.12.2008 </w:t>
      </w:r>
      <w:r>
        <w:rPr>
          <w:rFonts w:ascii="Times New Roman" w:eastAsia="Times New Roman" w:hAnsi="Times New Roman" w:cs="Times New Roman"/>
          <w:spacing w:val="-2"/>
          <w:sz w:val="24"/>
          <w:szCs w:val="24"/>
          <w:lang w:eastAsia="ru-RU"/>
        </w:rPr>
        <w:t>(протокол от 15.12.2008 № 26/08).</w:t>
      </w:r>
    </w:p>
    <w:p w:rsidR="00D602D4" w:rsidRDefault="000B4C86">
      <w:pPr>
        <w:spacing w:after="0" w:line="240" w:lineRule="auto"/>
        <w:ind w:firstLine="709"/>
        <w:jc w:val="both"/>
        <w:rPr>
          <w:rFonts w:ascii="Times New Roman" w:eastAsia="Times New Roman" w:hAnsi="Times New Roman" w:cs="Times New Roman"/>
          <w:spacing w:val="-2"/>
          <w:sz w:val="24"/>
          <w:szCs w:val="24"/>
          <w:lang w:eastAsia="ru-RU"/>
        </w:rPr>
      </w:pPr>
      <w:r>
        <w:rPr>
          <w:rFonts w:ascii="Times New Roman" w:eastAsia="Times New Roman" w:hAnsi="Times New Roman" w:cs="Times New Roman"/>
          <w:spacing w:val="-2"/>
          <w:sz w:val="24"/>
          <w:szCs w:val="24"/>
          <w:lang w:eastAsia="ru-RU"/>
        </w:rPr>
        <w:t xml:space="preserve">Деятельность Комитета по аудиту регулируется </w:t>
      </w:r>
      <w:hyperlink r:id="rId103" w:tooltip="http://www.mrsk-yuga.ru/files/file/site/aud_novred.pdf" w:history="1">
        <w:r>
          <w:rPr>
            <w:rFonts w:ascii="Times New Roman" w:hAnsi="Times New Roman" w:cs="Times New Roman"/>
            <w:sz w:val="24"/>
            <w:szCs w:val="24"/>
          </w:rPr>
          <w:t>Положением о Комитете по аудиту</w:t>
        </w:r>
      </w:hyperlink>
      <w:r>
        <w:rPr>
          <w:rFonts w:ascii="Times New Roman" w:eastAsia="Calibri" w:hAnsi="Times New Roman" w:cs="Times New Roman"/>
          <w:bCs/>
          <w:iCs/>
          <w:sz w:val="24"/>
          <w:szCs w:val="24"/>
        </w:rPr>
        <w:t xml:space="preserve"> Совета директоров Общества</w:t>
      </w:r>
      <w:r>
        <w:rPr>
          <w:rFonts w:ascii="Times New Roman" w:eastAsia="Times New Roman" w:hAnsi="Times New Roman" w:cs="Times New Roman"/>
          <w:spacing w:val="-2"/>
          <w:sz w:val="24"/>
          <w:szCs w:val="24"/>
          <w:lang w:eastAsia="ru-RU"/>
        </w:rPr>
        <w:t>, утвержденным решением Совета директоров Общества от 29.02.2016 (протокол от 01.03.2016 от № 180/16) с учетом изменений и дополнений, внесенных решением Совета директоров Общества от 26.10.2016 (протокол от 28.10.2016 № 208/16), с учетом изменений, внесенных решением Совета директоров Общества от 13.12.2022 (протокол от 16.12.2022 № 473/22)</w:t>
      </w:r>
      <w:r>
        <w:rPr>
          <w:rStyle w:val="af1"/>
          <w:rFonts w:ascii="Times New Roman" w:eastAsia="Times New Roman" w:hAnsi="Times New Roman" w:cs="Times New Roman"/>
          <w:spacing w:val="-2"/>
          <w:sz w:val="24"/>
          <w:szCs w:val="24"/>
          <w:lang w:eastAsia="ru-RU"/>
        </w:rPr>
        <w:footnoteReference w:id="28"/>
      </w:r>
      <w:r>
        <w:rPr>
          <w:rFonts w:ascii="Times New Roman" w:eastAsia="Times New Roman" w:hAnsi="Times New Roman" w:cs="Times New Roman"/>
          <w:spacing w:val="-2"/>
          <w:sz w:val="24"/>
          <w:szCs w:val="24"/>
          <w:lang w:eastAsia="ru-RU"/>
        </w:rPr>
        <w:t xml:space="preserve">. </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Основными задачами Комитета по аудиту являются рассмотрение бухгалтерской (финансовой) отчетности Общества и надзор за процессом ее подготовки, контроль за надежностью и эффективностью функционирования системы внутреннего контроля, системы управления рисками, практики корпоративного управления, контроль за проведением внешнего аудита и выбором аудитора, обеспечение независимости и объективности осуществления функции внутреннего аудита, надзор за эффективностью функционирования системы противодействия недобросовестным действиям работников Общества и третьих лиц.</w:t>
      </w:r>
    </w:p>
    <w:p w:rsidR="00D602D4" w:rsidRDefault="00D602D4">
      <w:pPr>
        <w:widowControl w:val="0"/>
        <w:tabs>
          <w:tab w:val="left" w:pos="0"/>
          <w:tab w:val="left" w:pos="284"/>
        </w:tabs>
        <w:spacing w:after="0" w:line="240" w:lineRule="auto"/>
        <w:ind w:firstLine="709"/>
        <w:jc w:val="right"/>
        <w:rPr>
          <w:rFonts w:ascii="Times New Roman" w:eastAsia="Times New Roman" w:hAnsi="Times New Roman" w:cs="Times New Roman"/>
          <w:sz w:val="24"/>
          <w:szCs w:val="24"/>
        </w:rPr>
      </w:pPr>
    </w:p>
    <w:p w:rsidR="00D602D4" w:rsidRDefault="000B4C86">
      <w:pPr>
        <w:widowControl w:val="0"/>
        <w:tabs>
          <w:tab w:val="left" w:pos="0"/>
          <w:tab w:val="left" w:pos="284"/>
        </w:tabs>
        <w:spacing w:after="0" w:line="240" w:lineRule="auto"/>
        <w:ind w:firstLine="709"/>
        <w:jc w:val="right"/>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highlight w:val="white"/>
        </w:rPr>
        <w:t xml:space="preserve"> Таблица</w:t>
      </w:r>
      <w:r>
        <w:rPr>
          <w:rFonts w:ascii="Times New Roman" w:eastAsia="Times New Roman" w:hAnsi="Times New Roman" w:cs="Times New Roman"/>
          <w:sz w:val="24"/>
          <w:szCs w:val="24"/>
        </w:rPr>
        <w:t xml:space="preserve"> 85</w:t>
      </w:r>
    </w:p>
    <w:p w:rsidR="00D602D4" w:rsidRDefault="000B4C86">
      <w:pPr>
        <w:widowControl w:val="0"/>
        <w:tabs>
          <w:tab w:val="left" w:pos="0"/>
          <w:tab w:val="left" w:pos="284"/>
        </w:tabs>
        <w:spacing w:after="0" w:line="240" w:lineRule="auto"/>
        <w:ind w:firstLine="70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Персональный состав и участие членов Комитета по аудиту </w:t>
      </w:r>
    </w:p>
    <w:p w:rsidR="00D602D4" w:rsidRDefault="000B4C86">
      <w:pPr>
        <w:widowControl w:val="0"/>
        <w:spacing w:after="0" w:line="240" w:lineRule="auto"/>
        <w:ind w:firstLine="70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 работе Комитета по аудиту с 01.01.2024 по 26.07.2024</w:t>
      </w:r>
    </w:p>
    <w:p w:rsidR="00D602D4" w:rsidRDefault="00D602D4">
      <w:pPr>
        <w:widowControl w:val="0"/>
        <w:spacing w:after="0" w:line="240" w:lineRule="auto"/>
        <w:ind w:firstLine="709"/>
        <w:jc w:val="center"/>
        <w:rPr>
          <w:rFonts w:ascii="Times New Roman" w:eastAsia="Times New Roman" w:hAnsi="Times New Roman" w:cs="Times New Roman"/>
          <w:b/>
          <w:sz w:val="18"/>
          <w:szCs w:val="18"/>
        </w:rPr>
      </w:pP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3"/>
        <w:gridCol w:w="1701"/>
        <w:gridCol w:w="1101"/>
        <w:gridCol w:w="1319"/>
        <w:gridCol w:w="992"/>
        <w:gridCol w:w="993"/>
        <w:gridCol w:w="1134"/>
        <w:gridCol w:w="986"/>
      </w:tblGrid>
      <w:tr w:rsidR="00D602D4">
        <w:trPr>
          <w:trHeight w:val="291"/>
          <w:jc w:val="center"/>
        </w:trPr>
        <w:tc>
          <w:tcPr>
            <w:tcW w:w="1413" w:type="dxa"/>
            <w:vMerge w:val="restart"/>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Ф. И. О.</w:t>
            </w:r>
          </w:p>
        </w:tc>
        <w:tc>
          <w:tcPr>
            <w:tcW w:w="1701" w:type="dxa"/>
            <w:vMerge w:val="restart"/>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Должность</w:t>
            </w:r>
          </w:p>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(на момент избрания)</w:t>
            </w:r>
          </w:p>
        </w:tc>
        <w:tc>
          <w:tcPr>
            <w:tcW w:w="4405" w:type="dxa"/>
            <w:gridSpan w:val="4"/>
            <w:tcBorders>
              <w:top w:val="single" w:sz="4" w:space="0" w:color="000000"/>
              <w:bottom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Очные заседания (3)</w:t>
            </w:r>
          </w:p>
        </w:tc>
        <w:tc>
          <w:tcPr>
            <w:tcW w:w="2120" w:type="dxa"/>
            <w:gridSpan w:val="2"/>
            <w:tcBorders>
              <w:bottom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Заочные заседания (6)</w:t>
            </w:r>
          </w:p>
        </w:tc>
      </w:tr>
      <w:tr w:rsidR="00D602D4">
        <w:trPr>
          <w:trHeight w:val="690"/>
          <w:jc w:val="center"/>
        </w:trPr>
        <w:tc>
          <w:tcPr>
            <w:tcW w:w="1413" w:type="dxa"/>
            <w:vMerge/>
            <w:shd w:val="clear" w:color="FFFFFF" w:fill="FFFFFF"/>
            <w:vAlign w:val="center"/>
          </w:tcPr>
          <w:p w:rsidR="00D602D4" w:rsidRDefault="00D602D4">
            <w:pPr>
              <w:widowControl w:val="0"/>
              <w:spacing w:after="0" w:line="240" w:lineRule="auto"/>
              <w:jc w:val="center"/>
              <w:rPr>
                <w:rFonts w:ascii="Times New Roman" w:eastAsia="Times New Roman" w:hAnsi="Times New Roman" w:cs="Times New Roman"/>
                <w:b/>
                <w:sz w:val="20"/>
                <w:szCs w:val="20"/>
              </w:rPr>
            </w:pPr>
          </w:p>
        </w:tc>
        <w:tc>
          <w:tcPr>
            <w:tcW w:w="1701" w:type="dxa"/>
            <w:vMerge/>
            <w:shd w:val="clear" w:color="FFFFFF" w:fill="FFFFFF"/>
            <w:vAlign w:val="center"/>
          </w:tcPr>
          <w:p w:rsidR="00D602D4" w:rsidRDefault="00D602D4">
            <w:pPr>
              <w:widowControl w:val="0"/>
              <w:spacing w:after="0" w:line="240" w:lineRule="auto"/>
              <w:jc w:val="center"/>
              <w:rPr>
                <w:rFonts w:ascii="Times New Roman" w:eastAsia="Times New Roman" w:hAnsi="Times New Roman" w:cs="Times New Roman"/>
                <w:b/>
                <w:sz w:val="20"/>
                <w:szCs w:val="20"/>
              </w:rPr>
            </w:pPr>
          </w:p>
        </w:tc>
        <w:tc>
          <w:tcPr>
            <w:tcW w:w="1101" w:type="dxa"/>
            <w:tcBorders>
              <w:top w:val="single" w:sz="4" w:space="0" w:color="000000"/>
              <w:righ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Количество заседаний, в которых член Комитета принял участие</w:t>
            </w:r>
          </w:p>
        </w:tc>
        <w:tc>
          <w:tcPr>
            <w:tcW w:w="1319" w:type="dxa"/>
            <w:tcBorders>
              <w:top w:val="single" w:sz="4" w:space="0" w:color="000000"/>
              <w:left w:val="single" w:sz="4" w:space="0" w:color="000000"/>
              <w:righ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Количество заседаний, в которых член Комитета принял участие через опросный лист</w:t>
            </w:r>
          </w:p>
        </w:tc>
        <w:tc>
          <w:tcPr>
            <w:tcW w:w="992" w:type="dxa"/>
            <w:tcBorders>
              <w:top w:val="single" w:sz="4" w:space="0" w:color="000000"/>
              <w:left w:val="single" w:sz="4" w:space="0" w:color="000000"/>
              <w:righ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Процент присутствия, %</w:t>
            </w:r>
          </w:p>
        </w:tc>
        <w:tc>
          <w:tcPr>
            <w:tcW w:w="993" w:type="dxa"/>
            <w:tcBorders>
              <w:top w:val="single" w:sz="4" w:space="0" w:color="000000"/>
              <w:lef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Процент участия, %</w:t>
            </w:r>
          </w:p>
        </w:tc>
        <w:tc>
          <w:tcPr>
            <w:tcW w:w="1134" w:type="dxa"/>
            <w:tcBorders>
              <w:top w:val="single" w:sz="4" w:space="0" w:color="000000"/>
              <w:righ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Количество заседаний, в которых член Комитета принял участие</w:t>
            </w:r>
          </w:p>
        </w:tc>
        <w:tc>
          <w:tcPr>
            <w:tcW w:w="986" w:type="dxa"/>
            <w:tcBorders>
              <w:top w:val="single" w:sz="4" w:space="0" w:color="000000"/>
              <w:lef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Процент участия, %</w:t>
            </w:r>
          </w:p>
        </w:tc>
      </w:tr>
      <w:tr w:rsidR="00D602D4">
        <w:trPr>
          <w:jc w:val="center"/>
        </w:trPr>
        <w:tc>
          <w:tcPr>
            <w:tcW w:w="141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lang w:eastAsia="ar-SA"/>
              </w:rPr>
              <w:t>Степина Екатерина Андреевна</w:t>
            </w:r>
          </w:p>
          <w:p w:rsidR="00D602D4" w:rsidRDefault="00D602D4">
            <w:pPr>
              <w:spacing w:after="0" w:line="240" w:lineRule="auto"/>
              <w:rPr>
                <w:rFonts w:ascii="Times New Roman" w:hAnsi="Times New Roman" w:cs="Times New Roman"/>
                <w:sz w:val="20"/>
                <w:szCs w:val="20"/>
              </w:rPr>
            </w:pPr>
          </w:p>
          <w:p w:rsidR="00D602D4" w:rsidRDefault="000B4C86">
            <w:pPr>
              <w:spacing w:after="0" w:line="240" w:lineRule="auto"/>
              <w:rPr>
                <w:rFonts w:ascii="Times New Roman" w:hAnsi="Times New Roman" w:cs="Times New Roman"/>
                <w:i/>
                <w:sz w:val="20"/>
                <w:szCs w:val="20"/>
              </w:rPr>
            </w:pPr>
            <w:r>
              <w:rPr>
                <w:rFonts w:ascii="Times New Roman" w:hAnsi="Times New Roman" w:cs="Times New Roman"/>
                <w:i/>
                <w:sz w:val="20"/>
                <w:szCs w:val="20"/>
              </w:rPr>
              <w:t xml:space="preserve">Член Совета директоров </w:t>
            </w:r>
          </w:p>
          <w:p w:rsidR="00D602D4" w:rsidRDefault="000B4C86">
            <w:pPr>
              <w:spacing w:after="0" w:line="240" w:lineRule="auto"/>
              <w:rPr>
                <w:rFonts w:ascii="Times New Roman" w:hAnsi="Times New Roman" w:cs="Times New Roman"/>
                <w:i/>
                <w:sz w:val="20"/>
                <w:szCs w:val="20"/>
              </w:rPr>
            </w:pPr>
            <w:r>
              <w:rPr>
                <w:rFonts w:ascii="Times New Roman" w:hAnsi="Times New Roman" w:cs="Times New Roman"/>
                <w:i/>
                <w:sz w:val="20"/>
                <w:szCs w:val="20"/>
              </w:rPr>
              <w:t>Независимый директор</w:t>
            </w:r>
          </w:p>
        </w:tc>
        <w:tc>
          <w:tcPr>
            <w:tcW w:w="170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sz w:val="20"/>
                <w:szCs w:val="20"/>
              </w:rPr>
            </w:pPr>
            <w:r>
              <w:rPr>
                <w:rFonts w:ascii="Times New Roman" w:hAnsi="Times New Roman" w:cs="Times New Roman"/>
                <w:b/>
                <w:sz w:val="20"/>
                <w:szCs w:val="20"/>
              </w:rPr>
              <w:t>Председатель Комитета,</w:t>
            </w:r>
            <w:r>
              <w:rPr>
                <w:rFonts w:ascii="Times New Roman" w:hAnsi="Times New Roman" w:cs="Times New Roman"/>
                <w:sz w:val="20"/>
                <w:szCs w:val="20"/>
              </w:rPr>
              <w:t xml:space="preserve"> </w:t>
            </w:r>
            <w:r>
              <w:rPr>
                <w:rFonts w:ascii="Times New Roman" w:eastAsia="Times New Roman" w:hAnsi="Times New Roman" w:cs="Times New Roman"/>
                <w:sz w:val="20"/>
                <w:szCs w:val="20"/>
                <w:lang w:eastAsia="ar-SA"/>
              </w:rPr>
              <w:t>Директор по тарифообразованию                              ООО «Сибирская генерирующая компания»</w:t>
            </w:r>
          </w:p>
        </w:tc>
        <w:tc>
          <w:tcPr>
            <w:tcW w:w="1101"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131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986"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jc w:val="center"/>
        </w:trPr>
        <w:tc>
          <w:tcPr>
            <w:tcW w:w="141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lang w:eastAsia="ar-SA"/>
              </w:rPr>
              <w:t>Лаврова Марина Александровна</w:t>
            </w:r>
            <w:r>
              <w:rPr>
                <w:rFonts w:ascii="Times New Roman" w:hAnsi="Times New Roman" w:cs="Times New Roman"/>
                <w:sz w:val="20"/>
                <w:szCs w:val="20"/>
              </w:rPr>
              <w:t xml:space="preserve"> </w:t>
            </w:r>
          </w:p>
          <w:p w:rsidR="00D602D4" w:rsidRDefault="00D602D4">
            <w:pPr>
              <w:spacing w:after="0" w:line="240" w:lineRule="auto"/>
              <w:rPr>
                <w:rFonts w:ascii="Times New Roman" w:hAnsi="Times New Roman" w:cs="Times New Roman"/>
                <w:sz w:val="20"/>
                <w:szCs w:val="20"/>
              </w:rPr>
            </w:pPr>
          </w:p>
          <w:p w:rsidR="00D602D4" w:rsidRDefault="000B4C86">
            <w:pPr>
              <w:spacing w:after="0" w:line="240" w:lineRule="auto"/>
              <w:rPr>
                <w:rFonts w:ascii="Times New Roman" w:hAnsi="Times New Roman" w:cs="Times New Roman"/>
                <w:i/>
                <w:sz w:val="20"/>
                <w:szCs w:val="20"/>
              </w:rPr>
            </w:pPr>
            <w:r>
              <w:rPr>
                <w:rFonts w:ascii="Times New Roman" w:hAnsi="Times New Roman" w:cs="Times New Roman"/>
                <w:i/>
                <w:sz w:val="20"/>
                <w:szCs w:val="20"/>
              </w:rPr>
              <w:t xml:space="preserve">Член Совета директоров </w:t>
            </w:r>
          </w:p>
        </w:tc>
        <w:tc>
          <w:tcPr>
            <w:tcW w:w="170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lang w:eastAsia="ar-SA"/>
              </w:rPr>
              <w:t>Заместитель начальника Департамента экономики ПАО «Россети»</w:t>
            </w:r>
          </w:p>
        </w:tc>
        <w:tc>
          <w:tcPr>
            <w:tcW w:w="1101"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131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986"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jc w:val="center"/>
        </w:trPr>
        <w:tc>
          <w:tcPr>
            <w:tcW w:w="141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bCs/>
                <w:color w:val="000000"/>
                <w:sz w:val="20"/>
                <w:szCs w:val="20"/>
              </w:rPr>
              <w:t xml:space="preserve">Шашкова Наталья </w:t>
            </w:r>
            <w:r>
              <w:rPr>
                <w:rFonts w:ascii="Times New Roman" w:eastAsia="Times New Roman" w:hAnsi="Times New Roman" w:cs="Times New Roman"/>
                <w:bCs/>
                <w:color w:val="000000"/>
                <w:sz w:val="20"/>
                <w:szCs w:val="20"/>
              </w:rPr>
              <w:lastRenderedPageBreak/>
              <w:t>Васильевна</w:t>
            </w:r>
            <w:r>
              <w:rPr>
                <w:rFonts w:ascii="Times New Roman" w:eastAsia="Times New Roman" w:hAnsi="Times New Roman" w:cs="Times New Roman"/>
                <w:sz w:val="20"/>
                <w:szCs w:val="20"/>
              </w:rPr>
              <w:t xml:space="preserve"> </w:t>
            </w:r>
          </w:p>
          <w:p w:rsidR="00D602D4" w:rsidRDefault="00D602D4">
            <w:pPr>
              <w:spacing w:after="0" w:line="240" w:lineRule="auto"/>
              <w:rPr>
                <w:rFonts w:ascii="Times New Roman" w:hAnsi="Times New Roman" w:cs="Times New Roman"/>
                <w:i/>
                <w:sz w:val="20"/>
                <w:szCs w:val="20"/>
              </w:rPr>
            </w:pPr>
          </w:p>
          <w:p w:rsidR="00D602D4" w:rsidRDefault="000B4C86">
            <w:pPr>
              <w:spacing w:after="0" w:line="240" w:lineRule="auto"/>
              <w:rPr>
                <w:rFonts w:ascii="Times New Roman" w:hAnsi="Times New Roman" w:cs="Times New Roman"/>
                <w:i/>
                <w:sz w:val="20"/>
                <w:szCs w:val="20"/>
              </w:rPr>
            </w:pPr>
            <w:r>
              <w:rPr>
                <w:rFonts w:ascii="Times New Roman" w:hAnsi="Times New Roman" w:cs="Times New Roman"/>
                <w:i/>
                <w:sz w:val="20"/>
                <w:szCs w:val="20"/>
              </w:rPr>
              <w:t xml:space="preserve">Член Совета директоров </w:t>
            </w:r>
          </w:p>
          <w:p w:rsidR="00D602D4" w:rsidRDefault="000B4C86">
            <w:pPr>
              <w:spacing w:after="0" w:line="240" w:lineRule="auto"/>
              <w:rPr>
                <w:rFonts w:ascii="Times New Roman" w:hAnsi="Times New Roman" w:cs="Times New Roman"/>
                <w:sz w:val="20"/>
                <w:szCs w:val="20"/>
              </w:rPr>
            </w:pPr>
            <w:r>
              <w:rPr>
                <w:rFonts w:ascii="Times New Roman" w:hAnsi="Times New Roman" w:cs="Times New Roman"/>
                <w:i/>
                <w:sz w:val="20"/>
                <w:szCs w:val="20"/>
              </w:rPr>
              <w:t>Независимый директор</w:t>
            </w:r>
          </w:p>
        </w:tc>
        <w:tc>
          <w:tcPr>
            <w:tcW w:w="170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bCs/>
                <w:color w:val="000000"/>
                <w:sz w:val="20"/>
                <w:szCs w:val="20"/>
              </w:rPr>
              <w:lastRenderedPageBreak/>
              <w:t xml:space="preserve">Директор по экономике ООО </w:t>
            </w:r>
            <w:r>
              <w:rPr>
                <w:rFonts w:ascii="Times New Roman" w:eastAsia="Times New Roman" w:hAnsi="Times New Roman" w:cs="Times New Roman"/>
                <w:bCs/>
                <w:color w:val="000000"/>
                <w:sz w:val="20"/>
                <w:szCs w:val="20"/>
              </w:rPr>
              <w:lastRenderedPageBreak/>
              <w:t>«Сибирская генерирующая компания»</w:t>
            </w:r>
          </w:p>
        </w:tc>
        <w:tc>
          <w:tcPr>
            <w:tcW w:w="1101"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3</w:t>
            </w:r>
          </w:p>
        </w:tc>
        <w:tc>
          <w:tcPr>
            <w:tcW w:w="131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986"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bl>
    <w:p w:rsidR="00D602D4" w:rsidRDefault="00D602D4">
      <w:pPr>
        <w:widowControl w:val="0"/>
        <w:tabs>
          <w:tab w:val="left" w:pos="0"/>
          <w:tab w:val="left" w:pos="284"/>
        </w:tabs>
        <w:spacing w:after="0" w:line="240" w:lineRule="auto"/>
        <w:ind w:firstLine="709"/>
        <w:jc w:val="center"/>
        <w:rPr>
          <w:rFonts w:ascii="Times New Roman" w:eastAsia="Times New Roman" w:hAnsi="Times New Roman" w:cs="Times New Roman"/>
          <w:b/>
          <w:sz w:val="24"/>
          <w:szCs w:val="24"/>
        </w:rPr>
      </w:pPr>
    </w:p>
    <w:p w:rsidR="00D602D4" w:rsidRDefault="000B4C86">
      <w:pPr>
        <w:widowControl w:val="0"/>
        <w:tabs>
          <w:tab w:val="left" w:pos="0"/>
          <w:tab w:val="left" w:pos="284"/>
        </w:tabs>
        <w:spacing w:after="0" w:line="240" w:lineRule="auto"/>
        <w:ind w:firstLine="709"/>
        <w:jc w:val="right"/>
        <w:rPr>
          <w:rFonts w:ascii="Times New Roman" w:eastAsia="Times New Roman" w:hAnsi="Times New Roman" w:cs="Times New Roman"/>
          <w:b/>
          <w:sz w:val="24"/>
          <w:szCs w:val="24"/>
          <w:highlight w:val="yellow"/>
        </w:rPr>
      </w:pPr>
      <w:r>
        <w:rPr>
          <w:rFonts w:ascii="Times New Roman" w:eastAsia="Times New Roman" w:hAnsi="Times New Roman" w:cs="Times New Roman"/>
          <w:sz w:val="24"/>
          <w:szCs w:val="24"/>
          <w:highlight w:val="white"/>
        </w:rPr>
        <w:t>Таблица 86</w:t>
      </w:r>
    </w:p>
    <w:p w:rsidR="00D602D4" w:rsidRDefault="000B4C86">
      <w:pPr>
        <w:widowControl w:val="0"/>
        <w:tabs>
          <w:tab w:val="left" w:pos="0"/>
          <w:tab w:val="left" w:pos="284"/>
        </w:tabs>
        <w:spacing w:after="0" w:line="240" w:lineRule="auto"/>
        <w:ind w:firstLine="70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Персональный состав и участие членов Комитета по аудиту </w:t>
      </w:r>
    </w:p>
    <w:p w:rsidR="00D602D4" w:rsidRDefault="000B4C86">
      <w:pPr>
        <w:widowControl w:val="0"/>
        <w:spacing w:after="0" w:line="240" w:lineRule="auto"/>
        <w:ind w:firstLine="709"/>
        <w:jc w:val="center"/>
        <w:rPr>
          <w:rFonts w:ascii="Times New Roman" w:eastAsia="Times New Roman" w:hAnsi="Times New Roman" w:cs="Times New Roman"/>
          <w:b/>
          <w:sz w:val="18"/>
          <w:szCs w:val="18"/>
        </w:rPr>
      </w:pPr>
      <w:r>
        <w:rPr>
          <w:rFonts w:ascii="Times New Roman" w:eastAsia="Times New Roman" w:hAnsi="Times New Roman" w:cs="Times New Roman"/>
          <w:b/>
          <w:sz w:val="24"/>
          <w:szCs w:val="24"/>
        </w:rPr>
        <w:t>в работе Комитета по аудиту с 26.07.2024 (дата избрания состава комитета) по 31.12.2024</w:t>
      </w:r>
    </w:p>
    <w:tbl>
      <w:tblPr>
        <w:tblW w:w="93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701"/>
        <w:gridCol w:w="850"/>
        <w:gridCol w:w="1134"/>
        <w:gridCol w:w="992"/>
        <w:gridCol w:w="993"/>
        <w:gridCol w:w="1134"/>
        <w:gridCol w:w="986"/>
      </w:tblGrid>
      <w:tr w:rsidR="00D602D4">
        <w:trPr>
          <w:trHeight w:val="291"/>
          <w:jc w:val="center"/>
        </w:trPr>
        <w:tc>
          <w:tcPr>
            <w:tcW w:w="1555" w:type="dxa"/>
            <w:vMerge w:val="restart"/>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Ф. И. О.</w:t>
            </w:r>
          </w:p>
        </w:tc>
        <w:tc>
          <w:tcPr>
            <w:tcW w:w="1701" w:type="dxa"/>
            <w:vMerge w:val="restart"/>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Должность</w:t>
            </w:r>
          </w:p>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(на момент избрания)</w:t>
            </w:r>
          </w:p>
        </w:tc>
        <w:tc>
          <w:tcPr>
            <w:tcW w:w="3969" w:type="dxa"/>
            <w:gridSpan w:val="4"/>
            <w:tcBorders>
              <w:top w:val="single" w:sz="4" w:space="0" w:color="000000"/>
              <w:bottom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Очные заседания (2)</w:t>
            </w:r>
          </w:p>
        </w:tc>
        <w:tc>
          <w:tcPr>
            <w:tcW w:w="2120" w:type="dxa"/>
            <w:gridSpan w:val="2"/>
            <w:tcBorders>
              <w:bottom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Заочные заседания (3)</w:t>
            </w:r>
          </w:p>
        </w:tc>
      </w:tr>
      <w:tr w:rsidR="00D602D4">
        <w:trPr>
          <w:trHeight w:val="690"/>
          <w:jc w:val="center"/>
        </w:trPr>
        <w:tc>
          <w:tcPr>
            <w:tcW w:w="1555" w:type="dxa"/>
            <w:vMerge/>
            <w:shd w:val="clear" w:color="FFFFFF" w:fill="FFFFFF"/>
            <w:vAlign w:val="center"/>
          </w:tcPr>
          <w:p w:rsidR="00D602D4" w:rsidRDefault="00D602D4">
            <w:pPr>
              <w:widowControl w:val="0"/>
              <w:spacing w:after="0" w:line="240" w:lineRule="auto"/>
              <w:jc w:val="center"/>
              <w:rPr>
                <w:rFonts w:ascii="Times New Roman" w:eastAsia="Times New Roman" w:hAnsi="Times New Roman" w:cs="Times New Roman"/>
                <w:b/>
                <w:sz w:val="20"/>
                <w:szCs w:val="20"/>
              </w:rPr>
            </w:pPr>
          </w:p>
        </w:tc>
        <w:tc>
          <w:tcPr>
            <w:tcW w:w="1701" w:type="dxa"/>
            <w:vMerge/>
            <w:shd w:val="clear" w:color="FFFFFF" w:fill="FFFFFF"/>
            <w:vAlign w:val="center"/>
          </w:tcPr>
          <w:p w:rsidR="00D602D4" w:rsidRDefault="00D602D4">
            <w:pPr>
              <w:widowControl w:val="0"/>
              <w:spacing w:after="0" w:line="240" w:lineRule="auto"/>
              <w:jc w:val="center"/>
              <w:rPr>
                <w:rFonts w:ascii="Times New Roman" w:eastAsia="Times New Roman" w:hAnsi="Times New Roman" w:cs="Times New Roman"/>
                <w:b/>
                <w:sz w:val="20"/>
                <w:szCs w:val="20"/>
              </w:rPr>
            </w:pPr>
          </w:p>
        </w:tc>
        <w:tc>
          <w:tcPr>
            <w:tcW w:w="850" w:type="dxa"/>
            <w:tcBorders>
              <w:top w:val="single" w:sz="4" w:space="0" w:color="000000"/>
              <w:righ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Количество заседаний, в которых член Комитета принял участие </w:t>
            </w:r>
          </w:p>
        </w:tc>
        <w:tc>
          <w:tcPr>
            <w:tcW w:w="1134" w:type="dxa"/>
            <w:tcBorders>
              <w:top w:val="single" w:sz="4" w:space="0" w:color="000000"/>
              <w:left w:val="single" w:sz="4" w:space="0" w:color="000000"/>
              <w:righ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Количество заседаний, в которых член Комитета принял участие через опросный лист</w:t>
            </w:r>
          </w:p>
        </w:tc>
        <w:tc>
          <w:tcPr>
            <w:tcW w:w="992" w:type="dxa"/>
            <w:tcBorders>
              <w:top w:val="single" w:sz="4" w:space="0" w:color="000000"/>
              <w:left w:val="single" w:sz="4" w:space="0" w:color="000000"/>
              <w:righ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Процент присутствия, %</w:t>
            </w:r>
          </w:p>
        </w:tc>
        <w:tc>
          <w:tcPr>
            <w:tcW w:w="993" w:type="dxa"/>
            <w:tcBorders>
              <w:top w:val="single" w:sz="4" w:space="0" w:color="000000"/>
              <w:lef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Процент участия, %</w:t>
            </w:r>
          </w:p>
        </w:tc>
        <w:tc>
          <w:tcPr>
            <w:tcW w:w="1134" w:type="dxa"/>
            <w:tcBorders>
              <w:top w:val="single" w:sz="4" w:space="0" w:color="000000"/>
              <w:righ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Количество заседаний, в которых член Комитета принял участие</w:t>
            </w:r>
          </w:p>
        </w:tc>
        <w:tc>
          <w:tcPr>
            <w:tcW w:w="986" w:type="dxa"/>
            <w:tcBorders>
              <w:top w:val="single" w:sz="4" w:space="0" w:color="000000"/>
              <w:left w:val="single" w:sz="4" w:space="0" w:color="000000"/>
            </w:tcBorders>
          </w:tcPr>
          <w:p w:rsidR="00D602D4" w:rsidRDefault="000B4C86">
            <w:pPr>
              <w:widowControl w:val="0"/>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Процент участия, %</w:t>
            </w:r>
          </w:p>
        </w:tc>
      </w:tr>
      <w:tr w:rsidR="00D602D4">
        <w:trPr>
          <w:jc w:val="center"/>
        </w:trPr>
        <w:tc>
          <w:tcPr>
            <w:tcW w:w="1555"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1701"/>
              </w:tabs>
              <w:spacing w:line="240" w:lineRule="auto"/>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rPr>
              <w:t>Трубицын Кирилл Андреевич</w:t>
            </w:r>
          </w:p>
          <w:p w:rsidR="00D602D4" w:rsidRDefault="00D602D4">
            <w:pPr>
              <w:spacing w:after="0" w:line="240" w:lineRule="auto"/>
              <w:rPr>
                <w:rFonts w:ascii="Times New Roman" w:hAnsi="Times New Roman" w:cs="Times New Roman"/>
                <w:sz w:val="20"/>
                <w:szCs w:val="20"/>
              </w:rPr>
            </w:pPr>
          </w:p>
          <w:p w:rsidR="00D602D4" w:rsidRDefault="000B4C86">
            <w:pPr>
              <w:spacing w:after="0" w:line="240" w:lineRule="auto"/>
              <w:rPr>
                <w:rFonts w:ascii="Times New Roman" w:hAnsi="Times New Roman" w:cs="Times New Roman"/>
                <w:i/>
                <w:sz w:val="20"/>
                <w:szCs w:val="20"/>
              </w:rPr>
            </w:pPr>
            <w:r>
              <w:rPr>
                <w:rFonts w:ascii="Times New Roman" w:hAnsi="Times New Roman" w:cs="Times New Roman"/>
                <w:i/>
                <w:sz w:val="20"/>
                <w:szCs w:val="20"/>
              </w:rPr>
              <w:t xml:space="preserve">Член Совета директоров </w:t>
            </w:r>
          </w:p>
          <w:p w:rsidR="00D602D4" w:rsidRDefault="000B4C86">
            <w:pPr>
              <w:spacing w:after="0" w:line="240" w:lineRule="auto"/>
              <w:rPr>
                <w:rFonts w:ascii="Times New Roman" w:hAnsi="Times New Roman" w:cs="Times New Roman"/>
                <w:color w:val="000000"/>
                <w:sz w:val="20"/>
                <w:szCs w:val="20"/>
              </w:rPr>
            </w:pPr>
            <w:r>
              <w:rPr>
                <w:rFonts w:ascii="Times New Roman" w:hAnsi="Times New Roman" w:cs="Times New Roman"/>
                <w:i/>
                <w:sz w:val="20"/>
                <w:szCs w:val="20"/>
              </w:rPr>
              <w:t>Независимый директор</w:t>
            </w:r>
          </w:p>
        </w:tc>
        <w:tc>
          <w:tcPr>
            <w:tcW w:w="170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color w:val="000000"/>
                <w:sz w:val="20"/>
                <w:szCs w:val="20"/>
              </w:rPr>
            </w:pPr>
            <w:r>
              <w:rPr>
                <w:rFonts w:ascii="Times New Roman" w:hAnsi="Times New Roman" w:cs="Times New Roman"/>
                <w:b/>
                <w:sz w:val="20"/>
                <w:szCs w:val="20"/>
              </w:rPr>
              <w:t>Председатель Комитета,</w:t>
            </w:r>
            <w:r>
              <w:rPr>
                <w:rFonts w:ascii="Times New Roman" w:hAnsi="Times New Roman" w:cs="Times New Roman"/>
                <w:sz w:val="20"/>
                <w:szCs w:val="20"/>
              </w:rPr>
              <w:t xml:space="preserve"> </w:t>
            </w:r>
            <w:r>
              <w:rPr>
                <w:rFonts w:ascii="Times New Roman" w:eastAsia="Times New Roman" w:hAnsi="Times New Roman" w:cs="Times New Roman"/>
                <w:sz w:val="20"/>
                <w:szCs w:val="20"/>
              </w:rPr>
              <w:t>Директор по правовым вопросам ООО «Сибирская генерирующая компания»</w:t>
            </w:r>
          </w:p>
        </w:tc>
        <w:tc>
          <w:tcPr>
            <w:tcW w:w="85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986"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jc w:val="center"/>
        </w:trPr>
        <w:tc>
          <w:tcPr>
            <w:tcW w:w="155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sz w:val="20"/>
                <w:szCs w:val="20"/>
              </w:rPr>
            </w:pPr>
            <w:r>
              <w:rPr>
                <w:rFonts w:ascii="Times New Roman" w:hAnsi="Times New Roman" w:cs="Times New Roman"/>
                <w:sz w:val="20"/>
                <w:szCs w:val="20"/>
              </w:rPr>
              <w:t>Бахарев Дмитрий</w:t>
            </w:r>
          </w:p>
          <w:p w:rsidR="00D602D4" w:rsidRDefault="000B4C86">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Владимирович </w:t>
            </w:r>
          </w:p>
          <w:p w:rsidR="00D602D4" w:rsidRDefault="00D602D4">
            <w:pPr>
              <w:spacing w:after="0" w:line="240" w:lineRule="auto"/>
              <w:rPr>
                <w:rFonts w:ascii="Times New Roman" w:hAnsi="Times New Roman" w:cs="Times New Roman"/>
                <w:sz w:val="20"/>
                <w:szCs w:val="20"/>
              </w:rPr>
            </w:pPr>
          </w:p>
          <w:p w:rsidR="00D602D4" w:rsidRDefault="000B4C86">
            <w:pPr>
              <w:spacing w:after="0" w:line="240" w:lineRule="auto"/>
              <w:rPr>
                <w:rFonts w:ascii="Times New Roman" w:hAnsi="Times New Roman" w:cs="Times New Roman"/>
                <w:color w:val="000000"/>
                <w:sz w:val="20"/>
                <w:szCs w:val="20"/>
              </w:rPr>
            </w:pPr>
            <w:r>
              <w:rPr>
                <w:rFonts w:ascii="Times New Roman" w:hAnsi="Times New Roman" w:cs="Times New Roman"/>
                <w:i/>
                <w:sz w:val="20"/>
                <w:szCs w:val="20"/>
              </w:rPr>
              <w:t xml:space="preserve">Член Совета директоров </w:t>
            </w:r>
          </w:p>
        </w:tc>
        <w:tc>
          <w:tcPr>
            <w:tcW w:w="170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color w:val="000000"/>
                <w:sz w:val="20"/>
                <w:szCs w:val="20"/>
              </w:rPr>
            </w:pPr>
            <w:r>
              <w:rPr>
                <w:rFonts w:ascii="Times New Roman" w:eastAsia="Times New Roman" w:hAnsi="Times New Roman" w:cs="Times New Roman"/>
                <w:sz w:val="20"/>
                <w:szCs w:val="20"/>
              </w:rPr>
              <w:t>Первый заместитель начальника Департамента тарифной политики ПАО «Россети»</w:t>
            </w:r>
          </w:p>
        </w:tc>
        <w:tc>
          <w:tcPr>
            <w:tcW w:w="85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986"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jc w:val="center"/>
        </w:trPr>
        <w:tc>
          <w:tcPr>
            <w:tcW w:w="155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Шашкова Наталья Васильевна </w:t>
            </w:r>
          </w:p>
          <w:p w:rsidR="00D602D4" w:rsidRDefault="00D602D4">
            <w:pPr>
              <w:spacing w:after="0" w:line="240" w:lineRule="auto"/>
              <w:rPr>
                <w:rFonts w:ascii="Times New Roman" w:hAnsi="Times New Roman" w:cs="Times New Roman"/>
                <w:i/>
                <w:sz w:val="20"/>
                <w:szCs w:val="20"/>
              </w:rPr>
            </w:pPr>
          </w:p>
          <w:p w:rsidR="00D602D4" w:rsidRDefault="000B4C86">
            <w:pPr>
              <w:spacing w:after="0" w:line="240" w:lineRule="auto"/>
              <w:rPr>
                <w:rFonts w:ascii="Times New Roman" w:hAnsi="Times New Roman" w:cs="Times New Roman"/>
                <w:i/>
                <w:sz w:val="20"/>
                <w:szCs w:val="20"/>
              </w:rPr>
            </w:pPr>
            <w:r>
              <w:rPr>
                <w:rFonts w:ascii="Times New Roman" w:hAnsi="Times New Roman" w:cs="Times New Roman"/>
                <w:i/>
                <w:sz w:val="20"/>
                <w:szCs w:val="20"/>
              </w:rPr>
              <w:t xml:space="preserve">Член Совета директоров </w:t>
            </w:r>
          </w:p>
          <w:p w:rsidR="00D602D4" w:rsidRDefault="000B4C86">
            <w:pPr>
              <w:spacing w:after="0" w:line="240" w:lineRule="auto"/>
              <w:rPr>
                <w:rFonts w:ascii="Times New Roman" w:hAnsi="Times New Roman" w:cs="Times New Roman"/>
                <w:color w:val="000000"/>
                <w:sz w:val="20"/>
                <w:szCs w:val="20"/>
              </w:rPr>
            </w:pPr>
            <w:r>
              <w:rPr>
                <w:rFonts w:ascii="Times New Roman" w:hAnsi="Times New Roman" w:cs="Times New Roman"/>
                <w:i/>
                <w:sz w:val="20"/>
                <w:szCs w:val="20"/>
              </w:rPr>
              <w:t>Независимый директор</w:t>
            </w:r>
          </w:p>
        </w:tc>
        <w:tc>
          <w:tcPr>
            <w:tcW w:w="170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color w:val="000000"/>
                <w:sz w:val="20"/>
                <w:szCs w:val="20"/>
              </w:rPr>
            </w:pPr>
            <w:r>
              <w:rPr>
                <w:rFonts w:ascii="Times New Roman" w:hAnsi="Times New Roman" w:cs="Times New Roman"/>
                <w:sz w:val="20"/>
                <w:szCs w:val="20"/>
              </w:rPr>
              <w:t>Директор по экономике ООО «Сибирская генерирующая компания»</w:t>
            </w:r>
          </w:p>
        </w:tc>
        <w:tc>
          <w:tcPr>
            <w:tcW w:w="85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lang w:val="en-US"/>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993"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986"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bl>
    <w:p w:rsidR="00D602D4" w:rsidRDefault="00D602D4">
      <w:pPr>
        <w:widowControl w:val="0"/>
        <w:rPr>
          <w:rFonts w:ascii="Times New Roman" w:eastAsia="Times New Roman" w:hAnsi="Times New Roman" w:cs="Times New Roman"/>
          <w:sz w:val="24"/>
          <w:szCs w:val="24"/>
        </w:rPr>
      </w:pP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2024 году состоялось 14 (31 января, 02 февраля (очное), 11 апреля, 12 апреля (очное), 08 мая, 20 мая (очное), 24 мая, 14 июня, 08 июля, 23 августа, 25 сентября (очное), 07 октября, 12 ноября (очное), 20 декабря) заседаний Комитета по аудиту, из них 5 заседаний проведено в очной форме. </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Рассмотрено 46 вопросов, из них 14 вопросов на очных заседаниях Комитета в том числе вопросы:</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 рассмотрении существенных аспектов учетной политики Общества в отчетном 2023 году и планируемых изменений на предстоящий 2024 год;</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 предварительном рассмотрении плана работы подразделения внутреннего аудита Общества на 2024 год;</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themeColor="text1"/>
          <w:sz w:val="24"/>
          <w:szCs w:val="24"/>
        </w:rPr>
        <w:t xml:space="preserve">о предварительном рассмотрении отчета внутреннего аудита ПАО «Россети Сибирь» </w:t>
      </w:r>
      <w:r>
        <w:rPr>
          <w:rFonts w:ascii="Times New Roman" w:eastAsia="Times New Roman" w:hAnsi="Times New Roman" w:cs="Times New Roman"/>
          <w:color w:val="000000" w:themeColor="text1"/>
          <w:sz w:val="24"/>
          <w:szCs w:val="24"/>
        </w:rPr>
        <w:lastRenderedPageBreak/>
        <w:t>о выполнении плана работы и результатах по итогам 2023 года</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color w:val="000000" w:themeColor="text1"/>
          <w:sz w:val="24"/>
          <w:szCs w:val="24"/>
        </w:rPr>
        <w:t>- о предварительном рассмотрении отчета внутренн</w:t>
      </w:r>
      <w:r>
        <w:rPr>
          <w:rFonts w:ascii="Times New Roman" w:eastAsia="Times New Roman" w:hAnsi="Times New Roman" w:cs="Times New Roman"/>
          <w:sz w:val="24"/>
          <w:szCs w:val="24"/>
        </w:rPr>
        <w:t>его аудита Общества об оценке надежности и эффективности системы управления рисками и внутреннего контроля Общества за 2023 год;</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 взаимодействии Комитета по аудиту Совета директоров Общества с внутренним аудитором и аудиторской организацией, включая объем аудиторских процедур и методы проведения проверки, предложенные аудиторской организацией;</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 предварительном рассмотрении отчета внутреннего аудита Общества об оценке эффективности системы корпоративного управления по итогам 2023-2024 корпоративного года.</w:t>
      </w:r>
    </w:p>
    <w:p w:rsidR="00D602D4" w:rsidRDefault="000B4C86">
      <w:pPr>
        <w:widowControl w:val="0"/>
        <w:spacing w:after="0" w:line="240" w:lineRule="auto"/>
        <w:ind w:firstLine="709"/>
        <w:contextualSpacing/>
        <w:jc w:val="both"/>
        <w:rPr>
          <w:rFonts w:ascii="Times New Roman" w:eastAsia="Times New Roman" w:hAnsi="Times New Roman"/>
          <w:sz w:val="24"/>
          <w:szCs w:val="24"/>
          <w:lang w:eastAsia="ru-RU"/>
        </w:rPr>
      </w:pPr>
      <w:r>
        <w:rPr>
          <w:rFonts w:ascii="Times New Roman" w:eastAsia="Calibri" w:hAnsi="Times New Roman" w:cs="Times New Roman"/>
          <w:bCs/>
          <w:iCs/>
          <w:sz w:val="24"/>
          <w:szCs w:val="24"/>
        </w:rPr>
        <w:t xml:space="preserve">Комитетом по аудиту в отчетном году рассмотрены результаты </w:t>
      </w:r>
      <w:r>
        <w:rPr>
          <w:rFonts w:ascii="Times New Roman" w:hAnsi="Times New Roman" w:cs="Times New Roman"/>
          <w:color w:val="000000"/>
          <w:sz w:val="24"/>
          <w:szCs w:val="24"/>
          <w:lang w:bidi="ru-RU"/>
        </w:rPr>
        <w:t xml:space="preserve">оценки эффективности процесса внешнего аудита бухгалтерской (финансовой) отчетности Общества за 2023 год (протокол от 27.05.2024 № 189). </w:t>
      </w:r>
      <w:r>
        <w:rPr>
          <w:rFonts w:ascii="Times New Roman" w:hAnsi="Times New Roman"/>
          <w:sz w:val="24"/>
          <w:szCs w:val="24"/>
        </w:rPr>
        <w:t>Аудиторские заключения и Письменные информации Аудиторской организации Общества по всем этапам оказания услуг соответствуют Федеральному закону «Об аудиторской деятельности» от 30.12.2008 № 307-ФЗ, Международным стандартам аудита, введенным в действие на территории Российской Федерации приказами Министерства финансов Российской Федерации от 09.01.2019 № 2н, от 30.12.2020 № 335н, от 27.10.2021 № 163н, от 09.11.2021 № 172н</w:t>
      </w:r>
      <w:r>
        <w:rPr>
          <w:rFonts w:ascii="Times New Roman" w:eastAsia="Times New Roman" w:hAnsi="Times New Roman"/>
          <w:lang w:eastAsia="ru-RU"/>
        </w:rPr>
        <w:t>.</w:t>
      </w:r>
    </w:p>
    <w:p w:rsidR="00D602D4" w:rsidRDefault="000B4C86">
      <w:pPr>
        <w:pStyle w:val="Default"/>
        <w:ind w:firstLine="709"/>
        <w:jc w:val="right"/>
        <w:rPr>
          <w:rFonts w:ascii="Times New Roman" w:eastAsia="Times New Roman" w:hAnsi="Times New Roman" w:cs="Times New Roman"/>
          <w:color w:val="auto"/>
          <w:highlight w:val="yellow"/>
        </w:rPr>
      </w:pPr>
      <w:r>
        <w:rPr>
          <w:rFonts w:ascii="Times New Roman" w:eastAsia="Times New Roman" w:hAnsi="Times New Roman" w:cs="Times New Roman"/>
          <w:color w:val="auto"/>
          <w:highlight w:val="white"/>
          <w:lang w:eastAsia="ru-RU"/>
        </w:rPr>
        <w:t>Таблица 87</w:t>
      </w:r>
    </w:p>
    <w:p w:rsidR="00D602D4" w:rsidRDefault="000B4C86">
      <w:pPr>
        <w:pStyle w:val="Default"/>
        <w:ind w:firstLine="709"/>
        <w:jc w:val="center"/>
        <w:rPr>
          <w:rFonts w:ascii="Times New Roman" w:eastAsia="Times New Roman" w:hAnsi="Times New Roman" w:cs="Times New Roman"/>
          <w:b/>
        </w:rPr>
      </w:pPr>
      <w:r>
        <w:rPr>
          <w:rFonts w:ascii="Times New Roman" w:eastAsia="Times New Roman" w:hAnsi="Times New Roman" w:cs="Times New Roman"/>
          <w:b/>
        </w:rPr>
        <w:t>Категории рассмотренных Комитетом по аудиту вопросов в 2024 году</w:t>
      </w:r>
    </w:p>
    <w:tbl>
      <w:tblPr>
        <w:tblStyle w:val="83"/>
        <w:tblW w:w="9367" w:type="dxa"/>
        <w:jc w:val="center"/>
        <w:tblInd w:w="0" w:type="dxa"/>
        <w:tblLook w:val="04A0" w:firstRow="1" w:lastRow="0" w:firstColumn="1" w:lastColumn="0" w:noHBand="0" w:noVBand="1"/>
      </w:tblPr>
      <w:tblGrid>
        <w:gridCol w:w="5098"/>
        <w:gridCol w:w="637"/>
        <w:gridCol w:w="1792"/>
        <w:gridCol w:w="1840"/>
      </w:tblGrid>
      <w:tr w:rsidR="00D602D4">
        <w:trPr>
          <w:trHeight w:val="283"/>
          <w:jc w:val="center"/>
        </w:trPr>
        <w:tc>
          <w:tcPr>
            <w:tcW w:w="50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bCs/>
                <w:color w:val="000000"/>
                <w:sz w:val="20"/>
                <w:szCs w:val="20"/>
              </w:rPr>
              <w:t>Категории вопросов</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34"/>
              </w:tabs>
              <w:ind w:right="-143"/>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Ед.</w:t>
            </w:r>
          </w:p>
          <w:p w:rsidR="00D602D4" w:rsidRDefault="000B4C86">
            <w:pPr>
              <w:pStyle w:val="ac"/>
              <w:spacing w:after="0" w:line="240" w:lineRule="auto"/>
              <w:ind w:left="0"/>
              <w:jc w:val="both"/>
              <w:rPr>
                <w:rFonts w:ascii="Times New Roman" w:hAnsi="Times New Roman"/>
                <w:b/>
                <w:sz w:val="20"/>
                <w:szCs w:val="20"/>
              </w:rPr>
            </w:pPr>
            <w:r>
              <w:rPr>
                <w:rFonts w:ascii="Times New Roman" w:hAnsi="Times New Roman"/>
                <w:b/>
                <w:bCs/>
                <w:color w:val="000000"/>
                <w:sz w:val="20"/>
                <w:szCs w:val="20"/>
              </w:rPr>
              <w:t>изм.</w:t>
            </w:r>
          </w:p>
        </w:tc>
        <w:tc>
          <w:tcPr>
            <w:tcW w:w="1792"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sz w:val="20"/>
                <w:szCs w:val="20"/>
              </w:rPr>
              <w:t>Количество вопросов</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sz w:val="20"/>
                <w:szCs w:val="20"/>
              </w:rPr>
              <w:t>Процент от общего числа, %</w:t>
            </w:r>
          </w:p>
        </w:tc>
      </w:tr>
      <w:tr w:rsidR="00D602D4">
        <w:trPr>
          <w:trHeight w:val="283"/>
          <w:jc w:val="center"/>
        </w:trPr>
        <w:tc>
          <w:tcPr>
            <w:tcW w:w="50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Бухгалтерская (финансовая) отчетность</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шт.</w:t>
            </w:r>
          </w:p>
        </w:tc>
        <w:tc>
          <w:tcPr>
            <w:tcW w:w="17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7</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w:t>
            </w:r>
          </w:p>
        </w:tc>
      </w:tr>
      <w:tr w:rsidR="00D602D4">
        <w:trPr>
          <w:trHeight w:val="283"/>
          <w:jc w:val="center"/>
        </w:trPr>
        <w:tc>
          <w:tcPr>
            <w:tcW w:w="50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Внутренний аудит и контроль, СУРиВК</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шт.</w:t>
            </w:r>
          </w:p>
        </w:tc>
        <w:tc>
          <w:tcPr>
            <w:tcW w:w="17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15</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w:t>
            </w:r>
          </w:p>
        </w:tc>
      </w:tr>
      <w:tr w:rsidR="00D602D4">
        <w:trPr>
          <w:trHeight w:val="283"/>
          <w:jc w:val="center"/>
        </w:trPr>
        <w:tc>
          <w:tcPr>
            <w:tcW w:w="50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Внешний аудитор</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шт.</w:t>
            </w:r>
          </w:p>
        </w:tc>
        <w:tc>
          <w:tcPr>
            <w:tcW w:w="17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7</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w:t>
            </w:r>
          </w:p>
        </w:tc>
      </w:tr>
      <w:tr w:rsidR="00D602D4">
        <w:trPr>
          <w:trHeight w:val="283"/>
          <w:jc w:val="center"/>
        </w:trPr>
        <w:tc>
          <w:tcPr>
            <w:tcW w:w="50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 xml:space="preserve">Антикоррупционная политика  </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шт.</w:t>
            </w:r>
          </w:p>
        </w:tc>
        <w:tc>
          <w:tcPr>
            <w:tcW w:w="17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3</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r>
      <w:tr w:rsidR="00D602D4">
        <w:trPr>
          <w:trHeight w:val="283"/>
          <w:jc w:val="center"/>
        </w:trPr>
        <w:tc>
          <w:tcPr>
            <w:tcW w:w="50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Результаты проверок</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шт.</w:t>
            </w:r>
          </w:p>
        </w:tc>
        <w:tc>
          <w:tcPr>
            <w:tcW w:w="17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2</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r>
      <w:tr w:rsidR="00D602D4">
        <w:trPr>
          <w:trHeight w:val="283"/>
          <w:jc w:val="center"/>
        </w:trPr>
        <w:tc>
          <w:tcPr>
            <w:tcW w:w="50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Организационные вопросы</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шт.</w:t>
            </w:r>
          </w:p>
        </w:tc>
        <w:tc>
          <w:tcPr>
            <w:tcW w:w="17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8</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r>
      <w:tr w:rsidR="00D602D4">
        <w:trPr>
          <w:trHeight w:val="283"/>
          <w:jc w:val="center"/>
        </w:trPr>
        <w:tc>
          <w:tcPr>
            <w:tcW w:w="50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 xml:space="preserve">Другое </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шт.</w:t>
            </w:r>
          </w:p>
        </w:tc>
        <w:tc>
          <w:tcPr>
            <w:tcW w:w="179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4</w:t>
            </w:r>
          </w:p>
        </w:tc>
        <w:tc>
          <w:tcPr>
            <w:tcW w:w="184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r>
    </w:tbl>
    <w:p w:rsidR="00D602D4" w:rsidRDefault="00D602D4">
      <w:pPr>
        <w:widowControl w:val="0"/>
        <w:spacing w:after="0" w:line="240" w:lineRule="auto"/>
        <w:jc w:val="center"/>
        <w:rPr>
          <w:rFonts w:ascii="Times New Roman" w:eastAsia="Calibri" w:hAnsi="Times New Roman" w:cs="Times New Roman"/>
          <w:b/>
          <w:bCs/>
          <w:sz w:val="24"/>
          <w:szCs w:val="24"/>
        </w:rPr>
      </w:pPr>
    </w:p>
    <w:p w:rsidR="00D602D4" w:rsidRDefault="000B4C86">
      <w:pPr>
        <w:widowControl w:val="0"/>
        <w:spacing w:after="0" w:line="240" w:lineRule="auto"/>
        <w:jc w:val="center"/>
        <w:rPr>
          <w:rFonts w:ascii="Times New Roman" w:eastAsia="Calibri" w:hAnsi="Times New Roman" w:cs="Times New Roman"/>
          <w:b/>
          <w:bCs/>
          <w:iCs/>
          <w:sz w:val="24"/>
          <w:szCs w:val="24"/>
        </w:rPr>
      </w:pPr>
      <w:r>
        <w:rPr>
          <w:rFonts w:ascii="Times New Roman" w:eastAsia="Calibri" w:hAnsi="Times New Roman" w:cs="Times New Roman"/>
          <w:b/>
          <w:bCs/>
          <w:iCs/>
          <w:sz w:val="24"/>
          <w:szCs w:val="24"/>
        </w:rPr>
        <w:t>Отчет Комитета по кадрам и вознаграждениям Совета директоров Общества</w:t>
      </w:r>
    </w:p>
    <w:p w:rsidR="00D602D4" w:rsidRDefault="00D602D4">
      <w:pPr>
        <w:widowControl w:val="0"/>
        <w:spacing w:after="0" w:line="240" w:lineRule="auto"/>
        <w:jc w:val="center"/>
        <w:rPr>
          <w:rFonts w:ascii="Times New Roman" w:eastAsia="Calibri" w:hAnsi="Times New Roman" w:cs="Times New Roman"/>
          <w:b/>
          <w:bCs/>
          <w:sz w:val="24"/>
          <w:szCs w:val="24"/>
        </w:rPr>
      </w:pP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Комитет по Кадрам и вознаграждениям Совета директоров ПАО «Россети Сибирь» (далее – Комитет по кадрам и вознаграждениям) создан по решению Совета директоров Общества от 12.12.2008 (протокол от 15.12.2008).</w:t>
      </w:r>
    </w:p>
    <w:p w:rsidR="00D602D4" w:rsidRDefault="000B4C86">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Деятельность Комитета по кадрам и вознаграждениям регулируется </w:t>
      </w:r>
      <w:hyperlink r:id="rId104" w:tooltip="http://www.mrsk-yuga.ru/files/file/site/aud_novred.pdf" w:history="1">
        <w:r>
          <w:rPr>
            <w:rFonts w:ascii="Times New Roman" w:eastAsia="Times New Roman" w:hAnsi="Times New Roman" w:cs="Times New Roman"/>
            <w:sz w:val="24"/>
            <w:szCs w:val="24"/>
          </w:rPr>
          <w:t>Положением о Комитете по кадрам и вознаграждениям Совета директоров</w:t>
        </w:r>
      </w:hyperlink>
      <w:r>
        <w:rPr>
          <w:rFonts w:ascii="Times New Roman" w:eastAsia="Times New Roman" w:hAnsi="Times New Roman" w:cs="Times New Roman"/>
          <w:sz w:val="24"/>
          <w:szCs w:val="24"/>
        </w:rPr>
        <w:t xml:space="preserve"> Общества, утвержденным решением Совета директоров Общества от 24.07.2014 (протокол от 24.07.2014 № 143/14),</w:t>
      </w:r>
      <w:r>
        <w:t xml:space="preserve"> </w:t>
      </w:r>
      <w:r>
        <w:rPr>
          <w:rFonts w:ascii="Times New Roman" w:eastAsia="Times New Roman" w:hAnsi="Times New Roman" w:cs="Times New Roman"/>
          <w:sz w:val="24"/>
          <w:szCs w:val="24"/>
        </w:rPr>
        <w:t xml:space="preserve">решением Совета директоров Общества от 08.11.2023 (протокол от 10.11.2023 № 505/23) утверждено Положение о Комитете по кадрам и вознаграждениям Совета директоров Общества в новой редакции </w:t>
      </w:r>
      <w:r>
        <w:rPr>
          <w:rStyle w:val="af1"/>
          <w:rFonts w:ascii="Times New Roman" w:eastAsia="Times New Roman" w:hAnsi="Times New Roman" w:cs="Times New Roman"/>
          <w:sz w:val="24"/>
          <w:szCs w:val="24"/>
        </w:rPr>
        <w:footnoteReference w:id="29"/>
      </w:r>
      <w:r>
        <w:rPr>
          <w:rFonts w:ascii="Times New Roman" w:eastAsia="Times New Roman" w:hAnsi="Times New Roman" w:cs="Times New Roman"/>
          <w:sz w:val="24"/>
          <w:szCs w:val="24"/>
        </w:rPr>
        <w:t xml:space="preserve">. </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Основными задачами Комитета по кадрам и вознаграждениям являются выработка и представление рекомендаций  Совету директоров Общества по определению принципов и критериев вознаграждения членов Совета директоров, членов коллегиального исполнительного органа и лица, осуществляющего функции единоличного исполнительного органа Общества, в том числе управляющей организации или управляющего, существенных условий договоров с членами коллегиального исполнительного органа и лицом, осуществляющим функции единоличного исполнительного органа Общества, критериев подбора кандидатов в члены Совета директоров Общества, члены коллегиального </w:t>
      </w:r>
      <w:r>
        <w:rPr>
          <w:rFonts w:ascii="Times New Roman" w:eastAsia="Times New Roman" w:hAnsi="Times New Roman" w:cs="Times New Roman"/>
          <w:sz w:val="24"/>
          <w:szCs w:val="24"/>
        </w:rPr>
        <w:lastRenderedPageBreak/>
        <w:t>исполнительного органа, на должность единоличного исполнительного органа Общества, по оценке деятельности лица, осуществляющего функции единоличного исполнительного органа (управляющей организации, управляющего) и членов коллегиального исполнительного органа Общества.</w:t>
      </w:r>
    </w:p>
    <w:p w:rsidR="00D602D4" w:rsidRDefault="000B4C86">
      <w:pPr>
        <w:widowControl w:val="0"/>
        <w:ind w:firstLine="709"/>
        <w:contextualSpacing/>
        <w:jc w:val="right"/>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Таблица 8</w:t>
      </w:r>
      <w:r>
        <w:rPr>
          <w:rFonts w:ascii="Times New Roman" w:eastAsia="Times New Roman" w:hAnsi="Times New Roman" w:cs="Times New Roman"/>
          <w:sz w:val="24"/>
          <w:szCs w:val="24"/>
        </w:rPr>
        <w:t>8</w:t>
      </w:r>
    </w:p>
    <w:p w:rsidR="00D602D4" w:rsidRDefault="000B4C86">
      <w:pPr>
        <w:widowControl w:val="0"/>
        <w:spacing w:after="0" w:line="240" w:lineRule="auto"/>
        <w:jc w:val="center"/>
        <w:rPr>
          <w:rFonts w:ascii="Times New Roman" w:eastAsia="Times New Roman" w:hAnsi="Times New Roman" w:cs="Times New Roman"/>
          <w:b/>
          <w:sz w:val="18"/>
          <w:szCs w:val="18"/>
        </w:rPr>
      </w:pPr>
      <w:r>
        <w:rPr>
          <w:rFonts w:ascii="Times New Roman" w:eastAsia="Times New Roman" w:hAnsi="Times New Roman" w:cs="Times New Roman"/>
          <w:b/>
          <w:sz w:val="24"/>
          <w:szCs w:val="24"/>
        </w:rPr>
        <w:t>Персональный состав и участие членов Комитета по кадрам и вознаграждениям в работе Комитета по кадрам и вознаграждениям с 01.01.2024 по 19.08.2024</w:t>
      </w:r>
    </w:p>
    <w:tbl>
      <w:tblPr>
        <w:tblW w:w="9351" w:type="dxa"/>
        <w:tblInd w:w="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3543"/>
        <w:gridCol w:w="1560"/>
        <w:gridCol w:w="1559"/>
      </w:tblGrid>
      <w:tr w:rsidR="00D602D4">
        <w:trPr>
          <w:trHeight w:val="170"/>
        </w:trPr>
        <w:tc>
          <w:tcPr>
            <w:tcW w:w="2689" w:type="dxa"/>
            <w:vMerge w:val="restart"/>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Ф. И. О.</w:t>
            </w:r>
          </w:p>
        </w:tc>
        <w:tc>
          <w:tcPr>
            <w:tcW w:w="3543" w:type="dxa"/>
            <w:vMerge w:val="restart"/>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Должность</w:t>
            </w:r>
          </w:p>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(на момент избрания)</w:t>
            </w:r>
          </w:p>
        </w:tc>
        <w:tc>
          <w:tcPr>
            <w:tcW w:w="3119" w:type="dxa"/>
            <w:gridSpan w:val="2"/>
            <w:tcBorders>
              <w:bottom w:val="single" w:sz="4" w:space="0" w:color="000000"/>
            </w:tcBorders>
          </w:tcPr>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Заочные заседания (4)</w:t>
            </w:r>
          </w:p>
        </w:tc>
      </w:tr>
      <w:tr w:rsidR="00D602D4">
        <w:trPr>
          <w:trHeight w:val="170"/>
        </w:trPr>
        <w:tc>
          <w:tcPr>
            <w:tcW w:w="2689" w:type="dxa"/>
            <w:vMerge/>
            <w:shd w:val="clear" w:color="FFFFFF" w:fill="FFFFFF"/>
            <w:vAlign w:val="center"/>
          </w:tcPr>
          <w:p w:rsidR="00D602D4" w:rsidRDefault="00D602D4">
            <w:pPr>
              <w:widowControl w:val="0"/>
              <w:spacing w:after="0" w:line="240" w:lineRule="auto"/>
              <w:jc w:val="center"/>
              <w:rPr>
                <w:rFonts w:ascii="Times New Roman" w:eastAsia="Times New Roman" w:hAnsi="Times New Roman" w:cs="Times New Roman"/>
                <w:b/>
                <w:sz w:val="20"/>
                <w:szCs w:val="20"/>
              </w:rPr>
            </w:pPr>
          </w:p>
        </w:tc>
        <w:tc>
          <w:tcPr>
            <w:tcW w:w="3543" w:type="dxa"/>
            <w:vMerge/>
            <w:shd w:val="clear" w:color="FFFFFF" w:fill="FFFFFF"/>
            <w:vAlign w:val="center"/>
          </w:tcPr>
          <w:p w:rsidR="00D602D4" w:rsidRDefault="00D602D4">
            <w:pPr>
              <w:widowControl w:val="0"/>
              <w:spacing w:after="0" w:line="240" w:lineRule="auto"/>
              <w:jc w:val="center"/>
              <w:rPr>
                <w:rFonts w:ascii="Times New Roman" w:eastAsia="Times New Roman" w:hAnsi="Times New Roman" w:cs="Times New Roman"/>
                <w:b/>
                <w:sz w:val="20"/>
                <w:szCs w:val="20"/>
              </w:rPr>
            </w:pPr>
          </w:p>
        </w:tc>
        <w:tc>
          <w:tcPr>
            <w:tcW w:w="1560" w:type="dxa"/>
            <w:tcBorders>
              <w:top w:val="single" w:sz="4" w:space="0" w:color="000000"/>
              <w:right w:val="single" w:sz="4" w:space="0" w:color="000000"/>
            </w:tcBorders>
          </w:tcPr>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Количество заседаний, в которых член Комитета принял участие</w:t>
            </w:r>
          </w:p>
        </w:tc>
        <w:tc>
          <w:tcPr>
            <w:tcW w:w="1559" w:type="dxa"/>
            <w:tcBorders>
              <w:top w:val="single" w:sz="4" w:space="0" w:color="000000"/>
              <w:left w:val="single" w:sz="4" w:space="0" w:color="000000"/>
            </w:tcBorders>
          </w:tcPr>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Процент участия, %</w:t>
            </w:r>
          </w:p>
        </w:tc>
      </w:tr>
      <w:tr w:rsidR="00D602D4">
        <w:trPr>
          <w:trHeight w:val="170"/>
        </w:trPr>
        <w:tc>
          <w:tcPr>
            <w:tcW w:w="2689" w:type="dxa"/>
          </w:tcPr>
          <w:p w:rsidR="00D602D4" w:rsidRDefault="000B4C86">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Мольский </w:t>
            </w:r>
          </w:p>
          <w:p w:rsidR="00D602D4" w:rsidRDefault="000B4C86">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Алексей Валерьевич </w:t>
            </w:r>
          </w:p>
          <w:p w:rsidR="00D602D4" w:rsidRDefault="00D602D4">
            <w:pPr>
              <w:spacing w:after="0" w:line="240" w:lineRule="auto"/>
              <w:rPr>
                <w:rFonts w:ascii="Times New Roman" w:hAnsi="Times New Roman" w:cs="Times New Roman"/>
                <w:i/>
                <w:sz w:val="20"/>
                <w:szCs w:val="20"/>
              </w:rPr>
            </w:pPr>
          </w:p>
          <w:p w:rsidR="00D602D4" w:rsidRDefault="000B4C86">
            <w:pPr>
              <w:spacing w:after="0" w:line="240" w:lineRule="auto"/>
              <w:rPr>
                <w:rFonts w:ascii="Times New Roman" w:hAnsi="Times New Roman" w:cs="Times New Roman"/>
                <w:i/>
                <w:sz w:val="20"/>
                <w:szCs w:val="20"/>
              </w:rPr>
            </w:pPr>
            <w:r>
              <w:rPr>
                <w:rFonts w:ascii="Times New Roman" w:hAnsi="Times New Roman" w:cs="Times New Roman"/>
                <w:i/>
                <w:sz w:val="20"/>
                <w:szCs w:val="20"/>
              </w:rPr>
              <w:t xml:space="preserve">Член Совета директоров </w:t>
            </w:r>
          </w:p>
        </w:tc>
        <w:tc>
          <w:tcPr>
            <w:tcW w:w="3543" w:type="dxa"/>
          </w:tcPr>
          <w:p w:rsidR="00D602D4" w:rsidRDefault="000B4C86">
            <w:pPr>
              <w:spacing w:after="0" w:line="240" w:lineRule="auto"/>
              <w:rPr>
                <w:rFonts w:ascii="Times New Roman" w:hAnsi="Times New Roman" w:cs="Times New Roman"/>
                <w:sz w:val="20"/>
                <w:szCs w:val="20"/>
              </w:rPr>
            </w:pPr>
            <w:r>
              <w:rPr>
                <w:rFonts w:ascii="Times New Roman" w:hAnsi="Times New Roman" w:cs="Times New Roman"/>
                <w:b/>
                <w:sz w:val="20"/>
                <w:szCs w:val="20"/>
              </w:rPr>
              <w:t>Председатель Комитета,</w:t>
            </w:r>
            <w:r>
              <w:rPr>
                <w:rFonts w:ascii="Times New Roman" w:hAnsi="Times New Roman" w:cs="Times New Roman"/>
                <w:sz w:val="20"/>
                <w:szCs w:val="20"/>
              </w:rPr>
              <w:t xml:space="preserve"> заместитель Генерального директора по инвестициям, капитальному строительству и реализации услуг ПАО «Россети»</w:t>
            </w:r>
          </w:p>
        </w:tc>
        <w:tc>
          <w:tcPr>
            <w:tcW w:w="156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55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trPr>
        <w:tc>
          <w:tcPr>
            <w:tcW w:w="268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Борисова </w:t>
            </w:r>
          </w:p>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color w:val="000000"/>
                <w:sz w:val="20"/>
                <w:szCs w:val="20"/>
                <w:lang w:eastAsia="ru-RU"/>
              </w:rPr>
              <w:t>Дарья Викторовна</w:t>
            </w:r>
            <w:r>
              <w:rPr>
                <w:rFonts w:ascii="Times New Roman" w:hAnsi="Times New Roman" w:cs="Times New Roman"/>
                <w:sz w:val="20"/>
                <w:szCs w:val="20"/>
              </w:rPr>
              <w:t xml:space="preserve"> </w:t>
            </w:r>
          </w:p>
          <w:p w:rsidR="00D602D4" w:rsidRDefault="00D602D4">
            <w:pPr>
              <w:spacing w:after="0" w:line="240" w:lineRule="auto"/>
              <w:rPr>
                <w:rFonts w:ascii="Times New Roman" w:hAnsi="Times New Roman" w:cs="Times New Roman"/>
                <w:sz w:val="20"/>
                <w:szCs w:val="20"/>
              </w:rPr>
            </w:pPr>
          </w:p>
          <w:p w:rsidR="00D602D4" w:rsidRDefault="00D602D4">
            <w:pPr>
              <w:spacing w:after="0" w:line="240" w:lineRule="auto"/>
              <w:rPr>
                <w:rFonts w:ascii="Times New Roman" w:hAnsi="Times New Roman" w:cs="Times New Roman"/>
                <w:sz w:val="20"/>
                <w:szCs w:val="20"/>
              </w:rPr>
            </w:pPr>
          </w:p>
        </w:tc>
        <w:tc>
          <w:tcPr>
            <w:tcW w:w="354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Директор по управлению персоналом                       ПАО «Россети»</w:t>
            </w:r>
          </w:p>
        </w:tc>
        <w:tc>
          <w:tcPr>
            <w:tcW w:w="156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55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trPr>
        <w:tc>
          <w:tcPr>
            <w:tcW w:w="2689"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Шашкова Наталья Васильевна</w:t>
            </w:r>
          </w:p>
          <w:p w:rsidR="00D602D4" w:rsidRDefault="000B4C86">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p>
          <w:p w:rsidR="00D602D4" w:rsidRDefault="000B4C86">
            <w:pPr>
              <w:spacing w:after="0" w:line="240" w:lineRule="auto"/>
              <w:jc w:val="both"/>
              <w:rPr>
                <w:rFonts w:ascii="Times New Roman" w:hAnsi="Times New Roman" w:cs="Times New Roman"/>
                <w:i/>
                <w:sz w:val="20"/>
                <w:szCs w:val="20"/>
              </w:rPr>
            </w:pPr>
            <w:r>
              <w:rPr>
                <w:rFonts w:ascii="Times New Roman" w:hAnsi="Times New Roman" w:cs="Times New Roman"/>
                <w:i/>
                <w:sz w:val="20"/>
                <w:szCs w:val="20"/>
              </w:rPr>
              <w:t xml:space="preserve">Член Совета директоров </w:t>
            </w:r>
          </w:p>
          <w:p w:rsidR="00D602D4" w:rsidRDefault="000B4C86">
            <w:pPr>
              <w:spacing w:after="0" w:line="240" w:lineRule="auto"/>
              <w:rPr>
                <w:rFonts w:ascii="Times New Roman" w:hAnsi="Times New Roman" w:cs="Times New Roman"/>
                <w:i/>
                <w:sz w:val="20"/>
                <w:szCs w:val="20"/>
              </w:rPr>
            </w:pPr>
            <w:r>
              <w:rPr>
                <w:rFonts w:ascii="Times New Roman" w:hAnsi="Times New Roman" w:cs="Times New Roman"/>
                <w:i/>
                <w:sz w:val="20"/>
                <w:szCs w:val="20"/>
              </w:rPr>
              <w:t>Независимый директор</w:t>
            </w:r>
          </w:p>
        </w:tc>
        <w:tc>
          <w:tcPr>
            <w:tcW w:w="354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Директор по экономике ООО «Сибирская генерирующая компания»</w:t>
            </w:r>
          </w:p>
        </w:tc>
        <w:tc>
          <w:tcPr>
            <w:tcW w:w="1560"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559"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bl>
    <w:p w:rsidR="00D602D4" w:rsidRDefault="00D602D4">
      <w:pPr>
        <w:widowControl w:val="0"/>
        <w:ind w:firstLine="709"/>
        <w:contextualSpacing/>
        <w:jc w:val="right"/>
        <w:rPr>
          <w:rFonts w:ascii="Times New Roman" w:eastAsia="Times New Roman" w:hAnsi="Times New Roman" w:cs="Times New Roman"/>
          <w:sz w:val="24"/>
          <w:szCs w:val="24"/>
        </w:rPr>
      </w:pPr>
    </w:p>
    <w:p w:rsidR="00D602D4" w:rsidRDefault="000B4C86">
      <w:pPr>
        <w:widowControl w:val="0"/>
        <w:ind w:firstLine="709"/>
        <w:contextualSpacing/>
        <w:jc w:val="right"/>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Таблица 8</w:t>
      </w:r>
      <w:r>
        <w:rPr>
          <w:rFonts w:ascii="Times New Roman" w:eastAsia="Times New Roman" w:hAnsi="Times New Roman" w:cs="Times New Roman"/>
          <w:sz w:val="24"/>
          <w:szCs w:val="24"/>
        </w:rPr>
        <w:t>9</w:t>
      </w:r>
    </w:p>
    <w:p w:rsidR="00D602D4" w:rsidRDefault="000B4C86">
      <w:pPr>
        <w:widowControl w:val="0"/>
        <w:spacing w:after="0" w:line="240" w:lineRule="auto"/>
        <w:ind w:firstLine="709"/>
        <w:jc w:val="center"/>
        <w:rPr>
          <w:rFonts w:ascii="Times New Roman" w:eastAsia="Times New Roman" w:hAnsi="Times New Roman" w:cs="Times New Roman"/>
          <w:b/>
          <w:sz w:val="18"/>
          <w:szCs w:val="18"/>
        </w:rPr>
      </w:pPr>
      <w:r>
        <w:rPr>
          <w:rFonts w:ascii="Times New Roman" w:eastAsia="Times New Roman" w:hAnsi="Times New Roman" w:cs="Times New Roman"/>
          <w:b/>
          <w:sz w:val="24"/>
          <w:szCs w:val="24"/>
        </w:rPr>
        <w:t>Персональный состав и участие членов Комитета по кадрам и вознаграждениям в работе Комитета по кадрам и вознаграждениям с 19.08.2024 (дата избрания состава комитета) по 31.12.2024</w:t>
      </w:r>
    </w:p>
    <w:tbl>
      <w:tblPr>
        <w:tblW w:w="9312" w:type="dxa"/>
        <w:jc w:val="center"/>
        <w:tblLook w:val="04A0" w:firstRow="1" w:lastRow="0" w:firstColumn="1" w:lastColumn="0" w:noHBand="0" w:noVBand="1"/>
      </w:tblPr>
      <w:tblGrid>
        <w:gridCol w:w="2547"/>
        <w:gridCol w:w="3685"/>
        <w:gridCol w:w="1540"/>
        <w:gridCol w:w="1540"/>
      </w:tblGrid>
      <w:tr w:rsidR="00D602D4">
        <w:trPr>
          <w:trHeight w:val="170"/>
          <w:jc w:val="center"/>
        </w:trPr>
        <w:tc>
          <w:tcPr>
            <w:tcW w:w="2547"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Ф. И. О.</w:t>
            </w:r>
          </w:p>
        </w:tc>
        <w:tc>
          <w:tcPr>
            <w:tcW w:w="3685" w:type="dxa"/>
            <w:vMerge w:val="restart"/>
            <w:tcBorders>
              <w:top w:val="single" w:sz="4" w:space="0" w:color="000000"/>
              <w:left w:val="non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Должность</w:t>
            </w:r>
          </w:p>
          <w:p w:rsidR="00D602D4" w:rsidRDefault="000B4C86">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(на момент избрания)</w:t>
            </w:r>
          </w:p>
        </w:tc>
        <w:tc>
          <w:tcPr>
            <w:tcW w:w="3080" w:type="dxa"/>
            <w:gridSpan w:val="2"/>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 Заочные заседания (5)</w:t>
            </w:r>
          </w:p>
        </w:tc>
      </w:tr>
      <w:tr w:rsidR="00D602D4">
        <w:trPr>
          <w:trHeight w:val="170"/>
          <w:jc w:val="center"/>
        </w:trPr>
        <w:tc>
          <w:tcPr>
            <w:tcW w:w="25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bCs/>
                <w:color w:val="000000"/>
                <w:sz w:val="18"/>
                <w:szCs w:val="18"/>
                <w:lang w:eastAsia="ru-RU"/>
              </w:rPr>
            </w:pPr>
          </w:p>
        </w:tc>
        <w:tc>
          <w:tcPr>
            <w:tcW w:w="3685" w:type="dxa"/>
            <w:vMerge/>
            <w:tcBorders>
              <w:left w:val="non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center"/>
              <w:rPr>
                <w:rFonts w:ascii="Times New Roman" w:eastAsia="Times New Roman" w:hAnsi="Times New Roman" w:cs="Times New Roman"/>
                <w:b/>
                <w:bCs/>
                <w:color w:val="000000"/>
                <w:sz w:val="18"/>
                <w:szCs w:val="18"/>
                <w:lang w:eastAsia="ru-RU"/>
              </w:rPr>
            </w:pPr>
          </w:p>
        </w:tc>
        <w:tc>
          <w:tcPr>
            <w:tcW w:w="154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Количество заседаний, в которых член Комитета принял участие</w:t>
            </w:r>
          </w:p>
        </w:tc>
        <w:tc>
          <w:tcPr>
            <w:tcW w:w="154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Процент участия, %</w:t>
            </w:r>
          </w:p>
        </w:tc>
      </w:tr>
      <w:tr w:rsidR="00D602D4">
        <w:trPr>
          <w:trHeight w:val="170"/>
          <w:jc w:val="center"/>
        </w:trPr>
        <w:tc>
          <w:tcPr>
            <w:tcW w:w="2547"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Борисова </w:t>
            </w:r>
          </w:p>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Дарья Викторовна</w:t>
            </w:r>
            <w:r>
              <w:rPr>
                <w:rFonts w:ascii="Times New Roman" w:eastAsia="Times New Roman" w:hAnsi="Times New Roman" w:cs="Times New Roman"/>
                <w:color w:val="000000"/>
                <w:sz w:val="20"/>
                <w:szCs w:val="20"/>
                <w:lang w:eastAsia="ru-RU"/>
              </w:rPr>
              <w:br/>
            </w:r>
            <w:r>
              <w:rPr>
                <w:rFonts w:ascii="Times New Roman" w:eastAsia="Times New Roman" w:hAnsi="Times New Roman" w:cs="Times New Roman"/>
                <w:color w:val="000000"/>
                <w:sz w:val="20"/>
                <w:szCs w:val="20"/>
                <w:lang w:eastAsia="ru-RU"/>
              </w:rPr>
              <w:br/>
            </w:r>
          </w:p>
        </w:tc>
        <w:tc>
          <w:tcPr>
            <w:tcW w:w="368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lang w:eastAsia="ru-RU"/>
              </w:rPr>
              <w:t>Председатель комитета</w:t>
            </w:r>
            <w:r>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color w:val="000000"/>
                <w:sz w:val="20"/>
                <w:szCs w:val="20"/>
                <w:lang w:eastAsia="ru-RU"/>
              </w:rPr>
              <w:br/>
              <w:t>Директор по управлению персоналом                       ПАО «Россети»</w:t>
            </w:r>
          </w:p>
          <w:p w:rsidR="00D602D4" w:rsidRDefault="00D602D4">
            <w:pPr>
              <w:spacing w:after="0" w:line="240" w:lineRule="auto"/>
              <w:rPr>
                <w:rFonts w:ascii="Times New Roman" w:eastAsia="Times New Roman" w:hAnsi="Times New Roman" w:cs="Times New Roman"/>
                <w:color w:val="000000"/>
                <w:sz w:val="20"/>
                <w:szCs w:val="20"/>
              </w:rPr>
            </w:pPr>
          </w:p>
        </w:tc>
        <w:tc>
          <w:tcPr>
            <w:tcW w:w="154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w:t>
            </w:r>
          </w:p>
        </w:tc>
        <w:tc>
          <w:tcPr>
            <w:tcW w:w="154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547"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Устюгов </w:t>
            </w:r>
          </w:p>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Дмитрий Владимирович</w:t>
            </w:r>
            <w:r>
              <w:rPr>
                <w:rFonts w:ascii="Times New Roman" w:eastAsia="Times New Roman" w:hAnsi="Times New Roman" w:cs="Times New Roman"/>
                <w:color w:val="000000"/>
                <w:sz w:val="20"/>
                <w:szCs w:val="20"/>
                <w:lang w:eastAsia="ru-RU"/>
              </w:rPr>
              <w:br/>
            </w:r>
          </w:p>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i/>
                <w:color w:val="000000"/>
                <w:sz w:val="20"/>
                <w:szCs w:val="20"/>
                <w:lang w:eastAsia="ru-RU"/>
              </w:rPr>
              <w:t>Член Совета директоров</w:t>
            </w:r>
          </w:p>
        </w:tc>
        <w:tc>
          <w:tcPr>
            <w:tcW w:w="3685"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Директор по управлению персоналом                       ПАО «Россети»</w:t>
            </w:r>
          </w:p>
        </w:tc>
        <w:tc>
          <w:tcPr>
            <w:tcW w:w="154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w:t>
            </w:r>
          </w:p>
        </w:tc>
        <w:tc>
          <w:tcPr>
            <w:tcW w:w="154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547"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 xml:space="preserve">Трубицын </w:t>
            </w:r>
          </w:p>
          <w:p w:rsidR="00D602D4" w:rsidRDefault="000B4C86">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Кирилл Андреевич</w:t>
            </w:r>
            <w:r>
              <w:rPr>
                <w:rFonts w:ascii="Times New Roman" w:eastAsia="Times New Roman" w:hAnsi="Times New Roman" w:cs="Times New Roman"/>
                <w:color w:val="000000"/>
                <w:sz w:val="20"/>
                <w:szCs w:val="20"/>
                <w:lang w:eastAsia="ru-RU"/>
              </w:rPr>
              <w:br/>
            </w:r>
            <w:r>
              <w:rPr>
                <w:rFonts w:ascii="Times New Roman" w:eastAsia="Times New Roman" w:hAnsi="Times New Roman" w:cs="Times New Roman"/>
                <w:color w:val="000000"/>
                <w:sz w:val="20"/>
                <w:szCs w:val="20"/>
                <w:lang w:eastAsia="ru-RU"/>
              </w:rPr>
              <w:br/>
            </w:r>
            <w:r>
              <w:rPr>
                <w:rFonts w:ascii="Times New Roman" w:eastAsia="Times New Roman" w:hAnsi="Times New Roman" w:cs="Times New Roman"/>
                <w:i/>
                <w:color w:val="000000"/>
                <w:sz w:val="20"/>
                <w:szCs w:val="20"/>
                <w:lang w:eastAsia="ru-RU"/>
              </w:rPr>
              <w:t>Член Совета директоров</w:t>
            </w:r>
            <w:r>
              <w:rPr>
                <w:rFonts w:ascii="Times New Roman" w:eastAsia="Times New Roman" w:hAnsi="Times New Roman" w:cs="Times New Roman"/>
                <w:i/>
                <w:color w:val="000000"/>
                <w:sz w:val="20"/>
                <w:szCs w:val="20"/>
                <w:lang w:eastAsia="ru-RU"/>
              </w:rPr>
              <w:br/>
              <w:t>Независимый директор</w:t>
            </w:r>
          </w:p>
        </w:tc>
        <w:tc>
          <w:tcPr>
            <w:tcW w:w="3685"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Директор по правовым вопросам ООО «Сибирская генерирующая компания»</w:t>
            </w:r>
          </w:p>
        </w:tc>
        <w:tc>
          <w:tcPr>
            <w:tcW w:w="154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w:t>
            </w:r>
          </w:p>
        </w:tc>
        <w:tc>
          <w:tcPr>
            <w:tcW w:w="154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100</w:t>
            </w:r>
          </w:p>
        </w:tc>
      </w:tr>
    </w:tbl>
    <w:p w:rsidR="00D602D4" w:rsidRDefault="00D602D4">
      <w:pPr>
        <w:widowControl w:val="0"/>
        <w:spacing w:after="0" w:line="240" w:lineRule="auto"/>
        <w:jc w:val="center"/>
        <w:rPr>
          <w:rFonts w:ascii="Times New Roman" w:eastAsia="Times New Roman" w:hAnsi="Times New Roman" w:cs="Times New Roman"/>
          <w:sz w:val="24"/>
          <w:szCs w:val="24"/>
        </w:rPr>
      </w:pPr>
    </w:p>
    <w:p w:rsidR="00D602D4" w:rsidRDefault="000B4C86">
      <w:pPr>
        <w:tabs>
          <w:tab w:val="left" w:pos="993"/>
          <w:tab w:val="left" w:pos="1134"/>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2024 году состоялось 9 заседаний (28 марта, 27 мая, 17 июня, 24 июля, 23 августа, 27 сентября, 06 ноября, 11 декабря, 12 декабря) Комитета по кадрам и вознаграждения.  Рассмотрено 16 вопросов. </w:t>
      </w:r>
    </w:p>
    <w:p w:rsidR="00D602D4" w:rsidRDefault="000B4C86">
      <w:pPr>
        <w:tabs>
          <w:tab w:val="left" w:pos="993"/>
          <w:tab w:val="left" w:pos="1134"/>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Представлены рекомендации Совету директоров по 9 вопросам, в том числе по вопросам:</w:t>
      </w:r>
    </w:p>
    <w:p w:rsidR="00D602D4" w:rsidRDefault="000B4C86">
      <w:pPr>
        <w:pStyle w:val="ac"/>
        <w:numPr>
          <w:ilvl w:val="0"/>
          <w:numId w:val="96"/>
        </w:numPr>
        <w:tabs>
          <w:tab w:val="left" w:pos="993"/>
          <w:tab w:val="left" w:pos="1134"/>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 предварительной оценке кандидатов в Совет директоров ПАО «Россети Сибирь»;</w:t>
      </w:r>
    </w:p>
    <w:p w:rsidR="00D602D4" w:rsidRDefault="000B4C86">
      <w:pPr>
        <w:pStyle w:val="ac"/>
        <w:numPr>
          <w:ilvl w:val="0"/>
          <w:numId w:val="96"/>
        </w:numPr>
        <w:tabs>
          <w:tab w:val="left" w:pos="993"/>
          <w:tab w:val="left" w:pos="1134"/>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 предварительном согласовании кандидатур на отдельные должности исполнительного аппарата Общества, определенные Советом директоров Общества;</w:t>
      </w:r>
    </w:p>
    <w:p w:rsidR="00D602D4" w:rsidRDefault="000B4C86">
      <w:pPr>
        <w:pStyle w:val="ac"/>
        <w:numPr>
          <w:ilvl w:val="0"/>
          <w:numId w:val="95"/>
        </w:numPr>
        <w:tabs>
          <w:tab w:val="left" w:pos="993"/>
          <w:tab w:val="left" w:pos="1134"/>
        </w:tabs>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 рекомендациях Совету директоров Общества по вопросу: О прекращении полномочий члена Правления Общества и избрании члена Правления Общества. </w:t>
      </w:r>
    </w:p>
    <w:p w:rsidR="00D602D4" w:rsidRDefault="000B4C86">
      <w:pPr>
        <w:tabs>
          <w:tab w:val="left" w:pos="993"/>
          <w:tab w:val="left" w:pos="1134"/>
        </w:tabs>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Таблица </w:t>
      </w:r>
      <w:r>
        <w:rPr>
          <w:rFonts w:ascii="Times New Roman" w:eastAsia="Times New Roman" w:hAnsi="Times New Roman" w:cs="Times New Roman"/>
          <w:sz w:val="24"/>
          <w:szCs w:val="24"/>
        </w:rPr>
        <w:t>90</w:t>
      </w:r>
    </w:p>
    <w:p w:rsidR="00D602D4" w:rsidRDefault="000B4C86">
      <w:pPr>
        <w:widowControl w:val="0"/>
        <w:spacing w:after="0" w:line="240" w:lineRule="auto"/>
        <w:ind w:firstLine="70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Категории рассмотренных Комитетом по кадрам и вознаграждениям вопросов в 2023 году</w:t>
      </w:r>
    </w:p>
    <w:tbl>
      <w:tblPr>
        <w:tblStyle w:val="83"/>
        <w:tblW w:w="9351" w:type="dxa"/>
        <w:jc w:val="center"/>
        <w:tblInd w:w="0" w:type="dxa"/>
        <w:tblLook w:val="04A0" w:firstRow="1" w:lastRow="0" w:firstColumn="1" w:lastColumn="0" w:noHBand="0" w:noVBand="1"/>
      </w:tblPr>
      <w:tblGrid>
        <w:gridCol w:w="5223"/>
        <w:gridCol w:w="637"/>
        <w:gridCol w:w="1793"/>
        <w:gridCol w:w="1698"/>
      </w:tblGrid>
      <w:tr w:rsidR="00D602D4">
        <w:trPr>
          <w:trHeight w:val="340"/>
          <w:jc w:val="center"/>
        </w:trPr>
        <w:tc>
          <w:tcPr>
            <w:tcW w:w="522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bCs/>
                <w:color w:val="000000"/>
                <w:sz w:val="20"/>
                <w:szCs w:val="20"/>
              </w:rPr>
              <w:t>Категории вопросов</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tabs>
                <w:tab w:val="left" w:pos="34"/>
              </w:tabs>
              <w:ind w:right="-143"/>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    Ед.</w:t>
            </w:r>
          </w:p>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bCs/>
                <w:color w:val="000000"/>
                <w:sz w:val="20"/>
                <w:szCs w:val="20"/>
              </w:rPr>
              <w:t>изм.</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sz w:val="20"/>
                <w:szCs w:val="20"/>
              </w:rPr>
              <w:t>Количество вопросов</w:t>
            </w:r>
          </w:p>
        </w:tc>
        <w:tc>
          <w:tcPr>
            <w:tcW w:w="16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b/>
                <w:sz w:val="20"/>
                <w:szCs w:val="20"/>
                <w:highlight w:val="white"/>
              </w:rPr>
            </w:pPr>
            <w:r>
              <w:rPr>
                <w:rFonts w:ascii="Times New Roman" w:hAnsi="Times New Roman"/>
                <w:b/>
                <w:sz w:val="20"/>
                <w:szCs w:val="20"/>
                <w:highlight w:val="white"/>
              </w:rPr>
              <w:t>Процент от общего числа, %</w:t>
            </w:r>
          </w:p>
        </w:tc>
      </w:tr>
      <w:tr w:rsidR="00D602D4">
        <w:trPr>
          <w:trHeight w:val="340"/>
          <w:jc w:val="center"/>
        </w:trPr>
        <w:tc>
          <w:tcPr>
            <w:tcW w:w="522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Согласование кандидатур на отдельные должности и кадровый резерв</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2</w:t>
            </w:r>
          </w:p>
        </w:tc>
        <w:tc>
          <w:tcPr>
            <w:tcW w:w="1698"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12</w:t>
            </w:r>
          </w:p>
        </w:tc>
      </w:tr>
      <w:tr w:rsidR="00D602D4">
        <w:trPr>
          <w:trHeight w:val="340"/>
          <w:jc w:val="center"/>
        </w:trPr>
        <w:tc>
          <w:tcPr>
            <w:tcW w:w="522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Рекомендации СД по формированию Правления</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1</w:t>
            </w:r>
          </w:p>
        </w:tc>
        <w:tc>
          <w:tcPr>
            <w:tcW w:w="1698"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6</w:t>
            </w:r>
          </w:p>
        </w:tc>
      </w:tr>
      <w:tr w:rsidR="00D602D4">
        <w:trPr>
          <w:trHeight w:val="340"/>
          <w:jc w:val="center"/>
        </w:trPr>
        <w:tc>
          <w:tcPr>
            <w:tcW w:w="522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Материальное стимулирование</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w:t>
            </w:r>
          </w:p>
        </w:tc>
        <w:tc>
          <w:tcPr>
            <w:tcW w:w="1698"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w:t>
            </w:r>
          </w:p>
        </w:tc>
      </w:tr>
      <w:tr w:rsidR="00D602D4">
        <w:trPr>
          <w:trHeight w:val="340"/>
          <w:jc w:val="center"/>
        </w:trPr>
        <w:tc>
          <w:tcPr>
            <w:tcW w:w="522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Организационные вопросы</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4</w:t>
            </w:r>
          </w:p>
        </w:tc>
        <w:tc>
          <w:tcPr>
            <w:tcW w:w="1698"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25</w:t>
            </w:r>
          </w:p>
        </w:tc>
      </w:tr>
      <w:tr w:rsidR="00D602D4">
        <w:trPr>
          <w:trHeight w:val="340"/>
          <w:jc w:val="center"/>
        </w:trPr>
        <w:tc>
          <w:tcPr>
            <w:tcW w:w="522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 xml:space="preserve">Другое </w:t>
            </w:r>
          </w:p>
        </w:tc>
        <w:tc>
          <w:tcPr>
            <w:tcW w:w="63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4</w:t>
            </w:r>
          </w:p>
        </w:tc>
        <w:tc>
          <w:tcPr>
            <w:tcW w:w="1698"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25</w:t>
            </w:r>
          </w:p>
        </w:tc>
      </w:tr>
    </w:tbl>
    <w:p w:rsidR="00D602D4" w:rsidRDefault="00D602D4">
      <w:pPr>
        <w:widowControl w:val="0"/>
        <w:jc w:val="center"/>
        <w:rPr>
          <w:rFonts w:ascii="Times New Roman" w:eastAsia="Times New Roman" w:hAnsi="Times New Roman" w:cs="Times New Roman"/>
          <w:b/>
          <w:sz w:val="24"/>
          <w:szCs w:val="24"/>
        </w:rPr>
      </w:pPr>
    </w:p>
    <w:p w:rsidR="00D602D4" w:rsidRDefault="000B4C86">
      <w:pPr>
        <w:widowControl w:val="0"/>
        <w:ind w:firstLine="709"/>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Отчет Комитета по надежности Совета директоров Общества</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Комитет по надежности Совета директоров Общества (далее – Комитет по надежности) создан по решению Совета директоров Общества от 30.03.2006 (протокол от 30.03.2006 №8). </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Деятельность Комитета по надежности регулируется </w:t>
      </w:r>
      <w:hyperlink r:id="rId105" w:tooltip="http://www.mrsk-yuga.ru/files/file/site/aud_novred.pdf" w:history="1">
        <w:r>
          <w:rPr>
            <w:rFonts w:ascii="Times New Roman" w:eastAsia="Times New Roman" w:hAnsi="Times New Roman" w:cs="Times New Roman"/>
            <w:sz w:val="24"/>
            <w:szCs w:val="24"/>
          </w:rPr>
          <w:t>Положением о Комитете по надежности</w:t>
        </w:r>
      </w:hyperlink>
      <w:r>
        <w:rPr>
          <w:rFonts w:ascii="Times New Roman" w:eastAsia="Times New Roman" w:hAnsi="Times New Roman" w:cs="Times New Roman"/>
          <w:sz w:val="24"/>
          <w:szCs w:val="24"/>
        </w:rPr>
        <w:t xml:space="preserve"> Совета директоров Общества, утвержденным решением Совета директоров Общества от 31.07.2017 (протокол от 03.08.2017 № 246/17)</w:t>
      </w:r>
      <w:r>
        <w:rPr>
          <w:rStyle w:val="af1"/>
          <w:rFonts w:ascii="Times New Roman" w:eastAsia="Times New Roman" w:hAnsi="Times New Roman" w:cs="Times New Roman"/>
          <w:sz w:val="24"/>
          <w:szCs w:val="24"/>
        </w:rPr>
        <w:footnoteReference w:id="30"/>
      </w:r>
      <w:r>
        <w:rPr>
          <w:rFonts w:ascii="Times New Roman" w:eastAsia="Times New Roman" w:hAnsi="Times New Roman" w:cs="Times New Roman"/>
          <w:sz w:val="24"/>
          <w:szCs w:val="24"/>
        </w:rPr>
        <w:t xml:space="preserve">. </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Основной задачей Комитета по надежности является выработка и представление рекомендаций  Совету директоров Общества по следующим направлениям деятельности Совета директоров:  экспертиза производственных программ, планов по техническому перевооружению, реконструкции, новому строительству и ремонту объектов электросетевого хозяйства, анализ их разработки и исполнения с точки зрения обеспечения требований к надежности функционирования и технического состояния электрических сетей, деятельности Общества в области противоаварийной работы (обеспечение готовности, организация и проведение аварийно-восстановительных работ на электросетевых объектах), программ профилактики и снижения рисков травматизма персонала Общества и сторонних лиц в электроустановках Общества, а также контроль их исполнения, системы внутреннего технического контроля в Обществе, системы управления охраной труда в Обществе, программы реализации экологической политики, системы пожарной и промышленной безопасности, качества расследований причин технологических нарушений (аварий). Кроме того, контроль и оценка деятельности технических служб Общества в части обеспечения надежности функционирования электрических сетей и производственной безопасности, оценка полноты и достаточности мероприятий по результатам расследования аварий в соответствии с Правилами расследования причин аварий в электроэнергетике (утв. постановлением Правительства Российской Федерации от 28.10.2009 № 846), а также контроль их исполнения. </w:t>
      </w:r>
    </w:p>
    <w:p w:rsidR="00D602D4" w:rsidRDefault="00D602D4">
      <w:pPr>
        <w:widowControl w:val="0"/>
        <w:spacing w:after="0" w:line="240" w:lineRule="auto"/>
        <w:ind w:firstLine="709"/>
        <w:jc w:val="both"/>
        <w:rPr>
          <w:rFonts w:ascii="Times New Roman" w:eastAsia="Times New Roman" w:hAnsi="Times New Roman" w:cs="Times New Roman"/>
          <w:sz w:val="24"/>
          <w:szCs w:val="24"/>
        </w:rPr>
      </w:pPr>
    </w:p>
    <w:p w:rsidR="00D602D4" w:rsidRDefault="00D602D4">
      <w:pPr>
        <w:widowControl w:val="0"/>
        <w:spacing w:after="0" w:line="240" w:lineRule="auto"/>
        <w:ind w:firstLine="709"/>
        <w:jc w:val="right"/>
        <w:rPr>
          <w:rFonts w:ascii="Times New Roman" w:eastAsia="Times New Roman" w:hAnsi="Times New Roman" w:cs="Times New Roman"/>
          <w:sz w:val="24"/>
          <w:szCs w:val="24"/>
        </w:rPr>
      </w:pPr>
    </w:p>
    <w:p w:rsidR="00D602D4" w:rsidRDefault="00D602D4">
      <w:pPr>
        <w:widowControl w:val="0"/>
        <w:spacing w:after="0" w:line="240" w:lineRule="auto"/>
        <w:ind w:firstLine="709"/>
        <w:jc w:val="right"/>
        <w:rPr>
          <w:rFonts w:ascii="Times New Roman" w:eastAsia="Times New Roman" w:hAnsi="Times New Roman" w:cs="Times New Roman"/>
          <w:sz w:val="24"/>
          <w:szCs w:val="24"/>
        </w:rPr>
      </w:pPr>
    </w:p>
    <w:p w:rsidR="00D602D4" w:rsidRDefault="00D602D4">
      <w:pPr>
        <w:widowControl w:val="0"/>
        <w:spacing w:after="0" w:line="240" w:lineRule="auto"/>
        <w:ind w:firstLine="709"/>
        <w:jc w:val="right"/>
        <w:rPr>
          <w:rFonts w:ascii="Times New Roman" w:eastAsia="Times New Roman" w:hAnsi="Times New Roman" w:cs="Times New Roman"/>
          <w:sz w:val="24"/>
          <w:szCs w:val="24"/>
        </w:rPr>
      </w:pPr>
    </w:p>
    <w:p w:rsidR="00D602D4" w:rsidRDefault="00D602D4">
      <w:pPr>
        <w:widowControl w:val="0"/>
        <w:spacing w:after="0" w:line="240" w:lineRule="auto"/>
        <w:ind w:firstLine="709"/>
        <w:jc w:val="right"/>
        <w:rPr>
          <w:rFonts w:ascii="Times New Roman" w:eastAsia="Times New Roman" w:hAnsi="Times New Roman" w:cs="Times New Roman"/>
          <w:sz w:val="24"/>
          <w:szCs w:val="24"/>
        </w:rPr>
      </w:pPr>
    </w:p>
    <w:p w:rsidR="00D602D4" w:rsidRDefault="00D602D4">
      <w:pPr>
        <w:widowControl w:val="0"/>
        <w:spacing w:after="0" w:line="240" w:lineRule="auto"/>
        <w:ind w:firstLine="709"/>
        <w:jc w:val="right"/>
        <w:rPr>
          <w:rFonts w:ascii="Times New Roman" w:eastAsia="Times New Roman" w:hAnsi="Times New Roman" w:cs="Times New Roman"/>
          <w:sz w:val="24"/>
          <w:szCs w:val="24"/>
        </w:rPr>
      </w:pPr>
    </w:p>
    <w:p w:rsidR="00D602D4" w:rsidRDefault="000B4C86">
      <w:pPr>
        <w:widowControl w:val="0"/>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Таблица </w:t>
      </w:r>
      <w:r>
        <w:rPr>
          <w:rFonts w:ascii="Times New Roman" w:eastAsia="Times New Roman" w:hAnsi="Times New Roman" w:cs="Times New Roman"/>
          <w:sz w:val="24"/>
          <w:szCs w:val="24"/>
        </w:rPr>
        <w:t>91</w:t>
      </w:r>
    </w:p>
    <w:p w:rsidR="00D602D4" w:rsidRDefault="000B4C86">
      <w:pPr>
        <w:widowControl w:val="0"/>
        <w:spacing w:after="0" w:line="240" w:lineRule="auto"/>
        <w:ind w:firstLine="70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Персональный состав и участие членов Комитета по надежности </w:t>
      </w:r>
    </w:p>
    <w:p w:rsidR="00D602D4" w:rsidRDefault="000B4C86">
      <w:pPr>
        <w:widowControl w:val="0"/>
        <w:spacing w:after="0" w:line="240" w:lineRule="auto"/>
        <w:ind w:firstLine="709"/>
        <w:jc w:val="center"/>
        <w:rPr>
          <w:rFonts w:ascii="Times New Roman" w:eastAsia="Times New Roman" w:hAnsi="Times New Roman" w:cs="Times New Roman"/>
          <w:b/>
          <w:sz w:val="18"/>
          <w:szCs w:val="18"/>
        </w:rPr>
      </w:pPr>
      <w:r>
        <w:rPr>
          <w:rFonts w:ascii="Times New Roman" w:eastAsia="Times New Roman" w:hAnsi="Times New Roman" w:cs="Times New Roman"/>
          <w:b/>
          <w:sz w:val="24"/>
          <w:szCs w:val="24"/>
        </w:rPr>
        <w:t>в работе Комитета по надежности с 01.01.2024 по 19.08.2024</w:t>
      </w:r>
    </w:p>
    <w:tbl>
      <w:tblPr>
        <w:tblW w:w="9351" w:type="dxa"/>
        <w:jc w:val="center"/>
        <w:tblLayout w:type="fixed"/>
        <w:tblLook w:val="04A0" w:firstRow="1" w:lastRow="0" w:firstColumn="1" w:lastColumn="0" w:noHBand="0" w:noVBand="1"/>
      </w:tblPr>
      <w:tblGrid>
        <w:gridCol w:w="2547"/>
        <w:gridCol w:w="3827"/>
        <w:gridCol w:w="1418"/>
        <w:gridCol w:w="1559"/>
      </w:tblGrid>
      <w:tr w:rsidR="00D602D4">
        <w:trPr>
          <w:trHeight w:val="170"/>
          <w:jc w:val="center"/>
        </w:trPr>
        <w:tc>
          <w:tcPr>
            <w:tcW w:w="2547"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lang w:eastAsia="ru-RU"/>
              </w:rPr>
              <w:t>Ф. И. О.</w:t>
            </w:r>
          </w:p>
        </w:tc>
        <w:tc>
          <w:tcPr>
            <w:tcW w:w="3827"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Должность</w:t>
            </w:r>
          </w:p>
          <w:p w:rsidR="00D602D4" w:rsidRDefault="000B4C86">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sz w:val="20"/>
                <w:szCs w:val="20"/>
              </w:rPr>
              <w:t>(на момент избрания)</w:t>
            </w:r>
          </w:p>
        </w:tc>
        <w:tc>
          <w:tcPr>
            <w:tcW w:w="2977" w:type="dxa"/>
            <w:gridSpan w:val="2"/>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lang w:eastAsia="ru-RU"/>
              </w:rPr>
              <w:t>Заочные заседания (5)</w:t>
            </w:r>
          </w:p>
        </w:tc>
      </w:tr>
      <w:tr w:rsidR="00D602D4">
        <w:trPr>
          <w:trHeight w:val="170"/>
          <w:jc w:val="center"/>
        </w:trPr>
        <w:tc>
          <w:tcPr>
            <w:tcW w:w="25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color w:val="000000"/>
                <w:sz w:val="18"/>
                <w:szCs w:val="18"/>
                <w:lang w:eastAsia="ru-RU"/>
              </w:rPr>
            </w:pPr>
          </w:p>
        </w:tc>
        <w:tc>
          <w:tcPr>
            <w:tcW w:w="382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color w:val="000000"/>
                <w:sz w:val="18"/>
                <w:szCs w:val="18"/>
                <w:lang w:eastAsia="ru-RU"/>
              </w:rPr>
            </w:pPr>
          </w:p>
        </w:tc>
        <w:tc>
          <w:tcPr>
            <w:tcW w:w="1418" w:type="dxa"/>
            <w:tcBorders>
              <w:top w:val="none" w:sz="4" w:space="0" w:color="000000"/>
              <w:left w:val="none" w:sz="4" w:space="0" w:color="000000"/>
              <w:bottom w:val="non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lang w:eastAsia="ru-RU"/>
              </w:rPr>
              <w:t>Количество заседаний, в которых член Комитета принял участие</w:t>
            </w:r>
          </w:p>
        </w:tc>
        <w:tc>
          <w:tcPr>
            <w:tcW w:w="1559" w:type="dxa"/>
            <w:tcBorders>
              <w:top w:val="none" w:sz="4" w:space="0" w:color="000000"/>
              <w:left w:val="none" w:sz="4" w:space="0" w:color="000000"/>
              <w:bottom w:val="non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lang w:eastAsia="ru-RU"/>
              </w:rPr>
              <w:t>Процент участия, %</w:t>
            </w:r>
          </w:p>
        </w:tc>
      </w:tr>
      <w:tr w:rsidR="00D602D4">
        <w:trPr>
          <w:trHeight w:val="170"/>
          <w:jc w:val="center"/>
        </w:trPr>
        <w:tc>
          <w:tcPr>
            <w:tcW w:w="2547" w:type="dxa"/>
            <w:tcBorders>
              <w:top w:val="singl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 xml:space="preserve">Уколов </w:t>
            </w:r>
          </w:p>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Владимир Анатольевич</w:t>
            </w:r>
          </w:p>
        </w:tc>
        <w:tc>
          <w:tcPr>
            <w:tcW w:w="3827"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rPr>
                <w:rFonts w:ascii="Times New Roman" w:hAnsi="Times New Roman" w:cs="Times New Roman"/>
                <w:b/>
                <w:bCs/>
                <w:color w:val="000000"/>
                <w:sz w:val="18"/>
                <w:szCs w:val="18"/>
              </w:rPr>
            </w:pPr>
            <w:r>
              <w:rPr>
                <w:rFonts w:ascii="Times New Roman" w:hAnsi="Times New Roman" w:cs="Times New Roman"/>
                <w:b/>
                <w:bCs/>
                <w:color w:val="000000"/>
                <w:sz w:val="20"/>
                <w:szCs w:val="20"/>
              </w:rPr>
              <w:t>Председатель Комитета,</w:t>
            </w:r>
            <w:r>
              <w:rPr>
                <w:rFonts w:ascii="Times New Roman" w:hAnsi="Times New Roman" w:cs="Times New Roman"/>
                <w:color w:val="000000"/>
                <w:sz w:val="20"/>
                <w:szCs w:val="20"/>
              </w:rPr>
              <w:t xml:space="preserve"> заместитель главного инженера – главный диспетчер ПАО «Россети»</w:t>
            </w:r>
          </w:p>
        </w:tc>
        <w:tc>
          <w:tcPr>
            <w:tcW w:w="1418"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w:t>
            </w:r>
          </w:p>
        </w:tc>
        <w:tc>
          <w:tcPr>
            <w:tcW w:w="1559"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547" w:type="dxa"/>
            <w:tcBorders>
              <w:top w:val="non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 xml:space="preserve">Вельман </w:t>
            </w:r>
          </w:p>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Евгений Александрович</w:t>
            </w:r>
          </w:p>
        </w:tc>
        <w:tc>
          <w:tcPr>
            <w:tcW w:w="3827"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rPr>
                <w:rFonts w:ascii="Times New Roman" w:hAnsi="Times New Roman" w:cs="Times New Roman"/>
                <w:b/>
                <w:bCs/>
                <w:color w:val="000000"/>
                <w:sz w:val="18"/>
                <w:szCs w:val="18"/>
              </w:rPr>
            </w:pPr>
            <w:r>
              <w:rPr>
                <w:rFonts w:ascii="Times New Roman" w:hAnsi="Times New Roman" w:cs="Times New Roman"/>
                <w:color w:val="000000"/>
                <w:sz w:val="20"/>
                <w:szCs w:val="20"/>
              </w:rPr>
              <w:t>Заместитель главного инженера - начальник управления производственной безопасности и производственного контроля ПАО «Россети Сибирь»</w:t>
            </w:r>
          </w:p>
        </w:tc>
        <w:tc>
          <w:tcPr>
            <w:tcW w:w="1418"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w:t>
            </w:r>
          </w:p>
        </w:tc>
        <w:tc>
          <w:tcPr>
            <w:tcW w:w="155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547" w:type="dxa"/>
            <w:tcBorders>
              <w:top w:val="non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 xml:space="preserve">Данилов </w:t>
            </w:r>
          </w:p>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 xml:space="preserve">Антон Евгеньевич  </w:t>
            </w:r>
            <w:r>
              <w:rPr>
                <w:rFonts w:ascii="Times New Roman" w:hAnsi="Times New Roman" w:cs="Times New Roman"/>
                <w:color w:val="000000"/>
                <w:sz w:val="20"/>
                <w:szCs w:val="20"/>
              </w:rPr>
              <w:br/>
            </w:r>
            <w:r>
              <w:rPr>
                <w:rFonts w:ascii="Times New Roman" w:hAnsi="Times New Roman" w:cs="Times New Roman"/>
                <w:color w:val="000000"/>
                <w:sz w:val="20"/>
                <w:szCs w:val="20"/>
              </w:rPr>
              <w:br/>
              <w:t>Член Совета директоров</w:t>
            </w:r>
          </w:p>
        </w:tc>
        <w:tc>
          <w:tcPr>
            <w:tcW w:w="3827"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Директор по развитию энергорынков и энерготрейдинга ООО «Сибирская генерирующая компания»</w:t>
            </w:r>
          </w:p>
        </w:tc>
        <w:tc>
          <w:tcPr>
            <w:tcW w:w="141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w:t>
            </w:r>
          </w:p>
        </w:tc>
        <w:tc>
          <w:tcPr>
            <w:tcW w:w="155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547" w:type="dxa"/>
            <w:tcBorders>
              <w:top w:val="non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 xml:space="preserve">Лень </w:t>
            </w:r>
          </w:p>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Станислав Валерьевич</w:t>
            </w:r>
          </w:p>
        </w:tc>
        <w:tc>
          <w:tcPr>
            <w:tcW w:w="3827"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Начальник Управления сопровождения проектов и торговли мощностью                                   ООО «Сибирская генерирующая компания»</w:t>
            </w:r>
          </w:p>
        </w:tc>
        <w:tc>
          <w:tcPr>
            <w:tcW w:w="141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w:t>
            </w:r>
          </w:p>
        </w:tc>
        <w:tc>
          <w:tcPr>
            <w:tcW w:w="155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547" w:type="dxa"/>
            <w:tcBorders>
              <w:top w:val="non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 xml:space="preserve">Рождайкин </w:t>
            </w:r>
          </w:p>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Валерий Анатольевич</w:t>
            </w:r>
          </w:p>
        </w:tc>
        <w:tc>
          <w:tcPr>
            <w:tcW w:w="3827"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Заместитель Генерального директора  филиала ПАО «Россети» - ЦТН</w:t>
            </w:r>
          </w:p>
        </w:tc>
        <w:tc>
          <w:tcPr>
            <w:tcW w:w="141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w:t>
            </w:r>
          </w:p>
        </w:tc>
        <w:tc>
          <w:tcPr>
            <w:tcW w:w="155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100</w:t>
            </w:r>
          </w:p>
        </w:tc>
      </w:tr>
      <w:tr w:rsidR="00D602D4">
        <w:trPr>
          <w:trHeight w:val="170"/>
          <w:jc w:val="center"/>
        </w:trPr>
        <w:tc>
          <w:tcPr>
            <w:tcW w:w="2547" w:type="dxa"/>
            <w:tcBorders>
              <w:top w:val="non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 xml:space="preserve">Сорокин </w:t>
            </w:r>
          </w:p>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Игорь Анатольевич</w:t>
            </w:r>
          </w:p>
        </w:tc>
        <w:tc>
          <w:tcPr>
            <w:tcW w:w="3827"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rPr>
                <w:rFonts w:ascii="Times New Roman" w:hAnsi="Times New Roman" w:cs="Times New Roman"/>
                <w:color w:val="000000"/>
                <w:sz w:val="18"/>
                <w:szCs w:val="18"/>
              </w:rPr>
            </w:pPr>
            <w:r>
              <w:rPr>
                <w:rFonts w:ascii="Times New Roman" w:hAnsi="Times New Roman" w:cs="Times New Roman"/>
                <w:color w:val="000000"/>
                <w:sz w:val="20"/>
                <w:szCs w:val="20"/>
              </w:rPr>
              <w:t>Заместитель Генерального директора по техническим вопросам - главный инженер ПАО «Россети Сибирь»</w:t>
            </w:r>
          </w:p>
        </w:tc>
        <w:tc>
          <w:tcPr>
            <w:tcW w:w="1418"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5</w:t>
            </w:r>
          </w:p>
        </w:tc>
        <w:tc>
          <w:tcPr>
            <w:tcW w:w="155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100</w:t>
            </w:r>
          </w:p>
        </w:tc>
      </w:tr>
    </w:tbl>
    <w:p w:rsidR="00D602D4" w:rsidRDefault="000B4C86">
      <w:pPr>
        <w:widowControl w:val="0"/>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D602D4" w:rsidRDefault="000B4C86">
      <w:pPr>
        <w:widowControl w:val="0"/>
        <w:spacing w:after="0" w:line="240" w:lineRule="auto"/>
        <w:ind w:firstLine="709"/>
        <w:jc w:val="right"/>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highlight w:val="white"/>
        </w:rPr>
        <w:t>Таблица 92</w:t>
      </w:r>
    </w:p>
    <w:p w:rsidR="00D602D4" w:rsidRDefault="000B4C86">
      <w:pPr>
        <w:widowControl w:val="0"/>
        <w:spacing w:after="0" w:line="240" w:lineRule="auto"/>
        <w:ind w:firstLine="70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Персональный состав и участие членов Комитета по надежности </w:t>
      </w:r>
    </w:p>
    <w:p w:rsidR="00D602D4" w:rsidRDefault="000B4C86">
      <w:pPr>
        <w:widowControl w:val="0"/>
        <w:spacing w:after="0" w:line="240" w:lineRule="auto"/>
        <w:ind w:firstLine="709"/>
        <w:jc w:val="center"/>
        <w:rPr>
          <w:rFonts w:ascii="Times New Roman" w:eastAsia="Times New Roman" w:hAnsi="Times New Roman" w:cs="Times New Roman"/>
          <w:b/>
          <w:sz w:val="18"/>
          <w:szCs w:val="18"/>
        </w:rPr>
      </w:pPr>
      <w:r>
        <w:rPr>
          <w:rFonts w:ascii="Times New Roman" w:eastAsia="Times New Roman" w:hAnsi="Times New Roman" w:cs="Times New Roman"/>
          <w:b/>
          <w:sz w:val="24"/>
          <w:szCs w:val="24"/>
        </w:rPr>
        <w:t>в работе Комитета по надежности с 19.08.2024 (дата избрания состава комитета) по 31.12.2024</w:t>
      </w:r>
    </w:p>
    <w:p w:rsidR="00D602D4" w:rsidRDefault="00D602D4">
      <w:pPr>
        <w:widowControl w:val="0"/>
        <w:spacing w:after="0" w:line="240" w:lineRule="auto"/>
        <w:jc w:val="center"/>
        <w:rPr>
          <w:rFonts w:ascii="Times New Roman" w:eastAsia="Times New Roman" w:hAnsi="Times New Roman" w:cs="Times New Roman"/>
          <w:b/>
          <w:sz w:val="18"/>
          <w:szCs w:val="18"/>
        </w:rPr>
      </w:pPr>
    </w:p>
    <w:tbl>
      <w:tblPr>
        <w:tblW w:w="9351" w:type="dxa"/>
        <w:jc w:val="center"/>
        <w:tblLayout w:type="fixed"/>
        <w:tblLook w:val="04A0" w:firstRow="1" w:lastRow="0" w:firstColumn="1" w:lastColumn="0" w:noHBand="0" w:noVBand="1"/>
      </w:tblPr>
      <w:tblGrid>
        <w:gridCol w:w="2547"/>
        <w:gridCol w:w="3685"/>
        <w:gridCol w:w="1560"/>
        <w:gridCol w:w="1559"/>
      </w:tblGrid>
      <w:tr w:rsidR="00D602D4">
        <w:trPr>
          <w:trHeight w:val="170"/>
          <w:jc w:val="center"/>
        </w:trPr>
        <w:tc>
          <w:tcPr>
            <w:tcW w:w="2547"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lang w:eastAsia="ru-RU"/>
              </w:rPr>
              <w:t>Ф. И. О.</w:t>
            </w:r>
          </w:p>
        </w:tc>
        <w:tc>
          <w:tcPr>
            <w:tcW w:w="368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Должность</w:t>
            </w:r>
          </w:p>
          <w:p w:rsidR="00D602D4" w:rsidRDefault="000B4C86">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sz w:val="20"/>
                <w:szCs w:val="20"/>
              </w:rPr>
              <w:t>(на момент избрания)</w:t>
            </w:r>
          </w:p>
        </w:tc>
        <w:tc>
          <w:tcPr>
            <w:tcW w:w="3119" w:type="dxa"/>
            <w:gridSpan w:val="2"/>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lang w:eastAsia="ru-RU"/>
              </w:rPr>
              <w:t>Заочные заседания (4)</w:t>
            </w:r>
          </w:p>
        </w:tc>
      </w:tr>
      <w:tr w:rsidR="00D602D4">
        <w:trPr>
          <w:trHeight w:val="170"/>
          <w:jc w:val="center"/>
        </w:trPr>
        <w:tc>
          <w:tcPr>
            <w:tcW w:w="25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color w:val="000000"/>
                <w:sz w:val="18"/>
                <w:szCs w:val="18"/>
                <w:lang w:eastAsia="ru-RU"/>
              </w:rPr>
            </w:pPr>
          </w:p>
        </w:tc>
        <w:tc>
          <w:tcPr>
            <w:tcW w:w="3685"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color w:val="000000"/>
                <w:sz w:val="18"/>
                <w:szCs w:val="18"/>
                <w:lang w:eastAsia="ru-RU"/>
              </w:rPr>
            </w:pPr>
          </w:p>
        </w:tc>
        <w:tc>
          <w:tcPr>
            <w:tcW w:w="1560" w:type="dxa"/>
            <w:tcBorders>
              <w:top w:val="none" w:sz="4" w:space="0" w:color="000000"/>
              <w:left w:val="none" w:sz="4" w:space="0" w:color="000000"/>
              <w:bottom w:val="non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lang w:eastAsia="ru-RU"/>
              </w:rPr>
              <w:t>Количество заседаний, в которых член Комитета принял участие</w:t>
            </w:r>
          </w:p>
        </w:tc>
        <w:tc>
          <w:tcPr>
            <w:tcW w:w="1559" w:type="dxa"/>
            <w:tcBorders>
              <w:top w:val="none" w:sz="4" w:space="0" w:color="000000"/>
              <w:left w:val="none" w:sz="4" w:space="0" w:color="000000"/>
              <w:bottom w:val="non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lang w:eastAsia="ru-RU"/>
              </w:rPr>
              <w:t>Процент участия, %</w:t>
            </w:r>
          </w:p>
        </w:tc>
      </w:tr>
      <w:tr w:rsidR="00D602D4">
        <w:trPr>
          <w:trHeight w:val="170"/>
          <w:jc w:val="center"/>
        </w:trPr>
        <w:tc>
          <w:tcPr>
            <w:tcW w:w="2547" w:type="dxa"/>
            <w:tcBorders>
              <w:top w:val="singl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Уколов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Владимир Анатольевич</w:t>
            </w:r>
          </w:p>
        </w:tc>
        <w:tc>
          <w:tcPr>
            <w:tcW w:w="3685" w:type="dxa"/>
            <w:tcBorders>
              <w:top w:val="singl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b/>
                <w:bCs/>
                <w:color w:val="000000"/>
                <w:sz w:val="20"/>
                <w:szCs w:val="20"/>
              </w:rPr>
            </w:pPr>
            <w:r>
              <w:rPr>
                <w:rFonts w:ascii="Times New Roman" w:hAnsi="Times New Roman" w:cs="Times New Roman"/>
                <w:b/>
                <w:bCs/>
                <w:color w:val="000000"/>
                <w:sz w:val="20"/>
                <w:szCs w:val="20"/>
              </w:rPr>
              <w:t>Председатель Комитета,</w:t>
            </w:r>
            <w:r>
              <w:rPr>
                <w:rFonts w:ascii="Times New Roman" w:hAnsi="Times New Roman" w:cs="Times New Roman"/>
                <w:color w:val="000000"/>
                <w:sz w:val="20"/>
                <w:szCs w:val="20"/>
              </w:rPr>
              <w:t xml:space="preserve"> заместитель главного инженера – главный диспетчер ПАО «Россети»</w:t>
            </w:r>
          </w:p>
        </w:tc>
        <w:tc>
          <w:tcPr>
            <w:tcW w:w="1560"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4</w:t>
            </w:r>
          </w:p>
        </w:tc>
        <w:tc>
          <w:tcPr>
            <w:tcW w:w="1559"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872"/>
          <w:jc w:val="center"/>
        </w:trPr>
        <w:tc>
          <w:tcPr>
            <w:tcW w:w="2547" w:type="dxa"/>
            <w:tcBorders>
              <w:top w:val="non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Вельман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Евгений Александрович</w:t>
            </w:r>
          </w:p>
        </w:tc>
        <w:tc>
          <w:tcPr>
            <w:tcW w:w="3685"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b/>
                <w:bCs/>
                <w:color w:val="000000"/>
                <w:sz w:val="20"/>
                <w:szCs w:val="20"/>
              </w:rPr>
            </w:pPr>
            <w:r>
              <w:rPr>
                <w:rFonts w:ascii="Times New Roman" w:hAnsi="Times New Roman" w:cs="Times New Roman"/>
                <w:color w:val="000000"/>
                <w:sz w:val="20"/>
                <w:szCs w:val="20"/>
              </w:rPr>
              <w:t>Заместитель главного инженера - начальник управления производственной безопасности и производственного контроля ПАО «Россети Сибирь»</w:t>
            </w:r>
          </w:p>
        </w:tc>
        <w:tc>
          <w:tcPr>
            <w:tcW w:w="156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4</w:t>
            </w:r>
          </w:p>
        </w:tc>
        <w:tc>
          <w:tcPr>
            <w:tcW w:w="155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547" w:type="dxa"/>
            <w:tcBorders>
              <w:top w:val="non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Данилов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Антон Евгеньевич  </w:t>
            </w:r>
            <w:r>
              <w:rPr>
                <w:rFonts w:ascii="Times New Roman" w:hAnsi="Times New Roman" w:cs="Times New Roman"/>
                <w:color w:val="000000"/>
                <w:sz w:val="20"/>
                <w:szCs w:val="20"/>
              </w:rPr>
              <w:br/>
            </w:r>
            <w:r>
              <w:rPr>
                <w:rFonts w:ascii="Times New Roman" w:hAnsi="Times New Roman" w:cs="Times New Roman"/>
                <w:color w:val="000000"/>
                <w:sz w:val="20"/>
                <w:szCs w:val="20"/>
              </w:rPr>
              <w:br/>
              <w:t>Член Совета директоров</w:t>
            </w:r>
          </w:p>
        </w:tc>
        <w:tc>
          <w:tcPr>
            <w:tcW w:w="3685"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Директор по развитию энергорынков и энерготрейдинга ООО «Сибирская генерирующая компания»</w:t>
            </w:r>
          </w:p>
        </w:tc>
        <w:tc>
          <w:tcPr>
            <w:tcW w:w="156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4</w:t>
            </w:r>
          </w:p>
        </w:tc>
        <w:tc>
          <w:tcPr>
            <w:tcW w:w="155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547" w:type="dxa"/>
            <w:tcBorders>
              <w:top w:val="non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Лень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Станислав Валерьевич</w:t>
            </w:r>
          </w:p>
        </w:tc>
        <w:tc>
          <w:tcPr>
            <w:tcW w:w="3685"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Начальник Управления сопровождения проектов и торговли мощностью                                   ООО «Сибирская генерирующая компания»</w:t>
            </w:r>
          </w:p>
        </w:tc>
        <w:tc>
          <w:tcPr>
            <w:tcW w:w="156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4</w:t>
            </w:r>
          </w:p>
        </w:tc>
        <w:tc>
          <w:tcPr>
            <w:tcW w:w="155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547" w:type="dxa"/>
            <w:tcBorders>
              <w:top w:val="non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 xml:space="preserve">Рождайкин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Валерий Анатольевич</w:t>
            </w:r>
          </w:p>
        </w:tc>
        <w:tc>
          <w:tcPr>
            <w:tcW w:w="3685"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Заместитель Генерального директора  филиала ПАО «Россети» - ЦТН</w:t>
            </w:r>
          </w:p>
        </w:tc>
        <w:tc>
          <w:tcPr>
            <w:tcW w:w="156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4</w:t>
            </w:r>
          </w:p>
        </w:tc>
        <w:tc>
          <w:tcPr>
            <w:tcW w:w="155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170"/>
          <w:jc w:val="center"/>
        </w:trPr>
        <w:tc>
          <w:tcPr>
            <w:tcW w:w="2547" w:type="dxa"/>
            <w:tcBorders>
              <w:top w:val="none" w:sz="4" w:space="0" w:color="000000"/>
              <w:left w:val="single" w:sz="4" w:space="0" w:color="000000"/>
              <w:bottom w:val="single" w:sz="4" w:space="0" w:color="000000"/>
              <w:right w:val="non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Сорокин </w:t>
            </w:r>
          </w:p>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Игорь Анатольевич</w:t>
            </w:r>
          </w:p>
        </w:tc>
        <w:tc>
          <w:tcPr>
            <w:tcW w:w="3685" w:type="dxa"/>
            <w:tcBorders>
              <w:top w:val="none" w:sz="4" w:space="0" w:color="000000"/>
              <w:left w:val="single" w:sz="4" w:space="0" w:color="000000"/>
              <w:bottom w:val="single" w:sz="4" w:space="0" w:color="000000"/>
              <w:right w:val="single" w:sz="4" w:space="0" w:color="000000"/>
            </w:tcBorders>
            <w:shd w:val="clear" w:color="FFFFFF" w:fill="FFFFFF"/>
          </w:tcPr>
          <w:p w:rsidR="00D602D4" w:rsidRDefault="000B4C86">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Заместитель Генерального директора по техническим вопросам - главный инженер ПАО «Россети Сибирь»</w:t>
            </w:r>
          </w:p>
        </w:tc>
        <w:tc>
          <w:tcPr>
            <w:tcW w:w="156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4</w:t>
            </w:r>
          </w:p>
        </w:tc>
        <w:tc>
          <w:tcPr>
            <w:tcW w:w="1559"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bl>
    <w:p w:rsidR="00D602D4" w:rsidRDefault="00D602D4">
      <w:pPr>
        <w:widowControl w:val="0"/>
        <w:spacing w:after="0" w:line="240" w:lineRule="auto"/>
        <w:jc w:val="center"/>
        <w:rPr>
          <w:rFonts w:ascii="Times New Roman" w:eastAsia="Times New Roman" w:hAnsi="Times New Roman" w:cs="Times New Roman"/>
          <w:b/>
          <w:sz w:val="24"/>
          <w:szCs w:val="24"/>
        </w:rPr>
      </w:pPr>
    </w:p>
    <w:p w:rsidR="00D602D4" w:rsidRDefault="000B4C86">
      <w:pPr>
        <w:pStyle w:val="315"/>
        <w:tabs>
          <w:tab w:val="left" w:pos="993"/>
        </w:tabs>
        <w:spacing w:before="0" w:line="240" w:lineRule="auto"/>
        <w:ind w:firstLine="709"/>
      </w:pPr>
      <w:r>
        <w:t>В 2024 году состоялось 9 заседаний (31 января, 21 марта, 28 мая, 14 июня, 02 июля, 27 сентября, 15 ноября, 29 ноября, 19 декабря) Комитета по надежности. Рассмотрено 26 вопросов.</w:t>
      </w:r>
    </w:p>
    <w:p w:rsidR="00D602D4" w:rsidRDefault="000B4C86">
      <w:pPr>
        <w:pStyle w:val="315"/>
        <w:tabs>
          <w:tab w:val="left" w:pos="993"/>
        </w:tabs>
        <w:spacing w:before="0" w:line="240" w:lineRule="auto"/>
        <w:ind w:firstLine="709"/>
      </w:pPr>
      <w:r>
        <w:t>Представлены рекомендации Совету директоров по 10 вопросам, по вопросам:</w:t>
      </w:r>
    </w:p>
    <w:p w:rsidR="00D602D4" w:rsidRDefault="000B4C86">
      <w:pPr>
        <w:pStyle w:val="315"/>
        <w:tabs>
          <w:tab w:val="left" w:pos="993"/>
        </w:tabs>
        <w:spacing w:before="0" w:line="240" w:lineRule="auto"/>
        <w:ind w:firstLine="709"/>
      </w:pPr>
      <w:r>
        <w:t>- об утверждении актуализированного индивидуального Плана развития системы управления производственными активами Общества на 2022-2024 годы и ресурсного плана по его обеспечению;</w:t>
      </w:r>
    </w:p>
    <w:p w:rsidR="00D602D4" w:rsidRDefault="000B4C86">
      <w:pPr>
        <w:pStyle w:val="315"/>
        <w:tabs>
          <w:tab w:val="left" w:pos="993"/>
        </w:tabs>
        <w:spacing w:before="0" w:line="240" w:lineRule="auto"/>
        <w:ind w:firstLine="709"/>
      </w:pPr>
      <w:r>
        <w:t>- об утверждении актуализированной Программы модернизации (реновации) электросетевых объектов ПАО «Россети Сибирь» на 2023 год и период 2024 – 2028 гг;</w:t>
      </w:r>
    </w:p>
    <w:p w:rsidR="00D602D4" w:rsidRDefault="000B4C86">
      <w:pPr>
        <w:pStyle w:val="315"/>
        <w:tabs>
          <w:tab w:val="left" w:pos="993"/>
        </w:tabs>
        <w:spacing w:before="0" w:line="240" w:lineRule="auto"/>
        <w:ind w:firstLine="709"/>
      </w:pPr>
      <w:r>
        <w:t>- о рассмотрении отчета по реализации в 2023 году индивидуального Плана развития системы управления производственными активами Общества на 2022-2024 годы и ресурсного плана по его обеспечению;</w:t>
      </w:r>
    </w:p>
    <w:p w:rsidR="00D602D4" w:rsidRDefault="000B4C86">
      <w:pPr>
        <w:pStyle w:val="315"/>
        <w:tabs>
          <w:tab w:val="left" w:pos="993"/>
        </w:tabs>
        <w:spacing w:before="0" w:line="240" w:lineRule="auto"/>
        <w:ind w:firstLine="709"/>
      </w:pPr>
      <w:r>
        <w:t>- об утверждении актуализированного индивидуального Плана развития системы управления производственными активами Общества на 2024-2026 годы и ресурсного плана по его обеспечению.</w:t>
      </w:r>
    </w:p>
    <w:p w:rsidR="00D602D4" w:rsidRDefault="000B4C86">
      <w:pPr>
        <w:widowControl w:val="0"/>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Таблица </w:t>
      </w:r>
      <w:r>
        <w:rPr>
          <w:rFonts w:ascii="Times New Roman" w:eastAsia="Times New Roman" w:hAnsi="Times New Roman" w:cs="Times New Roman"/>
          <w:sz w:val="24"/>
          <w:szCs w:val="24"/>
        </w:rPr>
        <w:t>93</w:t>
      </w:r>
    </w:p>
    <w:p w:rsidR="00D602D4" w:rsidRDefault="000B4C86">
      <w:pPr>
        <w:widowControl w:val="0"/>
        <w:spacing w:after="0" w:line="240" w:lineRule="auto"/>
        <w:ind w:firstLine="70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Категории рассмотренных в 2023 году Комитетом по надежности вопросов</w:t>
      </w:r>
    </w:p>
    <w:tbl>
      <w:tblPr>
        <w:tblStyle w:val="83"/>
        <w:tblW w:w="9351" w:type="dxa"/>
        <w:jc w:val="center"/>
        <w:tblInd w:w="0" w:type="dxa"/>
        <w:tblLook w:val="04A0" w:firstRow="1" w:lastRow="0" w:firstColumn="1" w:lastColumn="0" w:noHBand="0" w:noVBand="1"/>
      </w:tblPr>
      <w:tblGrid>
        <w:gridCol w:w="5240"/>
        <w:gridCol w:w="615"/>
        <w:gridCol w:w="1795"/>
        <w:gridCol w:w="1701"/>
      </w:tblGrid>
      <w:tr w:rsidR="00D602D4">
        <w:trPr>
          <w:jc w:val="center"/>
        </w:trPr>
        <w:tc>
          <w:tcPr>
            <w:tcW w:w="5240"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center"/>
              <w:rPr>
                <w:rFonts w:ascii="Times New Roman" w:hAnsi="Times New Roman"/>
                <w:b/>
                <w:bCs/>
                <w:sz w:val="20"/>
                <w:szCs w:val="20"/>
              </w:rPr>
            </w:pPr>
            <w:r>
              <w:rPr>
                <w:rFonts w:ascii="Times New Roman" w:hAnsi="Times New Roman"/>
                <w:b/>
                <w:bCs/>
                <w:color w:val="000000"/>
                <w:sz w:val="20"/>
                <w:szCs w:val="20"/>
              </w:rPr>
              <w:t>Категории вопросов</w:t>
            </w:r>
          </w:p>
        </w:tc>
        <w:tc>
          <w:tcPr>
            <w:tcW w:w="615" w:type="dxa"/>
            <w:tcBorders>
              <w:top w:val="single" w:sz="4" w:space="0" w:color="000000"/>
              <w:left w:val="single" w:sz="4" w:space="0" w:color="000000"/>
              <w:bottom w:val="single" w:sz="4" w:space="0" w:color="000000"/>
              <w:right w:val="single" w:sz="4" w:space="0" w:color="000000"/>
            </w:tcBorders>
          </w:tcPr>
          <w:p w:rsidR="00D602D4" w:rsidRDefault="000B4C86">
            <w:pPr>
              <w:widowControl w:val="0"/>
              <w:tabs>
                <w:tab w:val="left" w:pos="34"/>
              </w:tabs>
              <w:ind w:right="-143"/>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xml:space="preserve">  Ед.</w:t>
            </w:r>
          </w:p>
          <w:p w:rsidR="00D602D4" w:rsidRDefault="000B4C86">
            <w:pPr>
              <w:pStyle w:val="ac"/>
              <w:spacing w:after="0" w:line="240" w:lineRule="auto"/>
              <w:ind w:left="0"/>
              <w:jc w:val="both"/>
              <w:rPr>
                <w:rFonts w:ascii="Times New Roman" w:hAnsi="Times New Roman"/>
                <w:b/>
                <w:bCs/>
                <w:sz w:val="20"/>
                <w:szCs w:val="20"/>
              </w:rPr>
            </w:pPr>
            <w:r>
              <w:rPr>
                <w:rFonts w:ascii="Times New Roman" w:hAnsi="Times New Roman"/>
                <w:b/>
                <w:bCs/>
                <w:color w:val="000000"/>
                <w:sz w:val="20"/>
                <w:szCs w:val="20"/>
              </w:rPr>
              <w:t>изм.</w:t>
            </w:r>
          </w:p>
        </w:tc>
        <w:tc>
          <w:tcPr>
            <w:tcW w:w="1795"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center"/>
              <w:rPr>
                <w:rFonts w:ascii="Times New Roman" w:hAnsi="Times New Roman"/>
                <w:b/>
                <w:bCs/>
                <w:sz w:val="20"/>
                <w:szCs w:val="20"/>
              </w:rPr>
            </w:pPr>
            <w:r>
              <w:rPr>
                <w:rFonts w:ascii="Times New Roman" w:hAnsi="Times New Roman"/>
                <w:b/>
                <w:bCs/>
                <w:sz w:val="20"/>
                <w:szCs w:val="20"/>
              </w:rPr>
              <w:t>Количество вопросов</w:t>
            </w:r>
          </w:p>
        </w:tc>
        <w:tc>
          <w:tcPr>
            <w:tcW w:w="1701"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center"/>
              <w:rPr>
                <w:rFonts w:ascii="Times New Roman" w:hAnsi="Times New Roman"/>
                <w:b/>
                <w:bCs/>
                <w:sz w:val="20"/>
                <w:szCs w:val="20"/>
                <w:highlight w:val="white"/>
              </w:rPr>
            </w:pPr>
            <w:r>
              <w:rPr>
                <w:rFonts w:ascii="Times New Roman" w:hAnsi="Times New Roman"/>
                <w:b/>
                <w:bCs/>
                <w:sz w:val="20"/>
                <w:szCs w:val="20"/>
                <w:highlight w:val="white"/>
              </w:rPr>
              <w:t>Процент от общего числа, %</w:t>
            </w:r>
          </w:p>
        </w:tc>
      </w:tr>
      <w:tr w:rsidR="00D602D4">
        <w:trPr>
          <w:jc w:val="center"/>
        </w:trPr>
        <w:tc>
          <w:tcPr>
            <w:tcW w:w="5240"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Вопросы системы управления производственными активами</w:t>
            </w:r>
          </w:p>
        </w:tc>
        <w:tc>
          <w:tcPr>
            <w:tcW w:w="615"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шт.</w:t>
            </w:r>
          </w:p>
        </w:tc>
        <w:tc>
          <w:tcPr>
            <w:tcW w:w="179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2</w:t>
            </w:r>
          </w:p>
        </w:tc>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r>
      <w:tr w:rsidR="00D602D4">
        <w:trPr>
          <w:jc w:val="center"/>
        </w:trPr>
        <w:tc>
          <w:tcPr>
            <w:tcW w:w="5240"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Анализ производственных программ</w:t>
            </w:r>
          </w:p>
        </w:tc>
        <w:tc>
          <w:tcPr>
            <w:tcW w:w="615"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шт.</w:t>
            </w:r>
          </w:p>
        </w:tc>
        <w:tc>
          <w:tcPr>
            <w:tcW w:w="179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3</w:t>
            </w:r>
          </w:p>
        </w:tc>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r>
      <w:tr w:rsidR="00D602D4">
        <w:trPr>
          <w:trHeight w:val="567"/>
          <w:jc w:val="center"/>
        </w:trPr>
        <w:tc>
          <w:tcPr>
            <w:tcW w:w="5240"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Оценка готовности Общества к работе в особые периоды</w:t>
            </w:r>
          </w:p>
        </w:tc>
        <w:tc>
          <w:tcPr>
            <w:tcW w:w="615"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шт.</w:t>
            </w:r>
          </w:p>
        </w:tc>
        <w:tc>
          <w:tcPr>
            <w:tcW w:w="179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13</w:t>
            </w:r>
          </w:p>
        </w:tc>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w:t>
            </w:r>
          </w:p>
        </w:tc>
      </w:tr>
      <w:tr w:rsidR="00D602D4">
        <w:trPr>
          <w:jc w:val="center"/>
        </w:trPr>
        <w:tc>
          <w:tcPr>
            <w:tcW w:w="5240"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Вопросы в области охраны труда</w:t>
            </w:r>
          </w:p>
        </w:tc>
        <w:tc>
          <w:tcPr>
            <w:tcW w:w="615"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шт.</w:t>
            </w:r>
          </w:p>
        </w:tc>
        <w:tc>
          <w:tcPr>
            <w:tcW w:w="179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20"/>
                <w:szCs w:val="20"/>
              </w:rPr>
            </w:pPr>
            <w:r>
              <w:rPr>
                <w:rFonts w:ascii="Times New Roman" w:eastAsia="Times New Roman" w:hAnsi="Times New Roman" w:cs="Times New Roman"/>
                <w:sz w:val="20"/>
                <w:szCs w:val="20"/>
              </w:rPr>
              <w:t>2</w:t>
            </w:r>
          </w:p>
        </w:tc>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r>
      <w:tr w:rsidR="00D602D4">
        <w:trPr>
          <w:jc w:val="center"/>
        </w:trPr>
        <w:tc>
          <w:tcPr>
            <w:tcW w:w="5240"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both"/>
              <w:rPr>
                <w:rFonts w:ascii="Times New Roman" w:hAnsi="Times New Roman"/>
              </w:rPr>
            </w:pPr>
            <w:r>
              <w:rPr>
                <w:rFonts w:ascii="Times New Roman" w:hAnsi="Times New Roman"/>
                <w:sz w:val="20"/>
                <w:szCs w:val="20"/>
              </w:rPr>
              <w:t>Организационные вопросы</w:t>
            </w:r>
          </w:p>
        </w:tc>
        <w:tc>
          <w:tcPr>
            <w:tcW w:w="615"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rPr>
            </w:pPr>
            <w:r>
              <w:rPr>
                <w:rFonts w:ascii="Times New Roman" w:hAnsi="Times New Roman"/>
                <w:sz w:val="20"/>
                <w:szCs w:val="20"/>
              </w:rPr>
              <w:t>шт.</w:t>
            </w:r>
          </w:p>
        </w:tc>
        <w:tc>
          <w:tcPr>
            <w:tcW w:w="179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rPr>
            </w:pPr>
            <w:r>
              <w:rPr>
                <w:rFonts w:ascii="Times New Roman" w:eastAsia="Times New Roman" w:hAnsi="Times New Roman" w:cs="Times New Roman"/>
                <w:sz w:val="20"/>
                <w:szCs w:val="20"/>
              </w:rPr>
              <w:t>4</w:t>
            </w:r>
          </w:p>
        </w:tc>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rPr>
            </w:pPr>
            <w:r>
              <w:rPr>
                <w:rFonts w:ascii="Times New Roman" w:eastAsia="Times New Roman" w:hAnsi="Times New Roman" w:cs="Times New Roman"/>
                <w:sz w:val="20"/>
                <w:szCs w:val="20"/>
              </w:rPr>
              <w:t>15</w:t>
            </w:r>
          </w:p>
        </w:tc>
      </w:tr>
      <w:tr w:rsidR="00D602D4">
        <w:trPr>
          <w:jc w:val="center"/>
        </w:trPr>
        <w:tc>
          <w:tcPr>
            <w:tcW w:w="5240"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both"/>
              <w:rPr>
                <w:rFonts w:ascii="Times New Roman" w:hAnsi="Times New Roman"/>
              </w:rPr>
            </w:pPr>
            <w:r>
              <w:rPr>
                <w:rFonts w:ascii="Times New Roman" w:hAnsi="Times New Roman"/>
                <w:sz w:val="20"/>
                <w:szCs w:val="20"/>
              </w:rPr>
              <w:t>Другое</w:t>
            </w:r>
          </w:p>
        </w:tc>
        <w:tc>
          <w:tcPr>
            <w:tcW w:w="615"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both"/>
              <w:rPr>
                <w:rFonts w:ascii="Times New Roman" w:hAnsi="Times New Roman"/>
              </w:rPr>
            </w:pPr>
            <w:r>
              <w:rPr>
                <w:rFonts w:ascii="Times New Roman" w:hAnsi="Times New Roman"/>
                <w:sz w:val="20"/>
                <w:szCs w:val="20"/>
              </w:rPr>
              <w:t>шт.</w:t>
            </w:r>
          </w:p>
        </w:tc>
        <w:tc>
          <w:tcPr>
            <w:tcW w:w="1795"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rPr>
            </w:pPr>
            <w:r>
              <w:rPr>
                <w:rFonts w:ascii="Times New Roman" w:eastAsia="Times New Roman" w:hAnsi="Times New Roman" w:cs="Times New Roman"/>
                <w:sz w:val="20"/>
                <w:szCs w:val="20"/>
              </w:rPr>
              <w:t>2</w:t>
            </w:r>
          </w:p>
        </w:tc>
        <w:tc>
          <w:tcPr>
            <w:tcW w:w="1701"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rPr>
            </w:pPr>
            <w:r>
              <w:rPr>
                <w:rFonts w:ascii="Times New Roman" w:eastAsia="Times New Roman" w:hAnsi="Times New Roman" w:cs="Times New Roman"/>
                <w:sz w:val="20"/>
                <w:szCs w:val="20"/>
              </w:rPr>
              <w:t>8</w:t>
            </w:r>
          </w:p>
        </w:tc>
      </w:tr>
    </w:tbl>
    <w:p w:rsidR="00D602D4" w:rsidRDefault="00D602D4">
      <w:pPr>
        <w:pStyle w:val="315"/>
        <w:tabs>
          <w:tab w:val="left" w:pos="993"/>
        </w:tabs>
        <w:ind w:firstLine="0"/>
        <w:rPr>
          <w:b/>
          <w:szCs w:val="26"/>
        </w:rPr>
      </w:pPr>
    </w:p>
    <w:p w:rsidR="00D602D4" w:rsidRDefault="000B4C86">
      <w:pPr>
        <w:widowControl w:val="0"/>
        <w:ind w:firstLine="70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Отчет Комитета по технологическому присоединению к электрическим сетям при Совете директоров Общества</w:t>
      </w:r>
    </w:p>
    <w:p w:rsidR="00D602D4" w:rsidRDefault="000B4C86">
      <w:pPr>
        <w:widowControl w:val="0"/>
        <w:tabs>
          <w:tab w:val="left" w:pos="0"/>
          <w:tab w:val="left" w:pos="993"/>
        </w:tabs>
        <w:spacing w:after="0" w:line="240" w:lineRule="atLeast"/>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Комитет по технологическому присоединению к электрическим сетям при Совете директоров Общества</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(далее – Комитет</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по технологическому присоединению к электрическим сетям) создан по решению Совета директоров Общества от 10.02.2009 (протокол от 13.02.2009 №28/09).</w:t>
      </w:r>
    </w:p>
    <w:p w:rsidR="00D602D4" w:rsidRDefault="000B4C86">
      <w:pPr>
        <w:widowControl w:val="0"/>
        <w:spacing w:after="0" w:line="240" w:lineRule="atLeast"/>
        <w:ind w:firstLine="709"/>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Деятельность Комитета по технологическому присоединению к электрическим сетям регулируется </w:t>
      </w:r>
      <w:hyperlink r:id="rId106" w:tooltip="http://www.mrsk-yuga.ru/files/file/site/aud_novred.pdf" w:history="1">
        <w:r>
          <w:rPr>
            <w:rFonts w:ascii="Times New Roman" w:eastAsia="Times New Roman" w:hAnsi="Times New Roman" w:cs="Times New Roman"/>
            <w:sz w:val="24"/>
            <w:szCs w:val="24"/>
          </w:rPr>
          <w:t xml:space="preserve">Положением о Комитете по технологическому присоединению к электрическим сетям при Совете директоров Общества, </w:t>
        </w:r>
      </w:hyperlink>
      <w:r>
        <w:rPr>
          <w:rFonts w:ascii="Times New Roman" w:eastAsia="Times New Roman" w:hAnsi="Times New Roman" w:cs="Times New Roman"/>
          <w:sz w:val="24"/>
          <w:szCs w:val="24"/>
        </w:rPr>
        <w:t>утвержденным решением Совета директоров Общества от 24.01.2020 (протокол от 27.01.2020 № 356/20)</w:t>
      </w:r>
      <w:r>
        <w:rPr>
          <w:rStyle w:val="af1"/>
          <w:rFonts w:ascii="Times New Roman" w:eastAsia="Times New Roman" w:hAnsi="Times New Roman" w:cs="Times New Roman"/>
          <w:sz w:val="24"/>
          <w:szCs w:val="24"/>
        </w:rPr>
        <w:footnoteReference w:id="31"/>
      </w:r>
      <w:r>
        <w:rPr>
          <w:rFonts w:ascii="Times New Roman" w:eastAsia="Times New Roman" w:hAnsi="Times New Roman" w:cs="Times New Roman"/>
          <w:sz w:val="24"/>
          <w:szCs w:val="24"/>
        </w:rPr>
        <w:t xml:space="preserve">. </w:t>
      </w:r>
    </w:p>
    <w:p w:rsidR="00D602D4" w:rsidRDefault="000B4C86">
      <w:pPr>
        <w:widowControl w:val="0"/>
        <w:tabs>
          <w:tab w:val="left" w:pos="0"/>
          <w:tab w:val="left" w:pos="993"/>
        </w:tabs>
        <w:spacing w:after="0" w:line="240" w:lineRule="auto"/>
        <w:ind w:firstLine="709"/>
        <w:jc w:val="both"/>
        <w:rPr>
          <w:rFonts w:ascii="Times New Roman" w:eastAsia="Times New Roman" w:hAnsi="Times New Roman" w:cs="Times New Roman"/>
          <w:sz w:val="24"/>
          <w:szCs w:val="24"/>
        </w:rPr>
      </w:pPr>
      <w:r>
        <w:rPr>
          <w:rFonts w:ascii="Times New Roman" w:hAnsi="Times New Roman" w:cs="Times New Roman"/>
          <w:sz w:val="24"/>
          <w:szCs w:val="24"/>
        </w:rPr>
        <w:t xml:space="preserve">Основной задачей Комитета </w:t>
      </w:r>
      <w:r>
        <w:rPr>
          <w:rFonts w:ascii="Times New Roman" w:eastAsia="Times New Roman" w:hAnsi="Times New Roman" w:cs="Times New Roman"/>
          <w:sz w:val="24"/>
          <w:szCs w:val="24"/>
        </w:rPr>
        <w:t>по технологическому присоединению к электрическим сетям</w:t>
      </w:r>
      <w:r>
        <w:rPr>
          <w:rFonts w:ascii="Times New Roman" w:hAnsi="Times New Roman" w:cs="Times New Roman"/>
          <w:sz w:val="24"/>
          <w:szCs w:val="24"/>
        </w:rPr>
        <w:t xml:space="preserve"> является выработка и представление рекомендаций  Совету директоров Общества по следующим направлениям деятельности Совета директоров:  выработка предложений по совершенствованию законодательной базы антимонопольного регулирования и обеспечения недискриминационного доступа к услугам по технологическому присоединению потребителей к электрическим сетям,  по совершенствованию внутренних регламентов и стандартов Общества по обеспечению недискриминационного доступа к услугам по технологическому </w:t>
      </w:r>
      <w:r>
        <w:rPr>
          <w:rFonts w:ascii="Times New Roman" w:hAnsi="Times New Roman" w:cs="Times New Roman"/>
          <w:sz w:val="24"/>
          <w:szCs w:val="24"/>
        </w:rPr>
        <w:lastRenderedPageBreak/>
        <w:t>присоединению потребителей к электрическим сетям, по оптимизации, повышению эффективности оказания услуг, расширению перечня нетарифных услуг и дополнительных сервисов для потребителей по направлению прочих видов деятельности с учетом Концепции «Цифровая трансформация 2030», по совершенствованию внутренних регламентов и стандартов Общества по реализации дополнительных (нетарифных) услуг Общества; выработка принципов и критериев оценки эффективности деятельности Общества по технологическому присоединению потребителей к электрическим сетям,  оценка эффективности деятельности Общества по технологическому присоединению потребителей к электрическим сетям, эффективности деятельности Общества по развитию и реализации дополнительных,  Общества по повышению качества планирования развития электрической сети, анализ текущей ситуации по Обществу, и подготовка предложений Совету директоров Общества в части технологического присоединения потребителей к электрическим сетям и перспективного развития сети.</w:t>
      </w:r>
      <w:r>
        <w:rPr>
          <w:rFonts w:ascii="Times New Roman" w:eastAsia="Times New Roman" w:hAnsi="Times New Roman" w:cs="Times New Roman"/>
          <w:sz w:val="24"/>
          <w:szCs w:val="24"/>
        </w:rPr>
        <w:t xml:space="preserve">  </w:t>
      </w:r>
    </w:p>
    <w:p w:rsidR="00D602D4" w:rsidRDefault="000B4C86">
      <w:pPr>
        <w:widowControl w:val="0"/>
        <w:tabs>
          <w:tab w:val="left" w:pos="0"/>
          <w:tab w:val="left" w:pos="993"/>
        </w:tabs>
        <w:spacing w:after="0" w:line="240" w:lineRule="auto"/>
        <w:ind w:firstLine="709"/>
        <w:jc w:val="right"/>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highlight w:val="white"/>
        </w:rPr>
        <w:t>Таблица 94</w:t>
      </w:r>
    </w:p>
    <w:p w:rsidR="00D602D4" w:rsidRDefault="000B4C86">
      <w:pPr>
        <w:widowControl w:val="0"/>
        <w:spacing w:after="0" w:line="240" w:lineRule="auto"/>
        <w:ind w:firstLine="709"/>
        <w:jc w:val="center"/>
        <w:rPr>
          <w:rFonts w:ascii="Times New Roman" w:eastAsia="Times New Roman" w:hAnsi="Times New Roman" w:cs="Times New Roman"/>
          <w:b/>
          <w:sz w:val="18"/>
          <w:szCs w:val="18"/>
        </w:rPr>
      </w:pPr>
      <w:r>
        <w:rPr>
          <w:rFonts w:ascii="Times New Roman" w:eastAsia="Times New Roman" w:hAnsi="Times New Roman" w:cs="Times New Roman"/>
          <w:b/>
          <w:sz w:val="24"/>
          <w:szCs w:val="24"/>
        </w:rPr>
        <w:t>Персональный состав и участие членов Комитета по технологическому присоединению к электрическим сетям в работе Комитета по технологическому присоединению к электрическим сетям с 01.01.2024 до 19.08.2024</w:t>
      </w:r>
    </w:p>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tbl>
      <w:tblPr>
        <w:tblStyle w:val="83"/>
        <w:tblW w:w="9276" w:type="dxa"/>
        <w:jc w:val="center"/>
        <w:tblInd w:w="0" w:type="dxa"/>
        <w:tblLook w:val="04A0" w:firstRow="1" w:lastRow="0" w:firstColumn="1" w:lastColumn="0" w:noHBand="0" w:noVBand="1"/>
      </w:tblPr>
      <w:tblGrid>
        <w:gridCol w:w="2547"/>
        <w:gridCol w:w="3685"/>
        <w:gridCol w:w="1632"/>
        <w:gridCol w:w="1412"/>
      </w:tblGrid>
      <w:tr w:rsidR="00D602D4">
        <w:trPr>
          <w:jc w:val="center"/>
        </w:trPr>
        <w:tc>
          <w:tcPr>
            <w:tcW w:w="2547" w:type="dxa"/>
            <w:vMerge w:val="restart"/>
            <w:tcBorders>
              <w:top w:val="single" w:sz="4" w:space="0" w:color="000000"/>
              <w:left w:val="single" w:sz="4" w:space="0" w:color="000000"/>
              <w:bottom w:val="single" w:sz="4" w:space="0" w:color="000000"/>
              <w:right w:val="single" w:sz="4" w:space="0" w:color="000000"/>
            </w:tcBorders>
          </w:tcPr>
          <w:p w:rsidR="00D602D4" w:rsidRDefault="000B4C86">
            <w:pPr>
              <w:widowControl w:val="0"/>
              <w:contextualSpacing/>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Ф. И. О.</w:t>
            </w:r>
          </w:p>
        </w:tc>
        <w:tc>
          <w:tcPr>
            <w:tcW w:w="3685" w:type="dxa"/>
            <w:vMerge w:val="restart"/>
            <w:tcBorders>
              <w:top w:val="single" w:sz="4" w:space="0" w:color="000000"/>
              <w:left w:val="single" w:sz="4" w:space="0" w:color="000000"/>
              <w:bottom w:val="single" w:sz="4" w:space="0" w:color="000000"/>
              <w:right w:val="single" w:sz="4" w:space="0" w:color="000000"/>
            </w:tcBorders>
          </w:tcPr>
          <w:p w:rsidR="00D602D4" w:rsidRDefault="000B4C86">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Должность</w:t>
            </w:r>
          </w:p>
          <w:p w:rsidR="00D602D4" w:rsidRDefault="000B4C86">
            <w:pPr>
              <w:widowControl w:val="0"/>
              <w:contextualSpacing/>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(на момент избрания)</w:t>
            </w:r>
          </w:p>
        </w:tc>
        <w:tc>
          <w:tcPr>
            <w:tcW w:w="3044" w:type="dxa"/>
            <w:gridSpan w:val="2"/>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contextualSpacing/>
              <w:jc w:val="center"/>
              <w:rPr>
                <w:rFonts w:ascii="Times New Roman" w:eastAsia="Times New Roman" w:hAnsi="Times New Roman" w:cs="Times New Roman"/>
                <w:b/>
                <w:sz w:val="20"/>
                <w:szCs w:val="20"/>
              </w:rPr>
            </w:pPr>
            <w:r>
              <w:rPr>
                <w:rFonts w:ascii="Times New Roman" w:eastAsia="Times New Roman" w:hAnsi="Times New Roman" w:cs="Times New Roman"/>
                <w:b/>
                <w:bCs/>
                <w:color w:val="000000"/>
                <w:sz w:val="20"/>
                <w:szCs w:val="20"/>
              </w:rPr>
              <w:t xml:space="preserve"> Заочные заседания (4)</w:t>
            </w:r>
          </w:p>
        </w:tc>
      </w:tr>
      <w:tr w:rsidR="00D602D4">
        <w:trPr>
          <w:jc w:val="center"/>
        </w:trPr>
        <w:tc>
          <w:tcPr>
            <w:tcW w:w="2547" w:type="dxa"/>
            <w:vMerge/>
            <w:tcBorders>
              <w:top w:val="single" w:sz="4" w:space="0" w:color="000000"/>
              <w:left w:val="single" w:sz="4" w:space="0" w:color="000000"/>
              <w:bottom w:val="single" w:sz="4" w:space="0" w:color="000000"/>
              <w:right w:val="single" w:sz="4" w:space="0" w:color="000000"/>
            </w:tcBorders>
          </w:tcPr>
          <w:p w:rsidR="00D602D4" w:rsidRDefault="00D602D4">
            <w:pPr>
              <w:widowControl w:val="0"/>
              <w:contextualSpacing/>
              <w:jc w:val="center"/>
              <w:rPr>
                <w:rFonts w:ascii="Times New Roman" w:eastAsia="Times New Roman" w:hAnsi="Times New Roman" w:cs="Times New Roman"/>
                <w:b/>
                <w:sz w:val="18"/>
                <w:szCs w:val="18"/>
              </w:rPr>
            </w:pPr>
          </w:p>
        </w:tc>
        <w:tc>
          <w:tcPr>
            <w:tcW w:w="3685" w:type="dxa"/>
            <w:vMerge/>
            <w:tcBorders>
              <w:top w:val="single" w:sz="4" w:space="0" w:color="000000"/>
              <w:left w:val="single" w:sz="4" w:space="0" w:color="000000"/>
              <w:bottom w:val="single" w:sz="4" w:space="0" w:color="000000"/>
              <w:right w:val="single" w:sz="4" w:space="0" w:color="000000"/>
            </w:tcBorders>
          </w:tcPr>
          <w:p w:rsidR="00D602D4" w:rsidRDefault="00D602D4">
            <w:pPr>
              <w:widowControl w:val="0"/>
              <w:contextualSpacing/>
              <w:jc w:val="center"/>
              <w:rPr>
                <w:rFonts w:ascii="Times New Roman" w:eastAsia="Times New Roman" w:hAnsi="Times New Roman" w:cs="Times New Roman"/>
                <w:b/>
                <w:sz w:val="18"/>
                <w:szCs w:val="18"/>
              </w:rPr>
            </w:pPr>
          </w:p>
        </w:tc>
        <w:tc>
          <w:tcPr>
            <w:tcW w:w="1632" w:type="dxa"/>
            <w:tcBorders>
              <w:left w:val="single" w:sz="4" w:space="0" w:color="000000"/>
              <w:right w:val="single" w:sz="4" w:space="0" w:color="000000"/>
            </w:tcBorders>
          </w:tcPr>
          <w:p w:rsidR="00D602D4" w:rsidRDefault="000B4C86">
            <w:pPr>
              <w:widowControl w:val="0"/>
              <w:contextualSpacing/>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Количество заочных заседаний, в которых член Комитета принял участие</w:t>
            </w:r>
          </w:p>
        </w:tc>
        <w:tc>
          <w:tcPr>
            <w:tcW w:w="1412" w:type="dxa"/>
            <w:tcBorders>
              <w:top w:val="single" w:sz="4" w:space="0" w:color="000000"/>
              <w:left w:val="single" w:sz="4" w:space="0" w:color="000000"/>
              <w:bottom w:val="single" w:sz="4" w:space="0" w:color="000000"/>
              <w:right w:val="single" w:sz="4" w:space="0" w:color="000000"/>
            </w:tcBorders>
          </w:tcPr>
          <w:p w:rsidR="00D602D4" w:rsidRDefault="000B4C86">
            <w:pPr>
              <w:widowControl w:val="0"/>
              <w:contextualSpacing/>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Процент участия, %</w:t>
            </w:r>
          </w:p>
        </w:tc>
      </w:tr>
      <w:tr w:rsidR="00D602D4">
        <w:trPr>
          <w:jc w:val="center"/>
        </w:trPr>
        <w:tc>
          <w:tcPr>
            <w:tcW w:w="2547"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 xml:space="preserve">Клинков </w:t>
            </w:r>
          </w:p>
          <w:p w:rsidR="00D602D4" w:rsidRDefault="000B4C86">
            <w:pPr>
              <w:rPr>
                <w:rFonts w:ascii="Times New Roman" w:hAnsi="Times New Roman" w:cs="Times New Roman"/>
                <w:color w:val="000000"/>
                <w:sz w:val="20"/>
                <w:szCs w:val="20"/>
              </w:rPr>
            </w:pPr>
            <w:r>
              <w:rPr>
                <w:rFonts w:ascii="Times New Roman" w:hAnsi="Times New Roman" w:cs="Times New Roman"/>
                <w:color w:val="000000"/>
                <w:sz w:val="20"/>
                <w:szCs w:val="20"/>
              </w:rPr>
              <w:t>Олег Юрьевич</w:t>
            </w:r>
          </w:p>
        </w:tc>
        <w:tc>
          <w:tcPr>
            <w:tcW w:w="3685"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Председатель Комитета</w:t>
            </w:r>
            <w:r>
              <w:rPr>
                <w:rFonts w:ascii="Times New Roman" w:eastAsia="Times New Roman" w:hAnsi="Times New Roman" w:cs="Times New Roman"/>
                <w:color w:val="000000"/>
                <w:sz w:val="20"/>
                <w:szCs w:val="20"/>
              </w:rPr>
              <w:t>, Директор по взаимодействию с потребителями - начальник Департамента технологического развития ПАО «Россети»</w:t>
            </w:r>
          </w:p>
        </w:tc>
        <w:tc>
          <w:tcPr>
            <w:tcW w:w="163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442"/>
          <w:jc w:val="center"/>
        </w:trPr>
        <w:tc>
          <w:tcPr>
            <w:tcW w:w="2547"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Бычко </w:t>
            </w:r>
          </w:p>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Михаил Александрович</w:t>
            </w:r>
          </w:p>
        </w:tc>
        <w:tc>
          <w:tcPr>
            <w:tcW w:w="3685"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Начальник Департамента капитального строительства ПАО «Россети»</w:t>
            </w:r>
          </w:p>
        </w:tc>
        <w:tc>
          <w:tcPr>
            <w:tcW w:w="163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jc w:val="center"/>
        </w:trPr>
        <w:tc>
          <w:tcPr>
            <w:tcW w:w="2547"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Газданова Марина Алтеговна</w:t>
            </w:r>
          </w:p>
        </w:tc>
        <w:tc>
          <w:tcPr>
            <w:tcW w:w="3685"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Заместитель начальника Департамента технологического присоединения и развития инфраструктуры - начальник Управления развития дополнительных услуг и клиентских сервисов ПАО «Россети»</w:t>
            </w:r>
          </w:p>
        </w:tc>
        <w:tc>
          <w:tcPr>
            <w:tcW w:w="163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286"/>
          <w:jc w:val="center"/>
        </w:trPr>
        <w:tc>
          <w:tcPr>
            <w:tcW w:w="2547"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Данилов </w:t>
            </w:r>
          </w:p>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Антон Евгеньевич</w:t>
            </w:r>
          </w:p>
          <w:p w:rsidR="00D602D4" w:rsidRDefault="00D602D4">
            <w:pPr>
              <w:rPr>
                <w:rFonts w:ascii="Times New Roman" w:eastAsia="Times New Roman" w:hAnsi="Times New Roman" w:cs="Times New Roman"/>
                <w:color w:val="000000"/>
                <w:sz w:val="20"/>
                <w:szCs w:val="20"/>
              </w:rPr>
            </w:pPr>
          </w:p>
          <w:p w:rsidR="00D602D4" w:rsidRDefault="000B4C86">
            <w:pPr>
              <w:rPr>
                <w:rFonts w:ascii="Times New Roman" w:eastAsia="Times New Roman" w:hAnsi="Times New Roman" w:cs="Times New Roman"/>
                <w:i/>
                <w:color w:val="000000"/>
                <w:sz w:val="20"/>
                <w:szCs w:val="20"/>
              </w:rPr>
            </w:pPr>
            <w:r>
              <w:rPr>
                <w:rFonts w:ascii="Times New Roman" w:eastAsia="Times New Roman" w:hAnsi="Times New Roman" w:cs="Times New Roman"/>
                <w:i/>
                <w:color w:val="000000"/>
                <w:sz w:val="20"/>
                <w:szCs w:val="20"/>
              </w:rPr>
              <w:t>Член Совета директоров</w:t>
            </w:r>
          </w:p>
        </w:tc>
        <w:tc>
          <w:tcPr>
            <w:tcW w:w="3685"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Директор по развитию энергорынков и энерготрейдинга ООО «Сибирская генерирующая компания»</w:t>
            </w:r>
          </w:p>
        </w:tc>
        <w:tc>
          <w:tcPr>
            <w:tcW w:w="163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jc w:val="center"/>
        </w:trPr>
        <w:tc>
          <w:tcPr>
            <w:tcW w:w="2547"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Лень </w:t>
            </w:r>
          </w:p>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Станислав Валерьевич</w:t>
            </w:r>
            <w:r>
              <w:rPr>
                <w:rFonts w:ascii="Times New Roman" w:eastAsia="Times New Roman" w:hAnsi="Times New Roman" w:cs="Times New Roman"/>
                <w:color w:val="000000"/>
                <w:sz w:val="20"/>
                <w:szCs w:val="20"/>
              </w:rPr>
              <w:br/>
            </w:r>
            <w:r>
              <w:rPr>
                <w:rFonts w:ascii="Times New Roman" w:eastAsia="Times New Roman" w:hAnsi="Times New Roman" w:cs="Times New Roman"/>
                <w:color w:val="000000"/>
                <w:sz w:val="20"/>
                <w:szCs w:val="20"/>
              </w:rPr>
              <w:br/>
            </w:r>
          </w:p>
        </w:tc>
        <w:tc>
          <w:tcPr>
            <w:tcW w:w="3685" w:type="dxa"/>
            <w:tcBorders>
              <w:top w:val="single" w:sz="4" w:space="0" w:color="000000"/>
              <w:left w:val="single" w:sz="4" w:space="0" w:color="000000"/>
              <w:bottom w:val="single" w:sz="4" w:space="0" w:color="000000"/>
              <w:right w:val="single" w:sz="4" w:space="0" w:color="000000"/>
            </w:tcBorders>
          </w:tcPr>
          <w:p w:rsidR="00D602D4" w:rsidRDefault="000B4C86">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Начальник Управления сопровождения проектов и торговли мощностью                            ООО «Сибирская генерирующая компания»</w:t>
            </w:r>
          </w:p>
        </w:tc>
        <w:tc>
          <w:tcPr>
            <w:tcW w:w="163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bl>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highlight w:val="yellow"/>
        </w:rPr>
      </w:pPr>
    </w:p>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p w:rsidR="00D602D4" w:rsidRDefault="00D602D4">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p>
    <w:p w:rsidR="00D602D4" w:rsidRDefault="000B4C86">
      <w:pPr>
        <w:widowControl w:val="0"/>
        <w:tabs>
          <w:tab w:val="left" w:pos="0"/>
          <w:tab w:val="left" w:pos="993"/>
        </w:tabs>
        <w:spacing w:after="0" w:line="240" w:lineRule="auto"/>
        <w:ind w:firstLine="709"/>
        <w:jc w:val="right"/>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lastRenderedPageBreak/>
        <w:t>Таблица 9</w:t>
      </w:r>
      <w:r>
        <w:rPr>
          <w:rFonts w:ascii="Times New Roman" w:eastAsia="Times New Roman" w:hAnsi="Times New Roman" w:cs="Times New Roman"/>
          <w:sz w:val="24"/>
          <w:szCs w:val="24"/>
        </w:rPr>
        <w:t>5</w:t>
      </w:r>
    </w:p>
    <w:p w:rsidR="00D602D4" w:rsidRDefault="000B4C86">
      <w:pPr>
        <w:widowControl w:val="0"/>
        <w:spacing w:after="0" w:line="240" w:lineRule="auto"/>
        <w:ind w:firstLine="70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Персональный состав и участие членов Комитета по технологическому присоединению к электрическим сетям в работе Комитета по технологическому присоединению к электрическим сетям с 19.08.2024 (дата избрания состава комитета)</w:t>
      </w:r>
    </w:p>
    <w:p w:rsidR="00D602D4" w:rsidRDefault="000B4C86">
      <w:pPr>
        <w:widowControl w:val="0"/>
        <w:spacing w:after="0" w:line="240" w:lineRule="auto"/>
        <w:ind w:firstLine="709"/>
        <w:jc w:val="center"/>
        <w:rPr>
          <w:rFonts w:ascii="Times New Roman" w:eastAsia="Times New Roman" w:hAnsi="Times New Roman" w:cs="Times New Roman"/>
          <w:b/>
          <w:sz w:val="18"/>
          <w:szCs w:val="18"/>
        </w:rPr>
      </w:pPr>
      <w:r>
        <w:rPr>
          <w:rFonts w:ascii="Times New Roman" w:eastAsia="Times New Roman" w:hAnsi="Times New Roman" w:cs="Times New Roman"/>
          <w:b/>
          <w:sz w:val="24"/>
          <w:szCs w:val="24"/>
        </w:rPr>
        <w:t>по 31.12.2024</w:t>
      </w:r>
    </w:p>
    <w:tbl>
      <w:tblPr>
        <w:tblStyle w:val="83"/>
        <w:tblW w:w="9276" w:type="dxa"/>
        <w:jc w:val="center"/>
        <w:tblInd w:w="0" w:type="dxa"/>
        <w:tblLook w:val="04A0" w:firstRow="1" w:lastRow="0" w:firstColumn="1" w:lastColumn="0" w:noHBand="0" w:noVBand="1"/>
      </w:tblPr>
      <w:tblGrid>
        <w:gridCol w:w="2547"/>
        <w:gridCol w:w="3685"/>
        <w:gridCol w:w="1632"/>
        <w:gridCol w:w="1412"/>
      </w:tblGrid>
      <w:tr w:rsidR="00D602D4">
        <w:trPr>
          <w:jc w:val="center"/>
        </w:trPr>
        <w:tc>
          <w:tcPr>
            <w:tcW w:w="2547" w:type="dxa"/>
            <w:vMerge w:val="restart"/>
            <w:tcBorders>
              <w:top w:val="single" w:sz="4" w:space="0" w:color="000000"/>
              <w:left w:val="single" w:sz="4" w:space="0" w:color="000000"/>
              <w:bottom w:val="single" w:sz="4" w:space="0" w:color="000000"/>
              <w:right w:val="single" w:sz="4" w:space="0" w:color="000000"/>
            </w:tcBorders>
          </w:tcPr>
          <w:p w:rsidR="00D602D4" w:rsidRDefault="000B4C86">
            <w:pPr>
              <w:widowControl w:val="0"/>
              <w:contextualSpacing/>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Ф. И. О.</w:t>
            </w:r>
          </w:p>
        </w:tc>
        <w:tc>
          <w:tcPr>
            <w:tcW w:w="3685" w:type="dxa"/>
            <w:vMerge w:val="restart"/>
            <w:tcBorders>
              <w:top w:val="single" w:sz="4" w:space="0" w:color="000000"/>
              <w:left w:val="single" w:sz="4" w:space="0" w:color="000000"/>
              <w:bottom w:val="single" w:sz="4" w:space="0" w:color="000000"/>
              <w:right w:val="single" w:sz="4" w:space="0" w:color="000000"/>
            </w:tcBorders>
          </w:tcPr>
          <w:p w:rsidR="00D602D4" w:rsidRDefault="000B4C86">
            <w:pPr>
              <w:widowControl w:val="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Должность</w:t>
            </w:r>
          </w:p>
          <w:p w:rsidR="00D602D4" w:rsidRDefault="000B4C86">
            <w:pPr>
              <w:widowControl w:val="0"/>
              <w:contextualSpacing/>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(на момент избрания)</w:t>
            </w:r>
          </w:p>
        </w:tc>
        <w:tc>
          <w:tcPr>
            <w:tcW w:w="3044" w:type="dxa"/>
            <w:gridSpan w:val="2"/>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contextualSpacing/>
              <w:jc w:val="center"/>
              <w:rPr>
                <w:rFonts w:ascii="Times New Roman" w:eastAsia="Times New Roman" w:hAnsi="Times New Roman" w:cs="Times New Roman"/>
                <w:b/>
                <w:sz w:val="20"/>
                <w:szCs w:val="20"/>
              </w:rPr>
            </w:pPr>
            <w:r>
              <w:rPr>
                <w:rFonts w:ascii="Times New Roman" w:eastAsia="Times New Roman" w:hAnsi="Times New Roman" w:cs="Times New Roman"/>
                <w:b/>
                <w:bCs/>
                <w:color w:val="000000"/>
                <w:sz w:val="20"/>
                <w:szCs w:val="20"/>
              </w:rPr>
              <w:t xml:space="preserve"> Заочные заседания (1)</w:t>
            </w:r>
          </w:p>
        </w:tc>
      </w:tr>
      <w:tr w:rsidR="00D602D4">
        <w:trPr>
          <w:jc w:val="center"/>
        </w:trPr>
        <w:tc>
          <w:tcPr>
            <w:tcW w:w="2547" w:type="dxa"/>
            <w:vMerge/>
            <w:tcBorders>
              <w:top w:val="single" w:sz="4" w:space="0" w:color="000000"/>
              <w:left w:val="single" w:sz="4" w:space="0" w:color="000000"/>
              <w:bottom w:val="single" w:sz="4" w:space="0" w:color="000000"/>
              <w:right w:val="single" w:sz="4" w:space="0" w:color="000000"/>
            </w:tcBorders>
          </w:tcPr>
          <w:p w:rsidR="00D602D4" w:rsidRDefault="00D602D4">
            <w:pPr>
              <w:widowControl w:val="0"/>
              <w:contextualSpacing/>
              <w:jc w:val="center"/>
              <w:rPr>
                <w:rFonts w:ascii="Times New Roman" w:eastAsia="Times New Roman" w:hAnsi="Times New Roman" w:cs="Times New Roman"/>
                <w:b/>
                <w:sz w:val="18"/>
                <w:szCs w:val="18"/>
              </w:rPr>
            </w:pPr>
          </w:p>
        </w:tc>
        <w:tc>
          <w:tcPr>
            <w:tcW w:w="3685" w:type="dxa"/>
            <w:vMerge/>
            <w:tcBorders>
              <w:top w:val="single" w:sz="4" w:space="0" w:color="000000"/>
              <w:left w:val="single" w:sz="4" w:space="0" w:color="000000"/>
              <w:bottom w:val="single" w:sz="4" w:space="0" w:color="000000"/>
              <w:right w:val="single" w:sz="4" w:space="0" w:color="000000"/>
            </w:tcBorders>
          </w:tcPr>
          <w:p w:rsidR="00D602D4" w:rsidRDefault="00D602D4">
            <w:pPr>
              <w:widowControl w:val="0"/>
              <w:contextualSpacing/>
              <w:jc w:val="center"/>
              <w:rPr>
                <w:rFonts w:ascii="Times New Roman" w:eastAsia="Times New Roman" w:hAnsi="Times New Roman" w:cs="Times New Roman"/>
                <w:b/>
                <w:sz w:val="18"/>
                <w:szCs w:val="18"/>
              </w:rPr>
            </w:pPr>
          </w:p>
        </w:tc>
        <w:tc>
          <w:tcPr>
            <w:tcW w:w="1632" w:type="dxa"/>
            <w:tcBorders>
              <w:left w:val="single" w:sz="4" w:space="0" w:color="000000"/>
              <w:right w:val="single" w:sz="4" w:space="0" w:color="000000"/>
            </w:tcBorders>
          </w:tcPr>
          <w:p w:rsidR="00D602D4" w:rsidRDefault="000B4C86">
            <w:pPr>
              <w:widowControl w:val="0"/>
              <w:contextualSpacing/>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Количество заочных заседаний, в которых член Комитета принял участие</w:t>
            </w:r>
          </w:p>
        </w:tc>
        <w:tc>
          <w:tcPr>
            <w:tcW w:w="1412" w:type="dxa"/>
            <w:tcBorders>
              <w:top w:val="single" w:sz="4" w:space="0" w:color="000000"/>
              <w:left w:val="single" w:sz="4" w:space="0" w:color="000000"/>
              <w:bottom w:val="single" w:sz="4" w:space="0" w:color="000000"/>
              <w:right w:val="single" w:sz="4" w:space="0" w:color="000000"/>
            </w:tcBorders>
          </w:tcPr>
          <w:p w:rsidR="00D602D4" w:rsidRDefault="000B4C86">
            <w:pPr>
              <w:widowControl w:val="0"/>
              <w:contextualSpacing/>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Процент участия, %</w:t>
            </w:r>
          </w:p>
        </w:tc>
      </w:tr>
      <w:tr w:rsidR="00D602D4">
        <w:trPr>
          <w:jc w:val="center"/>
        </w:trPr>
        <w:tc>
          <w:tcPr>
            <w:tcW w:w="2547" w:type="dxa"/>
            <w:tcBorders>
              <w:top w:val="single" w:sz="4" w:space="0" w:color="000000"/>
              <w:left w:val="single" w:sz="4" w:space="0" w:color="000000"/>
              <w:bottom w:val="single" w:sz="4" w:space="0" w:color="000000"/>
              <w:right w:val="single" w:sz="4" w:space="0" w:color="000000"/>
            </w:tcBorders>
          </w:tcPr>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Клинков </w:t>
            </w:r>
          </w:p>
          <w:p w:rsidR="00D602D4" w:rsidRDefault="000B4C86">
            <w:pPr>
              <w:jc w:val="both"/>
              <w:rPr>
                <w:rFonts w:ascii="Times New Roman" w:hAnsi="Times New Roman" w:cs="Times New Roman"/>
                <w:color w:val="000000"/>
                <w:sz w:val="20"/>
                <w:szCs w:val="20"/>
              </w:rPr>
            </w:pPr>
            <w:r>
              <w:rPr>
                <w:rFonts w:ascii="Times New Roman" w:hAnsi="Times New Roman" w:cs="Times New Roman"/>
                <w:color w:val="000000"/>
                <w:sz w:val="20"/>
                <w:szCs w:val="20"/>
              </w:rPr>
              <w:t>Олег Юрьевич</w:t>
            </w:r>
          </w:p>
        </w:tc>
        <w:tc>
          <w:tcPr>
            <w:tcW w:w="3685" w:type="dxa"/>
            <w:tcBorders>
              <w:top w:val="single" w:sz="4" w:space="0" w:color="000000"/>
              <w:left w:val="single" w:sz="4" w:space="0" w:color="000000"/>
              <w:bottom w:val="single" w:sz="4" w:space="0" w:color="000000"/>
              <w:right w:val="single" w:sz="4" w:space="0" w:color="000000"/>
            </w:tcBorders>
          </w:tcPr>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Председатель Комитета</w:t>
            </w:r>
            <w:r>
              <w:rPr>
                <w:rFonts w:ascii="Times New Roman" w:eastAsia="Times New Roman" w:hAnsi="Times New Roman" w:cs="Times New Roman"/>
                <w:color w:val="000000"/>
                <w:sz w:val="20"/>
                <w:szCs w:val="20"/>
              </w:rPr>
              <w:t>, Директор по взаимодействию с потребителями - начальник Департамента технологического развития ПАО «Россети»</w:t>
            </w:r>
          </w:p>
        </w:tc>
        <w:tc>
          <w:tcPr>
            <w:tcW w:w="163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487"/>
          <w:jc w:val="center"/>
        </w:trPr>
        <w:tc>
          <w:tcPr>
            <w:tcW w:w="2547" w:type="dxa"/>
            <w:tcBorders>
              <w:top w:val="single" w:sz="4" w:space="0" w:color="000000"/>
              <w:left w:val="single" w:sz="4" w:space="0" w:color="000000"/>
              <w:bottom w:val="single" w:sz="4" w:space="0" w:color="000000"/>
              <w:right w:val="single" w:sz="4" w:space="0" w:color="000000"/>
            </w:tcBorders>
          </w:tcPr>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Бычко </w:t>
            </w:r>
          </w:p>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Михаил Александрович</w:t>
            </w:r>
          </w:p>
        </w:tc>
        <w:tc>
          <w:tcPr>
            <w:tcW w:w="3685" w:type="dxa"/>
            <w:tcBorders>
              <w:top w:val="single" w:sz="4" w:space="0" w:color="000000"/>
              <w:left w:val="single" w:sz="4" w:space="0" w:color="000000"/>
              <w:bottom w:val="single" w:sz="4" w:space="0" w:color="000000"/>
              <w:right w:val="single" w:sz="4" w:space="0" w:color="000000"/>
            </w:tcBorders>
          </w:tcPr>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Начальник Департамента капитального строительства ПАО «Россети»</w:t>
            </w:r>
          </w:p>
        </w:tc>
        <w:tc>
          <w:tcPr>
            <w:tcW w:w="163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jc w:val="center"/>
        </w:trPr>
        <w:tc>
          <w:tcPr>
            <w:tcW w:w="2547" w:type="dxa"/>
            <w:tcBorders>
              <w:top w:val="single" w:sz="4" w:space="0" w:color="000000"/>
              <w:left w:val="single" w:sz="4" w:space="0" w:color="000000"/>
              <w:bottom w:val="single" w:sz="4" w:space="0" w:color="000000"/>
              <w:right w:val="single" w:sz="4" w:space="0" w:color="000000"/>
            </w:tcBorders>
          </w:tcPr>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Газданова Марина Алтеговна</w:t>
            </w:r>
          </w:p>
        </w:tc>
        <w:tc>
          <w:tcPr>
            <w:tcW w:w="3685" w:type="dxa"/>
            <w:tcBorders>
              <w:top w:val="single" w:sz="4" w:space="0" w:color="000000"/>
              <w:left w:val="single" w:sz="4" w:space="0" w:color="000000"/>
              <w:bottom w:val="single" w:sz="4" w:space="0" w:color="000000"/>
              <w:right w:val="single" w:sz="4" w:space="0" w:color="000000"/>
            </w:tcBorders>
          </w:tcPr>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Заместитель начальника Департамента технологического присоединения и развития инфраструктуры - начальник Управления развития дополнительных услуг и клиентских сервисов ПАО «Россети»</w:t>
            </w:r>
          </w:p>
        </w:tc>
        <w:tc>
          <w:tcPr>
            <w:tcW w:w="163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trHeight w:val="286"/>
          <w:jc w:val="center"/>
        </w:trPr>
        <w:tc>
          <w:tcPr>
            <w:tcW w:w="2547" w:type="dxa"/>
            <w:tcBorders>
              <w:top w:val="single" w:sz="4" w:space="0" w:color="000000"/>
              <w:left w:val="single" w:sz="4" w:space="0" w:color="000000"/>
              <w:bottom w:val="single" w:sz="4" w:space="0" w:color="000000"/>
              <w:right w:val="single" w:sz="4" w:space="0" w:color="000000"/>
            </w:tcBorders>
          </w:tcPr>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Данилов </w:t>
            </w:r>
          </w:p>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Антон Евгеньевич</w:t>
            </w:r>
          </w:p>
          <w:p w:rsidR="00D602D4" w:rsidRDefault="00D602D4">
            <w:pPr>
              <w:jc w:val="both"/>
              <w:rPr>
                <w:rFonts w:ascii="Times New Roman" w:eastAsia="Times New Roman" w:hAnsi="Times New Roman" w:cs="Times New Roman"/>
                <w:color w:val="000000"/>
                <w:sz w:val="20"/>
                <w:szCs w:val="20"/>
              </w:rPr>
            </w:pPr>
          </w:p>
          <w:p w:rsidR="00D602D4" w:rsidRDefault="000B4C86">
            <w:pPr>
              <w:jc w:val="both"/>
              <w:rPr>
                <w:rFonts w:ascii="Times New Roman" w:eastAsia="Times New Roman" w:hAnsi="Times New Roman" w:cs="Times New Roman"/>
                <w:i/>
                <w:color w:val="000000"/>
                <w:sz w:val="20"/>
                <w:szCs w:val="20"/>
              </w:rPr>
            </w:pPr>
            <w:r>
              <w:rPr>
                <w:rFonts w:ascii="Times New Roman" w:eastAsia="Times New Roman" w:hAnsi="Times New Roman" w:cs="Times New Roman"/>
                <w:i/>
                <w:color w:val="000000"/>
                <w:sz w:val="20"/>
                <w:szCs w:val="20"/>
              </w:rPr>
              <w:t>Член Совета директоров</w:t>
            </w:r>
          </w:p>
        </w:tc>
        <w:tc>
          <w:tcPr>
            <w:tcW w:w="3685" w:type="dxa"/>
            <w:tcBorders>
              <w:top w:val="single" w:sz="4" w:space="0" w:color="000000"/>
              <w:left w:val="single" w:sz="4" w:space="0" w:color="000000"/>
              <w:bottom w:val="single" w:sz="4" w:space="0" w:color="000000"/>
              <w:right w:val="single" w:sz="4" w:space="0" w:color="000000"/>
            </w:tcBorders>
          </w:tcPr>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Директор по развитию энергорынков и энерготрейдинга ООО «Сибирская генерирующая компания»</w:t>
            </w:r>
          </w:p>
        </w:tc>
        <w:tc>
          <w:tcPr>
            <w:tcW w:w="163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r w:rsidR="00D602D4">
        <w:trPr>
          <w:jc w:val="center"/>
        </w:trPr>
        <w:tc>
          <w:tcPr>
            <w:tcW w:w="2547" w:type="dxa"/>
            <w:tcBorders>
              <w:top w:val="single" w:sz="4" w:space="0" w:color="000000"/>
              <w:left w:val="single" w:sz="4" w:space="0" w:color="000000"/>
              <w:bottom w:val="single" w:sz="4" w:space="0" w:color="000000"/>
              <w:right w:val="single" w:sz="4" w:space="0" w:color="000000"/>
            </w:tcBorders>
          </w:tcPr>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Лень </w:t>
            </w:r>
          </w:p>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Станислав Валерьевич</w:t>
            </w:r>
          </w:p>
          <w:p w:rsidR="00D602D4" w:rsidRDefault="00D602D4">
            <w:pPr>
              <w:jc w:val="both"/>
              <w:rPr>
                <w:rFonts w:ascii="Times New Roman" w:eastAsia="Times New Roman" w:hAnsi="Times New Roman" w:cs="Times New Roman"/>
                <w:color w:val="000000"/>
                <w:sz w:val="20"/>
                <w:szCs w:val="20"/>
              </w:rPr>
            </w:pPr>
          </w:p>
        </w:tc>
        <w:tc>
          <w:tcPr>
            <w:tcW w:w="3685" w:type="dxa"/>
            <w:tcBorders>
              <w:top w:val="single" w:sz="4" w:space="0" w:color="000000"/>
              <w:left w:val="single" w:sz="4" w:space="0" w:color="000000"/>
              <w:bottom w:val="single" w:sz="4" w:space="0" w:color="000000"/>
              <w:right w:val="single" w:sz="4" w:space="0" w:color="000000"/>
            </w:tcBorders>
          </w:tcPr>
          <w:p w:rsidR="00D602D4" w:rsidRDefault="000B4C86">
            <w:pP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Начальник Управления сопровождения проектов и торговли мощностью                            ООО «Сибирская генерирующая компания»</w:t>
            </w:r>
          </w:p>
        </w:tc>
        <w:tc>
          <w:tcPr>
            <w:tcW w:w="163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1412"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r>
    </w:tbl>
    <w:p w:rsidR="00D602D4" w:rsidRDefault="000B4C86">
      <w:pPr>
        <w:tabs>
          <w:tab w:val="left" w:pos="142"/>
          <w:tab w:val="left" w:pos="709"/>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2024 году состоялось 5 заседаний (02 февраля, 28 мая, 14 июня, 26 июля, 25 октября) Комитета по технологическому присоединению к электрическим сетям. Рассмотрено 8 вопросов.</w:t>
      </w:r>
    </w:p>
    <w:p w:rsidR="00D602D4" w:rsidRDefault="000B4C86">
      <w:pPr>
        <w:tabs>
          <w:tab w:val="left" w:pos="142"/>
          <w:tab w:val="left" w:pos="709"/>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Представлены рекомендации Совету директоров по 7 вопросам, в том числе по вопросам:</w:t>
      </w:r>
    </w:p>
    <w:p w:rsidR="00D602D4" w:rsidRDefault="000B4C86">
      <w:pPr>
        <w:tabs>
          <w:tab w:val="left" w:pos="142"/>
          <w:tab w:val="left" w:pos="709"/>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 рассмотрении отчета Генерального директора Общества «О текущей ситуации в деятельности Общества по технологическому присоединению потребителей к электрическим сетям по итогам 6 месяцев 2023 года»;</w:t>
      </w:r>
    </w:p>
    <w:p w:rsidR="00D602D4" w:rsidRDefault="000B4C86">
      <w:pPr>
        <w:tabs>
          <w:tab w:val="left" w:pos="142"/>
          <w:tab w:val="left" w:pos="709"/>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 рассмотрении отчета генерального директора Общества «О текущей ситуации в деятельности Общества по технологическому присоединению потребителей к электрическим сетям по итогам 9 месяцев 2023 года»;</w:t>
      </w:r>
    </w:p>
    <w:p w:rsidR="00D602D4" w:rsidRDefault="000B4C86">
      <w:pPr>
        <w:tabs>
          <w:tab w:val="left" w:pos="142"/>
          <w:tab w:val="left" w:pos="709"/>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 рассмотрении отчета Генерального директора Общества «О текущей ситуации в деятельности Общества по технологическому присоединению потребителей к электрическим сетям по итогам 12 месяцев 2023 года».</w:t>
      </w:r>
    </w:p>
    <w:p w:rsidR="00D602D4" w:rsidRDefault="000B4C86">
      <w:pPr>
        <w:widowControl w:val="0"/>
        <w:spacing w:after="0" w:line="240" w:lineRule="auto"/>
        <w:ind w:firstLine="709"/>
        <w:jc w:val="right"/>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Таблица 96</w:t>
      </w:r>
    </w:p>
    <w:p w:rsidR="00D602D4" w:rsidRDefault="000B4C86">
      <w:pPr>
        <w:widowControl w:val="0"/>
        <w:spacing w:after="0" w:line="240" w:lineRule="auto"/>
        <w:ind w:firstLine="709"/>
        <w:jc w:val="center"/>
        <w:rPr>
          <w:rFonts w:ascii="Times New Roman" w:eastAsia="Times New Roman" w:hAnsi="Times New Roman" w:cs="Times New Roman"/>
          <w:sz w:val="24"/>
          <w:szCs w:val="24"/>
          <w:highlight w:val="yellow"/>
        </w:rPr>
      </w:pPr>
      <w:r>
        <w:rPr>
          <w:rFonts w:ascii="Times New Roman" w:eastAsia="Times New Roman" w:hAnsi="Times New Roman" w:cs="Times New Roman"/>
          <w:b/>
          <w:sz w:val="24"/>
          <w:szCs w:val="24"/>
        </w:rPr>
        <w:t>Категории рассмотренных Комитетом по технологическому присоединению к электрическим сетям в 2024 году</w:t>
      </w:r>
    </w:p>
    <w:tbl>
      <w:tblPr>
        <w:tblStyle w:val="83"/>
        <w:tblW w:w="9226" w:type="dxa"/>
        <w:jc w:val="center"/>
        <w:tblInd w:w="0" w:type="dxa"/>
        <w:tblLook w:val="04A0" w:firstRow="1" w:lastRow="0" w:firstColumn="1" w:lastColumn="0" w:noHBand="0" w:noVBand="1"/>
      </w:tblPr>
      <w:tblGrid>
        <w:gridCol w:w="5098"/>
        <w:gridCol w:w="637"/>
        <w:gridCol w:w="1793"/>
        <w:gridCol w:w="1698"/>
      </w:tblGrid>
      <w:tr w:rsidR="00D602D4">
        <w:trPr>
          <w:jc w:val="center"/>
        </w:trPr>
        <w:tc>
          <w:tcPr>
            <w:tcW w:w="5098"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bCs/>
                <w:color w:val="000000"/>
                <w:sz w:val="20"/>
                <w:szCs w:val="20"/>
              </w:rPr>
              <w:t>Категории вопросов</w:t>
            </w:r>
          </w:p>
        </w:tc>
        <w:tc>
          <w:tcPr>
            <w:tcW w:w="637" w:type="dxa"/>
            <w:tcBorders>
              <w:top w:val="single" w:sz="4" w:space="0" w:color="000000"/>
              <w:left w:val="single" w:sz="4" w:space="0" w:color="000000"/>
              <w:bottom w:val="single" w:sz="4" w:space="0" w:color="000000"/>
              <w:right w:val="single" w:sz="4" w:space="0" w:color="000000"/>
            </w:tcBorders>
          </w:tcPr>
          <w:p w:rsidR="00D602D4" w:rsidRDefault="000B4C86">
            <w:pPr>
              <w:widowControl w:val="0"/>
              <w:tabs>
                <w:tab w:val="left" w:pos="34"/>
              </w:tabs>
              <w:ind w:right="-14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Ед.</w:t>
            </w:r>
          </w:p>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bCs/>
                <w:color w:val="000000"/>
                <w:sz w:val="20"/>
                <w:szCs w:val="20"/>
              </w:rPr>
              <w:t>изм.</w:t>
            </w:r>
          </w:p>
        </w:tc>
        <w:tc>
          <w:tcPr>
            <w:tcW w:w="1793"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center"/>
              <w:rPr>
                <w:rFonts w:ascii="Times New Roman" w:hAnsi="Times New Roman"/>
                <w:b/>
                <w:sz w:val="20"/>
                <w:szCs w:val="20"/>
              </w:rPr>
            </w:pPr>
            <w:r>
              <w:rPr>
                <w:rFonts w:ascii="Times New Roman" w:hAnsi="Times New Roman"/>
                <w:b/>
                <w:sz w:val="20"/>
                <w:szCs w:val="20"/>
              </w:rPr>
              <w:t>Количество вопросов</w:t>
            </w:r>
          </w:p>
        </w:tc>
        <w:tc>
          <w:tcPr>
            <w:tcW w:w="1698"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center"/>
              <w:rPr>
                <w:rFonts w:ascii="Times New Roman" w:hAnsi="Times New Roman"/>
                <w:b/>
                <w:sz w:val="20"/>
                <w:szCs w:val="20"/>
                <w:highlight w:val="white"/>
              </w:rPr>
            </w:pPr>
            <w:r>
              <w:rPr>
                <w:rFonts w:ascii="Times New Roman" w:hAnsi="Times New Roman"/>
                <w:b/>
                <w:sz w:val="20"/>
                <w:szCs w:val="20"/>
                <w:highlight w:val="white"/>
              </w:rPr>
              <w:t>Процент от общего числа, %</w:t>
            </w:r>
          </w:p>
        </w:tc>
      </w:tr>
      <w:tr w:rsidR="00D602D4">
        <w:trPr>
          <w:jc w:val="center"/>
        </w:trPr>
        <w:tc>
          <w:tcPr>
            <w:tcW w:w="5098"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 xml:space="preserve">Отчеты о деятельности по технологическому присоединению </w:t>
            </w:r>
          </w:p>
        </w:tc>
        <w:tc>
          <w:tcPr>
            <w:tcW w:w="637"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5</w:t>
            </w:r>
          </w:p>
        </w:tc>
        <w:tc>
          <w:tcPr>
            <w:tcW w:w="16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62</w:t>
            </w:r>
          </w:p>
        </w:tc>
      </w:tr>
      <w:tr w:rsidR="00D602D4">
        <w:trPr>
          <w:jc w:val="center"/>
        </w:trPr>
        <w:tc>
          <w:tcPr>
            <w:tcW w:w="5098"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Выполнение договоров технологического присоединения</w:t>
            </w:r>
          </w:p>
        </w:tc>
        <w:tc>
          <w:tcPr>
            <w:tcW w:w="637"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w:t>
            </w:r>
          </w:p>
        </w:tc>
        <w:tc>
          <w:tcPr>
            <w:tcW w:w="16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w:t>
            </w:r>
          </w:p>
        </w:tc>
      </w:tr>
      <w:tr w:rsidR="00D602D4">
        <w:trPr>
          <w:jc w:val="center"/>
        </w:trPr>
        <w:tc>
          <w:tcPr>
            <w:tcW w:w="5098"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Организационные вопросы</w:t>
            </w:r>
          </w:p>
        </w:tc>
        <w:tc>
          <w:tcPr>
            <w:tcW w:w="637"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3</w:t>
            </w:r>
          </w:p>
        </w:tc>
        <w:tc>
          <w:tcPr>
            <w:tcW w:w="16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37</w:t>
            </w:r>
          </w:p>
        </w:tc>
      </w:tr>
      <w:tr w:rsidR="00D602D4">
        <w:trPr>
          <w:jc w:val="center"/>
        </w:trPr>
        <w:tc>
          <w:tcPr>
            <w:tcW w:w="5098"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both"/>
              <w:rPr>
                <w:rFonts w:ascii="Times New Roman" w:hAnsi="Times New Roman"/>
                <w:sz w:val="20"/>
                <w:szCs w:val="20"/>
              </w:rPr>
            </w:pPr>
            <w:r>
              <w:rPr>
                <w:rFonts w:ascii="Times New Roman" w:hAnsi="Times New Roman"/>
                <w:sz w:val="20"/>
                <w:szCs w:val="20"/>
              </w:rPr>
              <w:t>Другое</w:t>
            </w:r>
          </w:p>
        </w:tc>
        <w:tc>
          <w:tcPr>
            <w:tcW w:w="637" w:type="dxa"/>
            <w:tcBorders>
              <w:top w:val="single" w:sz="4" w:space="0" w:color="000000"/>
              <w:left w:val="single" w:sz="4" w:space="0" w:color="000000"/>
              <w:bottom w:val="single" w:sz="4" w:space="0" w:color="000000"/>
              <w:right w:val="single" w:sz="4" w:space="0" w:color="000000"/>
            </w:tcBorders>
          </w:tcPr>
          <w:p w:rsidR="00D602D4" w:rsidRDefault="000B4C86">
            <w:pPr>
              <w:pStyle w:val="ac"/>
              <w:spacing w:after="0" w:line="240" w:lineRule="auto"/>
              <w:ind w:left="0"/>
              <w:jc w:val="center"/>
              <w:rPr>
                <w:rFonts w:ascii="Times New Roman" w:hAnsi="Times New Roman"/>
                <w:sz w:val="20"/>
                <w:szCs w:val="20"/>
              </w:rPr>
            </w:pPr>
            <w:r>
              <w:rPr>
                <w:rFonts w:ascii="Times New Roman" w:hAnsi="Times New Roman"/>
                <w:sz w:val="20"/>
                <w:szCs w:val="20"/>
              </w:rPr>
              <w:t>шт.</w:t>
            </w:r>
          </w:p>
        </w:tc>
        <w:tc>
          <w:tcPr>
            <w:tcW w:w="1793"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0</w:t>
            </w:r>
          </w:p>
        </w:tc>
        <w:tc>
          <w:tcPr>
            <w:tcW w:w="1698"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c"/>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w:t>
            </w:r>
          </w:p>
        </w:tc>
      </w:tr>
    </w:tbl>
    <w:p w:rsidR="00D602D4" w:rsidRDefault="00D602D4">
      <w:pPr>
        <w:pStyle w:val="13"/>
        <w:spacing w:before="0" w:line="240" w:lineRule="auto"/>
        <w:rPr>
          <w:rFonts w:ascii="Times New Roman" w:hAnsi="Times New Roman" w:cs="Times New Roman"/>
          <w:b/>
          <w:color w:val="auto"/>
          <w:sz w:val="26"/>
          <w:szCs w:val="26"/>
        </w:rPr>
      </w:pPr>
    </w:p>
    <w:p w:rsidR="00D602D4" w:rsidRDefault="000B4C86">
      <w:pPr>
        <w:pStyle w:val="13"/>
        <w:spacing w:before="0" w:line="240" w:lineRule="auto"/>
        <w:rPr>
          <w:rFonts w:ascii="Times New Roman" w:hAnsi="Times New Roman" w:cs="Times New Roman"/>
          <w:b/>
          <w:color w:val="auto"/>
          <w:sz w:val="26"/>
          <w:szCs w:val="26"/>
        </w:rPr>
      </w:pPr>
      <w:bookmarkStart w:id="91" w:name="_Toc128"/>
      <w:r>
        <w:rPr>
          <w:rFonts w:ascii="Times New Roman" w:eastAsia="Times New Roman" w:hAnsi="Times New Roman" w:cs="Times New Roman"/>
          <w:b/>
          <w:color w:val="auto"/>
          <w:sz w:val="26"/>
          <w:szCs w:val="26"/>
        </w:rPr>
        <w:t>5.6. Корпоративный секретарь</w:t>
      </w:r>
      <w:bookmarkEnd w:id="91"/>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tabs>
          <w:tab w:val="left" w:pos="1134"/>
        </w:tabs>
        <w:spacing w:after="0" w:line="240" w:lineRule="auto"/>
        <w:ind w:firstLine="709"/>
        <w:jc w:val="both"/>
        <w:outlineLvl w:val="1"/>
        <w:rPr>
          <w:rFonts w:ascii="Times New Roman" w:hAnsi="Times New Roman" w:cs="Times New Roman"/>
          <w:sz w:val="24"/>
          <w:szCs w:val="24"/>
        </w:rPr>
      </w:pPr>
      <w:bookmarkStart w:id="92" w:name="_Toc129"/>
      <w:r>
        <w:rPr>
          <w:rFonts w:ascii="Times New Roman" w:eastAsia="Times New Roman" w:hAnsi="Times New Roman" w:cs="Times New Roman"/>
          <w:sz w:val="24"/>
          <w:szCs w:val="24"/>
        </w:rPr>
        <w:t>Статус Корпоративного секретаря, требования к его кандидатуре, порядок назначения и прекращения полномочий Корпоративного секретаря, его подчиненность и порядок взаимодействия с органами управления и структурными подразделениями Общества, а также функции, права и обязанности Корпоративного секретаря регламентируются Положением о Корпоративном секретаре, утвержденном решением Совета директоров Общества от 30.09.2016 (протокол от 03.10.2016 № 206/16)</w:t>
      </w:r>
      <w:r>
        <w:rPr>
          <w:rStyle w:val="af1"/>
          <w:rFonts w:ascii="Times New Roman" w:eastAsia="Times New Roman" w:hAnsi="Times New Roman" w:cs="Times New Roman"/>
          <w:sz w:val="24"/>
          <w:szCs w:val="24"/>
        </w:rPr>
        <w:footnoteReference w:id="32"/>
      </w:r>
      <w:r>
        <w:rPr>
          <w:rFonts w:ascii="Times New Roman" w:eastAsia="Times New Roman" w:hAnsi="Times New Roman" w:cs="Times New Roman"/>
          <w:sz w:val="24"/>
          <w:szCs w:val="24"/>
        </w:rPr>
        <w:t>.</w:t>
      </w:r>
      <w:bookmarkEnd w:id="92"/>
    </w:p>
    <w:p w:rsidR="00D602D4" w:rsidRDefault="000B4C86">
      <w:pPr>
        <w:tabs>
          <w:tab w:val="left" w:pos="1134"/>
        </w:tabs>
        <w:spacing w:after="0" w:line="240" w:lineRule="auto"/>
        <w:ind w:firstLine="709"/>
        <w:jc w:val="both"/>
        <w:outlineLvl w:val="1"/>
        <w:rPr>
          <w:rFonts w:ascii="Times New Roman" w:hAnsi="Times New Roman" w:cs="Times New Roman"/>
          <w:sz w:val="24"/>
          <w:szCs w:val="24"/>
        </w:rPr>
      </w:pPr>
      <w:bookmarkStart w:id="93" w:name="_Toc130"/>
      <w:r>
        <w:rPr>
          <w:rFonts w:ascii="Times New Roman" w:eastAsia="Times New Roman" w:hAnsi="Times New Roman" w:cs="Times New Roman"/>
          <w:sz w:val="24"/>
          <w:szCs w:val="24"/>
        </w:rPr>
        <w:t xml:space="preserve">К основным функциональным обязанностям Корпоративного секретаря относятся: </w:t>
      </w:r>
      <w:bookmarkEnd w:id="93"/>
    </w:p>
    <w:p w:rsidR="00D602D4" w:rsidRDefault="000B4C86">
      <w:pPr>
        <w:pStyle w:val="ac"/>
        <w:tabs>
          <w:tab w:val="left" w:pos="851"/>
        </w:tabs>
        <w:spacing w:after="0" w:line="240" w:lineRule="auto"/>
        <w:ind w:left="0" w:firstLine="709"/>
        <w:jc w:val="both"/>
        <w:outlineLvl w:val="2"/>
        <w:rPr>
          <w:rFonts w:ascii="Times New Roman" w:hAnsi="Times New Roman" w:cs="Times New Roman"/>
          <w:sz w:val="24"/>
          <w:szCs w:val="24"/>
        </w:rPr>
      </w:pPr>
      <w:bookmarkStart w:id="94" w:name="_Toc131"/>
      <w:r>
        <w:rPr>
          <w:rFonts w:ascii="Times New Roman" w:eastAsia="Times New Roman" w:hAnsi="Times New Roman" w:cs="Times New Roman"/>
          <w:sz w:val="24"/>
          <w:szCs w:val="24"/>
        </w:rPr>
        <w:t>- участие во взаимодействии Общества с его акционерами и в предупреждении корпоративных конфликтов, в реализации установленных законодательством Российской Федерации, Уставом и внутренними документами Общества процедур, обеспечивающих реализацию прав и законных интересов акционеров, контроль за их исполнением в рамках полномочий, закрепленных трудовым договором за Корпоративным секретарем;</w:t>
      </w:r>
      <w:bookmarkEnd w:id="94"/>
    </w:p>
    <w:p w:rsidR="00D602D4" w:rsidRDefault="000B4C86">
      <w:pPr>
        <w:pStyle w:val="ac"/>
        <w:tabs>
          <w:tab w:val="left" w:pos="851"/>
        </w:tabs>
        <w:spacing w:after="0" w:line="240" w:lineRule="auto"/>
        <w:ind w:left="0" w:firstLine="709"/>
        <w:jc w:val="both"/>
        <w:outlineLvl w:val="2"/>
        <w:rPr>
          <w:rFonts w:ascii="Times New Roman" w:hAnsi="Times New Roman" w:cs="Times New Roman"/>
          <w:sz w:val="24"/>
          <w:szCs w:val="24"/>
        </w:rPr>
      </w:pPr>
      <w:bookmarkStart w:id="95" w:name="_Toc132"/>
      <w:r>
        <w:rPr>
          <w:rFonts w:ascii="Times New Roman" w:eastAsia="Times New Roman" w:hAnsi="Times New Roman" w:cs="Times New Roman"/>
          <w:sz w:val="24"/>
          <w:szCs w:val="24"/>
        </w:rPr>
        <w:t>- участие в организации подготовки и проведения Общих собраний акционеров Общества в порядке, установленном Уставом и внутренними документами Общества;</w:t>
      </w:r>
      <w:bookmarkEnd w:id="95"/>
    </w:p>
    <w:p w:rsidR="00D602D4" w:rsidRDefault="000B4C86">
      <w:pPr>
        <w:pStyle w:val="ac"/>
        <w:tabs>
          <w:tab w:val="left" w:pos="851"/>
        </w:tabs>
        <w:spacing w:after="0" w:line="240" w:lineRule="auto"/>
        <w:ind w:left="0" w:firstLine="709"/>
        <w:jc w:val="both"/>
        <w:outlineLvl w:val="2"/>
        <w:rPr>
          <w:rFonts w:ascii="Times New Roman" w:hAnsi="Times New Roman" w:cs="Times New Roman"/>
          <w:sz w:val="24"/>
          <w:szCs w:val="24"/>
        </w:rPr>
      </w:pPr>
      <w:bookmarkStart w:id="96" w:name="_Toc133"/>
      <w:r>
        <w:rPr>
          <w:rFonts w:ascii="Times New Roman" w:eastAsia="Times New Roman" w:hAnsi="Times New Roman" w:cs="Times New Roman"/>
          <w:sz w:val="24"/>
          <w:szCs w:val="24"/>
        </w:rPr>
        <w:t>- участие в реализации политики Общества по раскрытию информации, а также обеспечение хранения корпоративных документов Общества в рамках полномочий, закрепленных трудовым договором за Корпоративным секретарем;</w:t>
      </w:r>
      <w:bookmarkEnd w:id="96"/>
    </w:p>
    <w:p w:rsidR="00D602D4" w:rsidRDefault="000B4C86">
      <w:pPr>
        <w:pStyle w:val="ac"/>
        <w:tabs>
          <w:tab w:val="left" w:pos="851"/>
        </w:tabs>
        <w:spacing w:after="0" w:line="240" w:lineRule="auto"/>
        <w:ind w:left="0" w:firstLine="709"/>
        <w:jc w:val="both"/>
        <w:outlineLvl w:val="2"/>
        <w:rPr>
          <w:rFonts w:ascii="Times New Roman" w:hAnsi="Times New Roman" w:cs="Times New Roman"/>
          <w:sz w:val="24"/>
          <w:szCs w:val="24"/>
        </w:rPr>
      </w:pPr>
      <w:bookmarkStart w:id="97" w:name="_Toc134"/>
      <w:r>
        <w:rPr>
          <w:rFonts w:ascii="Times New Roman" w:eastAsia="Times New Roman" w:hAnsi="Times New Roman" w:cs="Times New Roman"/>
          <w:sz w:val="24"/>
          <w:szCs w:val="24"/>
        </w:rPr>
        <w:t>- обеспечение текущей деятельности Совета директоров;</w:t>
      </w:r>
      <w:bookmarkEnd w:id="97"/>
    </w:p>
    <w:p w:rsidR="00D602D4" w:rsidRDefault="000B4C86">
      <w:pPr>
        <w:pStyle w:val="ac"/>
        <w:tabs>
          <w:tab w:val="left" w:pos="851"/>
        </w:tabs>
        <w:spacing w:after="0" w:line="240" w:lineRule="auto"/>
        <w:ind w:left="0" w:firstLine="709"/>
        <w:jc w:val="both"/>
        <w:outlineLvl w:val="2"/>
        <w:rPr>
          <w:rFonts w:ascii="Times New Roman" w:hAnsi="Times New Roman" w:cs="Times New Roman"/>
          <w:sz w:val="24"/>
          <w:szCs w:val="24"/>
        </w:rPr>
      </w:pPr>
      <w:bookmarkStart w:id="98" w:name="_Toc135"/>
      <w:r>
        <w:rPr>
          <w:rFonts w:ascii="Times New Roman" w:eastAsia="Times New Roman" w:hAnsi="Times New Roman" w:cs="Times New Roman"/>
          <w:sz w:val="24"/>
          <w:szCs w:val="24"/>
        </w:rPr>
        <w:t xml:space="preserve">-обеспечение текущей деятельности Комитетов Совета директоров в случае исполнения функций Секретаря Комитетов Совета директоров Общества в соответствии с Положениями о Комитетах Совета директоров Общества.  </w:t>
      </w:r>
      <w:bookmarkEnd w:id="98"/>
    </w:p>
    <w:p w:rsidR="00D602D4" w:rsidRDefault="000B4C86">
      <w:pPr>
        <w:pStyle w:val="ac"/>
        <w:tabs>
          <w:tab w:val="left" w:pos="851"/>
        </w:tabs>
        <w:spacing w:after="0" w:line="240" w:lineRule="auto"/>
        <w:ind w:left="0" w:firstLine="709"/>
        <w:jc w:val="both"/>
        <w:outlineLvl w:val="2"/>
        <w:rPr>
          <w:rFonts w:ascii="Times New Roman" w:hAnsi="Times New Roman" w:cs="Times New Roman"/>
          <w:sz w:val="24"/>
          <w:szCs w:val="24"/>
        </w:rPr>
      </w:pPr>
      <w:bookmarkStart w:id="99" w:name="_Toc136"/>
      <w:r>
        <w:rPr>
          <w:rFonts w:ascii="Times New Roman" w:eastAsia="Times New Roman" w:hAnsi="Times New Roman" w:cs="Times New Roman"/>
          <w:sz w:val="24"/>
          <w:szCs w:val="24"/>
        </w:rPr>
        <w:t xml:space="preserve">Корпоративный секретарь вправе: </w:t>
      </w:r>
      <w:bookmarkEnd w:id="99"/>
    </w:p>
    <w:p w:rsidR="00D602D4" w:rsidRDefault="000B4C86">
      <w:pPr>
        <w:pStyle w:val="ac"/>
        <w:tabs>
          <w:tab w:val="left" w:pos="851"/>
        </w:tabs>
        <w:spacing w:after="0" w:line="240" w:lineRule="auto"/>
        <w:ind w:left="0" w:firstLine="709"/>
        <w:jc w:val="both"/>
        <w:outlineLvl w:val="2"/>
        <w:rPr>
          <w:rFonts w:ascii="Times New Roman" w:hAnsi="Times New Roman" w:cs="Times New Roman"/>
          <w:sz w:val="24"/>
          <w:szCs w:val="24"/>
        </w:rPr>
      </w:pPr>
      <w:bookmarkStart w:id="100" w:name="_Toc137"/>
      <w:r>
        <w:rPr>
          <w:rFonts w:ascii="Times New Roman" w:eastAsia="Times New Roman" w:hAnsi="Times New Roman" w:cs="Times New Roman"/>
          <w:sz w:val="24"/>
          <w:szCs w:val="24"/>
        </w:rPr>
        <w:t>- запрашивать и получать документы Общества;</w:t>
      </w:r>
      <w:bookmarkEnd w:id="100"/>
    </w:p>
    <w:p w:rsidR="00D602D4" w:rsidRDefault="000B4C86">
      <w:pPr>
        <w:pStyle w:val="ac"/>
        <w:tabs>
          <w:tab w:val="left" w:pos="851"/>
        </w:tabs>
        <w:spacing w:after="0" w:line="240" w:lineRule="auto"/>
        <w:ind w:left="0" w:firstLine="709"/>
        <w:jc w:val="both"/>
        <w:outlineLvl w:val="2"/>
        <w:rPr>
          <w:rFonts w:ascii="Times New Roman" w:hAnsi="Times New Roman" w:cs="Times New Roman"/>
          <w:sz w:val="24"/>
          <w:szCs w:val="24"/>
        </w:rPr>
      </w:pPr>
      <w:bookmarkStart w:id="101" w:name="_Toc138"/>
      <w:r>
        <w:rPr>
          <w:rFonts w:ascii="Times New Roman" w:eastAsia="Times New Roman" w:hAnsi="Times New Roman" w:cs="Times New Roman"/>
          <w:sz w:val="24"/>
          <w:szCs w:val="24"/>
        </w:rPr>
        <w:t>- выносить по поручению Председателя Совета директоров Общества на рассмотрение органов управления Общества вопросы в рамках своей компетенции;</w:t>
      </w:r>
      <w:bookmarkEnd w:id="101"/>
    </w:p>
    <w:p w:rsidR="00D602D4" w:rsidRDefault="000B4C86">
      <w:pPr>
        <w:pStyle w:val="ac"/>
        <w:tabs>
          <w:tab w:val="left" w:pos="851"/>
        </w:tabs>
        <w:spacing w:after="0" w:line="240" w:lineRule="auto"/>
        <w:ind w:left="0" w:firstLine="709"/>
        <w:jc w:val="both"/>
        <w:outlineLvl w:val="2"/>
        <w:rPr>
          <w:rFonts w:ascii="Times New Roman" w:hAnsi="Times New Roman" w:cs="Times New Roman"/>
          <w:sz w:val="24"/>
          <w:szCs w:val="24"/>
        </w:rPr>
      </w:pPr>
      <w:bookmarkStart w:id="102" w:name="_Toc139"/>
      <w:r>
        <w:rPr>
          <w:rFonts w:ascii="Times New Roman" w:eastAsia="Times New Roman" w:hAnsi="Times New Roman" w:cs="Times New Roman"/>
          <w:sz w:val="24"/>
          <w:szCs w:val="24"/>
        </w:rPr>
        <w:t>- контролировать соблюдение должностными лицами и работниками Общества Устава и внутренних документов Общества в части вопросов, относящихся к функциям Корпоративного секретаря Общества;</w:t>
      </w:r>
      <w:bookmarkEnd w:id="102"/>
    </w:p>
    <w:p w:rsidR="00D602D4" w:rsidRDefault="000B4C86">
      <w:pPr>
        <w:pStyle w:val="ac"/>
        <w:tabs>
          <w:tab w:val="left" w:pos="851"/>
        </w:tabs>
        <w:spacing w:after="0" w:line="240" w:lineRule="auto"/>
        <w:ind w:left="0" w:firstLine="709"/>
        <w:jc w:val="both"/>
        <w:outlineLvl w:val="2"/>
        <w:rPr>
          <w:rFonts w:ascii="Times New Roman" w:hAnsi="Times New Roman" w:cs="Times New Roman"/>
          <w:sz w:val="24"/>
          <w:szCs w:val="24"/>
        </w:rPr>
      </w:pPr>
      <w:bookmarkStart w:id="103" w:name="_Toc140"/>
      <w:r>
        <w:rPr>
          <w:rFonts w:ascii="Times New Roman" w:eastAsia="Times New Roman" w:hAnsi="Times New Roman" w:cs="Times New Roman"/>
          <w:sz w:val="24"/>
          <w:szCs w:val="24"/>
        </w:rPr>
        <w:t>- осуществлять взаимодействие с Председателем Совета директоров Общества и Председателями Комитетов Совета директоров Общества.</w:t>
      </w:r>
      <w:bookmarkEnd w:id="103"/>
    </w:p>
    <w:p w:rsidR="00D602D4" w:rsidRDefault="000B4C86">
      <w:pPr>
        <w:tabs>
          <w:tab w:val="left" w:pos="1134"/>
        </w:tabs>
        <w:spacing w:after="0" w:line="240" w:lineRule="auto"/>
        <w:ind w:firstLine="709"/>
        <w:jc w:val="both"/>
        <w:outlineLvl w:val="1"/>
        <w:rPr>
          <w:rFonts w:ascii="Times New Roman" w:hAnsi="Times New Roman" w:cs="Times New Roman"/>
          <w:sz w:val="24"/>
          <w:szCs w:val="24"/>
        </w:rPr>
      </w:pPr>
      <w:bookmarkStart w:id="104" w:name="_Toc141"/>
      <w:r>
        <w:rPr>
          <w:rFonts w:ascii="Times New Roman" w:eastAsia="Times New Roman" w:hAnsi="Times New Roman" w:cs="Times New Roman"/>
          <w:sz w:val="24"/>
          <w:szCs w:val="24"/>
        </w:rPr>
        <w:t xml:space="preserve">Для обеспечения достаточной независимости от исполнительных органов Общества Корпоративный секретарь избирается Советом директоров Общества и функционально ему подчиняется. Административное подчинение определяется утвержденной в Обществе организационной структурой.  </w:t>
      </w:r>
      <w:bookmarkEnd w:id="104"/>
    </w:p>
    <w:p w:rsidR="00D602D4" w:rsidRDefault="000B4C86">
      <w:pPr>
        <w:pStyle w:val="1f7"/>
        <w:spacing w:before="0"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соответствии с решением Совета директоров Общества от 23.04.2019 (протокол от 25.04.2019 № 320/19) функции Корпоративного секретаря Общества осуществляет Хендогина Наталья Витальевна. </w:t>
      </w:r>
    </w:p>
    <w:p w:rsidR="00D602D4" w:rsidRDefault="000B4C86">
      <w:pPr>
        <w:pStyle w:val="1f7"/>
        <w:spacing w:after="0"/>
        <w:ind w:firstLine="709"/>
        <w:jc w:val="right"/>
        <w:rPr>
          <w:rFonts w:ascii="Times New Roman" w:hAnsi="Times New Roman" w:cs="Times New Roman"/>
          <w:highlight w:val="yellow"/>
        </w:rPr>
      </w:pPr>
      <w:r>
        <w:rPr>
          <w:rFonts w:ascii="Times New Roman" w:eastAsia="Times New Roman" w:hAnsi="Times New Roman" w:cs="Times New Roman"/>
          <w:sz w:val="24"/>
          <w:szCs w:val="24"/>
          <w:highlight w:val="white"/>
        </w:rPr>
        <w:t>Таблица 97</w:t>
      </w:r>
    </w:p>
    <w:tbl>
      <w:tblPr>
        <w:tblStyle w:val="83"/>
        <w:tblW w:w="9493" w:type="dxa"/>
        <w:jc w:val="center"/>
        <w:tblInd w:w="0" w:type="dxa"/>
        <w:tblLook w:val="04A0" w:firstRow="1" w:lastRow="0" w:firstColumn="1" w:lastColumn="0" w:noHBand="0" w:noVBand="1"/>
      </w:tblPr>
      <w:tblGrid>
        <w:gridCol w:w="2547"/>
        <w:gridCol w:w="6946"/>
      </w:tblGrid>
      <w:tr w:rsidR="00D602D4">
        <w:trPr>
          <w:jc w:val="center"/>
        </w:trPr>
        <w:tc>
          <w:tcPr>
            <w:tcW w:w="2547" w:type="dxa"/>
            <w:tcBorders>
              <w:top w:val="single" w:sz="4" w:space="0" w:color="000000"/>
              <w:left w:val="single" w:sz="4" w:space="0" w:color="000000"/>
              <w:bottom w:val="single" w:sz="4" w:space="0" w:color="000000"/>
              <w:right w:val="single" w:sz="4" w:space="0" w:color="000000"/>
            </w:tcBorders>
          </w:tcPr>
          <w:p w:rsidR="00D602D4" w:rsidRDefault="000B4C86">
            <w:pPr>
              <w:pStyle w:val="1f7"/>
              <w:spacing w:after="0"/>
              <w:jc w:val="both"/>
              <w:rPr>
                <w:rFonts w:ascii="Times New Roman" w:hAnsi="Times New Roman" w:cs="Times New Roman"/>
                <w:sz w:val="22"/>
              </w:rPr>
            </w:pPr>
            <w:r>
              <w:rPr>
                <w:rFonts w:ascii="Times New Roman" w:eastAsia="Times New Roman" w:hAnsi="Times New Roman" w:cs="Times New Roman"/>
                <w:szCs w:val="20"/>
              </w:rPr>
              <w:t>Хендогина</w:t>
            </w:r>
          </w:p>
          <w:p w:rsidR="00D602D4" w:rsidRDefault="000B4C86">
            <w:pPr>
              <w:pStyle w:val="1f7"/>
              <w:spacing w:after="0"/>
              <w:jc w:val="both"/>
              <w:rPr>
                <w:rFonts w:ascii="Times New Roman" w:hAnsi="Times New Roman" w:cs="Times New Roman"/>
                <w:sz w:val="22"/>
              </w:rPr>
            </w:pPr>
            <w:r>
              <w:rPr>
                <w:rFonts w:ascii="Times New Roman" w:eastAsia="Times New Roman" w:hAnsi="Times New Roman" w:cs="Times New Roman"/>
                <w:szCs w:val="20"/>
              </w:rPr>
              <w:t>Наталья Витальевна</w:t>
            </w:r>
          </w:p>
        </w:tc>
        <w:tc>
          <w:tcPr>
            <w:tcW w:w="6946" w:type="dxa"/>
            <w:tcBorders>
              <w:top w:val="single" w:sz="4" w:space="0" w:color="000000"/>
              <w:left w:val="single" w:sz="4" w:space="0" w:color="000000"/>
              <w:bottom w:val="single" w:sz="4" w:space="0" w:color="000000"/>
              <w:right w:val="single" w:sz="4" w:space="0" w:color="000000"/>
            </w:tcBorders>
          </w:tcPr>
          <w:p w:rsidR="00D602D4" w:rsidRDefault="000B4C86">
            <w:pPr>
              <w:pStyle w:val="1f7"/>
              <w:spacing w:after="0"/>
              <w:jc w:val="both"/>
              <w:rPr>
                <w:rFonts w:ascii="Times New Roman" w:hAnsi="Times New Roman" w:cs="Times New Roman"/>
                <w:sz w:val="22"/>
              </w:rPr>
            </w:pPr>
            <w:r>
              <w:rPr>
                <w:rFonts w:ascii="Times New Roman" w:eastAsia="Times New Roman" w:hAnsi="Times New Roman" w:cs="Times New Roman"/>
                <w:szCs w:val="20"/>
              </w:rPr>
              <w:t>Родилась в 1978 году</w:t>
            </w:r>
          </w:p>
          <w:p w:rsidR="00D602D4" w:rsidRDefault="000B4C86">
            <w:pPr>
              <w:jc w:val="both"/>
              <w:rPr>
                <w:rFonts w:ascii="Times New Roman" w:hAnsi="Times New Roman" w:cs="Times New Roman"/>
              </w:rPr>
            </w:pPr>
            <w:r>
              <w:rPr>
                <w:rFonts w:ascii="Times New Roman" w:eastAsia="Times New Roman" w:hAnsi="Times New Roman" w:cs="Times New Roman"/>
                <w:sz w:val="20"/>
                <w:szCs w:val="20"/>
              </w:rPr>
              <w:t>В 2000 году окончила Красноярский государственный университет, по специальности «юриспруденция»; в 2008 – 2009 гг. прошла обучение по курсу «Экономика предприятия» в Красноярском государственном аграрном университете.</w:t>
            </w:r>
          </w:p>
          <w:p w:rsidR="00D602D4" w:rsidRDefault="000B4C86">
            <w:pPr>
              <w:jc w:val="both"/>
              <w:rPr>
                <w:rFonts w:ascii="Times New Roman" w:hAnsi="Times New Roman" w:cs="Times New Roman"/>
              </w:rPr>
            </w:pPr>
            <w:r>
              <w:rPr>
                <w:rFonts w:ascii="Times New Roman" w:eastAsia="Times New Roman" w:hAnsi="Times New Roman" w:cs="Times New Roman"/>
                <w:sz w:val="20"/>
                <w:szCs w:val="20"/>
              </w:rPr>
              <w:t>Профессиональный опыт:</w:t>
            </w:r>
          </w:p>
          <w:p w:rsidR="00D602D4" w:rsidRDefault="000B4C86">
            <w:pPr>
              <w:jc w:val="both"/>
              <w:rPr>
                <w:rFonts w:ascii="Times New Roman" w:hAnsi="Times New Roman" w:cs="Times New Roman"/>
              </w:rPr>
            </w:pPr>
            <w:r>
              <w:rPr>
                <w:rFonts w:ascii="Times New Roman" w:eastAsia="Times New Roman" w:hAnsi="Times New Roman" w:cs="Times New Roman"/>
                <w:sz w:val="20"/>
                <w:szCs w:val="20"/>
              </w:rPr>
              <w:t xml:space="preserve">С 2006 года – по настоящее время главный специалист департамента корпоративного управления и взаимодействия с акционерами; главный эксперт </w:t>
            </w:r>
            <w:r>
              <w:rPr>
                <w:rFonts w:ascii="Times New Roman" w:eastAsia="Times New Roman" w:hAnsi="Times New Roman" w:cs="Times New Roman"/>
                <w:sz w:val="20"/>
                <w:szCs w:val="20"/>
              </w:rPr>
              <w:lastRenderedPageBreak/>
              <w:t>департамента корпоративного управления и взаимодействия с акционерами; руководитель группы (по корпоративной работе) департамента корпоративного управления и взаимодействия с акционерами; корпоративный секретарь ПАО «Россети Сибирь».</w:t>
            </w:r>
          </w:p>
        </w:tc>
      </w:tr>
    </w:tbl>
    <w:p w:rsidR="00D602D4" w:rsidRDefault="00D602D4">
      <w:pPr>
        <w:widowControl w:val="0"/>
        <w:spacing w:after="0" w:line="240" w:lineRule="auto"/>
        <w:jc w:val="both"/>
        <w:rPr>
          <w:rFonts w:ascii="Times New Roman" w:eastAsia="Calibri" w:hAnsi="Times New Roman" w:cs="Times New Roman"/>
          <w:bCs/>
          <w:iCs/>
          <w:sz w:val="24"/>
          <w:szCs w:val="24"/>
        </w:rPr>
      </w:pP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В органах управления и контроля других организаций в период исполнения обязанностей Корпоративного секретаря ПАО «Россети Сибирь» участия не принимала.</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 xml:space="preserve">Акциями ПАО «Россети Сибирь», а также акциями или долями его подконтрольных организаций не владеет. </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Сделки по приобретению и/или отчуждению акций Общества не совершала.</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Корпоративному секретарю займы Обществом, а также юридическим лицом из группы организаций, в состав которого входит Общество, не выдавались.</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Согласие на раскрытие персональных данных получено.</w:t>
      </w:r>
    </w:p>
    <w:p w:rsidR="00D602D4" w:rsidRDefault="000B4C86">
      <w:pPr>
        <w:widowControl w:val="0"/>
        <w:spacing w:after="0" w:line="240" w:lineRule="auto"/>
        <w:ind w:firstLine="709"/>
        <w:jc w:val="both"/>
        <w:rPr>
          <w:rFonts w:ascii="Times New Roman" w:eastAsia="Calibri" w:hAnsi="Times New Roman" w:cs="Times New Roman"/>
          <w:bCs/>
          <w:iCs/>
          <w:sz w:val="24"/>
          <w:szCs w:val="24"/>
        </w:rPr>
      </w:pPr>
      <w:r>
        <w:rPr>
          <w:rFonts w:ascii="Times New Roman" w:eastAsia="Calibri" w:hAnsi="Times New Roman" w:cs="Times New Roman"/>
          <w:bCs/>
          <w:iCs/>
          <w:sz w:val="24"/>
          <w:szCs w:val="24"/>
        </w:rPr>
        <w:t>Конфликт интересов отсутствует.</w:t>
      </w:r>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pStyle w:val="13"/>
        <w:spacing w:before="0" w:line="240" w:lineRule="auto"/>
        <w:rPr>
          <w:rFonts w:ascii="Times New Roman" w:hAnsi="Times New Roman" w:cs="Times New Roman"/>
          <w:b/>
          <w:bCs/>
          <w:color w:val="auto"/>
          <w:sz w:val="26"/>
          <w:szCs w:val="26"/>
        </w:rPr>
      </w:pPr>
      <w:bookmarkStart w:id="105" w:name="_Toc142"/>
      <w:r>
        <w:rPr>
          <w:rFonts w:ascii="Times New Roman" w:eastAsia="Times New Roman" w:hAnsi="Times New Roman" w:cs="Times New Roman"/>
          <w:b/>
          <w:color w:val="auto"/>
          <w:sz w:val="26"/>
          <w:szCs w:val="26"/>
        </w:rPr>
        <w:t>5.7. Исполнительные органы управления</w:t>
      </w:r>
      <w:bookmarkEnd w:id="105"/>
    </w:p>
    <w:p w:rsidR="00D602D4" w:rsidRDefault="00D602D4">
      <w:pPr>
        <w:pStyle w:val="220"/>
        <w:spacing w:after="0"/>
        <w:ind w:left="0" w:firstLine="709"/>
      </w:pPr>
    </w:p>
    <w:p w:rsidR="00D602D4" w:rsidRDefault="000B4C86">
      <w:pPr>
        <w:pStyle w:val="220"/>
        <w:spacing w:after="0"/>
        <w:ind w:left="0" w:firstLine="709"/>
      </w:pPr>
      <w:bookmarkStart w:id="106" w:name="_Toc143"/>
      <w:r>
        <w:t>Правление</w:t>
      </w:r>
      <w:bookmarkEnd w:id="106"/>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sz w:val="24"/>
          <w:szCs w:val="24"/>
        </w:rPr>
        <w:t xml:space="preserve">Коллегиальный исполнительный орган Общества - Правление - действует на основании Устава Общества и Положения о </w:t>
      </w:r>
      <w:r>
        <w:rPr>
          <w:rFonts w:ascii="Times New Roman" w:eastAsia="Times New Roman" w:hAnsi="Times New Roman" w:cs="Times New Roman"/>
          <w:sz w:val="24"/>
          <w:szCs w:val="24"/>
        </w:rPr>
        <w:t>Правлении</w:t>
      </w:r>
      <w:r>
        <w:rPr>
          <w:rStyle w:val="af1"/>
          <w:rFonts w:ascii="Times New Roman" w:hAnsi="Times New Roman" w:cs="Times New Roman"/>
          <w:sz w:val="24"/>
          <w:szCs w:val="24"/>
        </w:rPr>
        <w:t xml:space="preserve"> </w:t>
      </w:r>
      <w:r>
        <w:rPr>
          <w:rStyle w:val="af1"/>
          <w:rFonts w:ascii="Times New Roman" w:hAnsi="Times New Roman" w:cs="Times New Roman"/>
          <w:sz w:val="24"/>
          <w:szCs w:val="24"/>
        </w:rPr>
        <w:footnoteReference w:id="33"/>
      </w:r>
      <w:r>
        <w:rPr>
          <w:rFonts w:ascii="Times New Roman" w:eastAsia="Times New Roman" w:hAnsi="Times New Roman" w:cs="Times New Roman"/>
          <w:sz w:val="24"/>
          <w:szCs w:val="24"/>
        </w:rPr>
        <w:t>.</w:t>
      </w:r>
      <w:r>
        <w:rPr>
          <w:rFonts w:ascii="Times New Roman" w:hAnsi="Times New Roman" w:cs="Times New Roman"/>
          <w:sz w:val="24"/>
          <w:szCs w:val="24"/>
        </w:rPr>
        <w:t xml:space="preserve"> </w:t>
      </w:r>
    </w:p>
    <w:p w:rsidR="00D602D4" w:rsidRDefault="000B4C86">
      <w:pPr>
        <w:widowControl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Правление Общества отвечает за практическую реализацию целей, стратегии развития и политики Общества и осуществляет руководство текущей деятельностью Общества в рамках компетенции, определенной Уставом Общества.</w:t>
      </w:r>
    </w:p>
    <w:p w:rsidR="00D602D4" w:rsidRDefault="000B4C86">
      <w:pPr>
        <w:widowControl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Основными задачами Правления являются:</w:t>
      </w:r>
    </w:p>
    <w:p w:rsidR="00D602D4" w:rsidRDefault="000B4C86">
      <w:pPr>
        <w:widowControl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обеспечение соблюдения прав и законных интересов акционеров Общества;</w:t>
      </w:r>
    </w:p>
    <w:p w:rsidR="00D602D4" w:rsidRDefault="000B4C86">
      <w:pPr>
        <w:widowControl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разработка предложений по стратегии развития Общества;</w:t>
      </w:r>
    </w:p>
    <w:p w:rsidR="00D602D4" w:rsidRDefault="000B4C86">
      <w:pPr>
        <w:widowControl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реализация финансово-хозяйственной политики Общества, выработка решений по важнейшим вопросам его текущей хозяйственной деятельности и координации работы его подразделений;</w:t>
      </w:r>
    </w:p>
    <w:p w:rsidR="00D602D4" w:rsidRDefault="000B4C86">
      <w:pPr>
        <w:widowControl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повышение эффективности системы внутреннего контроля и мониторинга рисков;</w:t>
      </w:r>
    </w:p>
    <w:p w:rsidR="00D602D4" w:rsidRDefault="000B4C86">
      <w:pPr>
        <w:widowControl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обеспечение достижения высокого уровня доходности активов Общества и максимальной прибыли от деятельности Общества.</w:t>
      </w:r>
    </w:p>
    <w:p w:rsidR="00D602D4" w:rsidRDefault="000B4C86">
      <w:pPr>
        <w:widowControl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В соответствии с подпунктом 15 пункта 15.1 статьи 15 Устава Общества определение количественного состава Правления Общества, избрание членов Правления Общества, установление выплачиваемых им вознаграждений и компенсаций, досрочное прекращение их полномочий относится к компетенции Совета директоров Общества.</w:t>
      </w:r>
    </w:p>
    <w:p w:rsidR="00D602D4" w:rsidRDefault="000B4C86">
      <w:pPr>
        <w:widowControl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В 2024 году состоялось 60 заседаний Правления Общества (59 в заочной форме и 1 в очной форме), на которых был рассмотрен </w:t>
      </w:r>
      <w:r>
        <w:rPr>
          <w:rFonts w:ascii="Times New Roman" w:eastAsia="Times New Roman" w:hAnsi="Times New Roman"/>
          <w:sz w:val="24"/>
          <w:szCs w:val="24"/>
          <w:highlight w:val="white"/>
        </w:rPr>
        <w:t>181 в</w:t>
      </w:r>
      <w:r>
        <w:rPr>
          <w:rFonts w:ascii="Times New Roman" w:eastAsia="Times New Roman" w:hAnsi="Times New Roman"/>
          <w:sz w:val="24"/>
          <w:szCs w:val="24"/>
        </w:rPr>
        <w:t>опрос.</w:t>
      </w:r>
    </w:p>
    <w:p w:rsidR="00D602D4" w:rsidRDefault="000B4C86">
      <w:pPr>
        <w:widowControl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На заседаниях Правления Общества в отчетном году рассматривались вопросы текущей деятельности Общества и ДЗО, в том числе производственно-финансовые вопросы, вопросы бизнес-планирования и инвестиций, отчеты заместителей Генерального директора по направлениям деятельности, а также рекомендации Совету директоров.</w:t>
      </w:r>
    </w:p>
    <w:p w:rsidR="00D602D4" w:rsidRDefault="000B4C86">
      <w:pPr>
        <w:widowControl w:val="0"/>
        <w:spacing w:after="0" w:line="240" w:lineRule="auto"/>
        <w:ind w:firstLine="709"/>
        <w:jc w:val="right"/>
        <w:rPr>
          <w:rFonts w:ascii="Times New Roman" w:eastAsia="Times New Roman" w:hAnsi="Times New Roman"/>
          <w:sz w:val="24"/>
          <w:szCs w:val="24"/>
        </w:rPr>
      </w:pPr>
      <w:r>
        <w:rPr>
          <w:rFonts w:ascii="Times New Roman" w:eastAsia="Times New Roman" w:hAnsi="Times New Roman"/>
          <w:sz w:val="24"/>
          <w:szCs w:val="24"/>
          <w:highlight w:val="white"/>
        </w:rPr>
        <w:t>Таблица 9</w:t>
      </w:r>
      <w:r>
        <w:rPr>
          <w:rFonts w:ascii="Times New Roman" w:eastAsia="Times New Roman" w:hAnsi="Times New Roman"/>
          <w:sz w:val="24"/>
          <w:szCs w:val="24"/>
        </w:rPr>
        <w:t>8</w:t>
      </w:r>
    </w:p>
    <w:p w:rsidR="00D602D4" w:rsidRDefault="000B4C86">
      <w:pPr>
        <w:widowControl w:val="0"/>
        <w:spacing w:after="0" w:line="240" w:lineRule="auto"/>
        <w:ind w:firstLine="709"/>
        <w:jc w:val="center"/>
        <w:rPr>
          <w:rFonts w:ascii="Times New Roman" w:eastAsia="Times New Roman" w:hAnsi="Times New Roman"/>
          <w:b/>
          <w:sz w:val="24"/>
          <w:szCs w:val="24"/>
        </w:rPr>
      </w:pPr>
      <w:r>
        <w:rPr>
          <w:rFonts w:ascii="Times New Roman" w:eastAsia="Times New Roman" w:hAnsi="Times New Roman"/>
          <w:b/>
          <w:sz w:val="24"/>
          <w:szCs w:val="24"/>
        </w:rPr>
        <w:t>Формы проведения заседаний Правления</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1"/>
        <w:gridCol w:w="711"/>
        <w:gridCol w:w="707"/>
        <w:gridCol w:w="992"/>
        <w:gridCol w:w="1134"/>
        <w:gridCol w:w="1276"/>
      </w:tblGrid>
      <w:tr w:rsidR="00D602D4">
        <w:trPr>
          <w:cantSplit/>
          <w:trHeight w:val="385"/>
          <w:jc w:val="center"/>
        </w:trPr>
        <w:tc>
          <w:tcPr>
            <w:tcW w:w="4531" w:type="dxa"/>
            <w:vMerge w:val="restart"/>
            <w:vAlign w:val="center"/>
          </w:tcPr>
          <w:p w:rsidR="00D602D4" w:rsidRDefault="000B4C86">
            <w:pPr>
              <w:widowControl w:val="0"/>
              <w:spacing w:after="0" w:line="240" w:lineRule="auto"/>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Показатели</w:t>
            </w:r>
          </w:p>
        </w:tc>
        <w:tc>
          <w:tcPr>
            <w:tcW w:w="711" w:type="dxa"/>
            <w:vMerge w:val="restart"/>
            <w:vAlign w:val="center"/>
          </w:tcPr>
          <w:p w:rsidR="00D602D4" w:rsidRDefault="000B4C86">
            <w:pPr>
              <w:widowControl w:val="0"/>
              <w:tabs>
                <w:tab w:val="left" w:pos="34"/>
              </w:tabs>
              <w:spacing w:after="0" w:line="240" w:lineRule="auto"/>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 Ед.</w:t>
            </w:r>
          </w:p>
          <w:p w:rsidR="00D602D4" w:rsidRDefault="000B4C86">
            <w:pPr>
              <w:widowControl w:val="0"/>
              <w:tabs>
                <w:tab w:val="left" w:pos="34"/>
              </w:tabs>
              <w:spacing w:after="0" w:line="240" w:lineRule="auto"/>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изм.</w:t>
            </w:r>
          </w:p>
        </w:tc>
        <w:tc>
          <w:tcPr>
            <w:tcW w:w="4109" w:type="dxa"/>
            <w:gridSpan w:val="4"/>
            <w:vAlign w:val="center"/>
          </w:tcPr>
          <w:p w:rsidR="00D602D4" w:rsidRDefault="000B4C86">
            <w:pPr>
              <w:widowControl w:val="0"/>
              <w:spacing w:after="0" w:line="240" w:lineRule="auto"/>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Период</w:t>
            </w:r>
          </w:p>
        </w:tc>
      </w:tr>
      <w:tr w:rsidR="00D602D4">
        <w:trPr>
          <w:cantSplit/>
          <w:trHeight w:val="461"/>
          <w:jc w:val="center"/>
        </w:trPr>
        <w:tc>
          <w:tcPr>
            <w:tcW w:w="4531" w:type="dxa"/>
            <w:vMerge/>
            <w:vAlign w:val="center"/>
          </w:tcPr>
          <w:p w:rsidR="00D602D4" w:rsidRDefault="00D602D4">
            <w:pPr>
              <w:widowControl w:val="0"/>
              <w:spacing w:after="0" w:line="240" w:lineRule="auto"/>
              <w:jc w:val="center"/>
              <w:rPr>
                <w:rFonts w:ascii="Times New Roman" w:eastAsia="Times New Roman" w:hAnsi="Times New Roman"/>
                <w:b/>
                <w:bCs/>
                <w:color w:val="000000"/>
                <w:sz w:val="18"/>
                <w:szCs w:val="18"/>
                <w:lang w:eastAsia="ru-RU"/>
              </w:rPr>
            </w:pPr>
          </w:p>
        </w:tc>
        <w:tc>
          <w:tcPr>
            <w:tcW w:w="711" w:type="dxa"/>
            <w:vMerge/>
            <w:vAlign w:val="center"/>
          </w:tcPr>
          <w:p w:rsidR="00D602D4" w:rsidRDefault="00D602D4">
            <w:pPr>
              <w:widowControl w:val="0"/>
              <w:tabs>
                <w:tab w:val="left" w:pos="34"/>
              </w:tabs>
              <w:spacing w:after="0" w:line="240" w:lineRule="auto"/>
              <w:jc w:val="both"/>
              <w:rPr>
                <w:rFonts w:ascii="Times New Roman" w:eastAsia="Times New Roman" w:hAnsi="Times New Roman"/>
                <w:b/>
                <w:bCs/>
                <w:color w:val="000000"/>
                <w:sz w:val="18"/>
                <w:szCs w:val="18"/>
                <w:lang w:eastAsia="ru-RU"/>
              </w:rPr>
            </w:pPr>
          </w:p>
        </w:tc>
        <w:tc>
          <w:tcPr>
            <w:tcW w:w="707" w:type="dxa"/>
            <w:vAlign w:val="center"/>
          </w:tcPr>
          <w:p w:rsidR="00D602D4" w:rsidRDefault="000B4C86">
            <w:pPr>
              <w:widowControl w:val="0"/>
              <w:tabs>
                <w:tab w:val="left" w:pos="24"/>
              </w:tabs>
              <w:spacing w:after="0" w:line="240" w:lineRule="auto"/>
              <w:jc w:val="center"/>
              <w:rPr>
                <w:rFonts w:ascii="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 xml:space="preserve">2022 </w:t>
            </w:r>
          </w:p>
          <w:p w:rsidR="00D602D4" w:rsidRDefault="000B4C86">
            <w:pPr>
              <w:widowControl w:val="0"/>
              <w:tabs>
                <w:tab w:val="left" w:pos="24"/>
              </w:tabs>
              <w:spacing w:after="0" w:line="240" w:lineRule="auto"/>
              <w:jc w:val="center"/>
              <w:rPr>
                <w:rFonts w:ascii="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год</w:t>
            </w:r>
          </w:p>
        </w:tc>
        <w:tc>
          <w:tcPr>
            <w:tcW w:w="992" w:type="dxa"/>
            <w:shd w:val="clear" w:color="FFFFFF" w:fill="FFFFFF"/>
            <w:vAlign w:val="center"/>
          </w:tcPr>
          <w:p w:rsidR="00D602D4" w:rsidRDefault="000B4C86">
            <w:pPr>
              <w:widowControl w:val="0"/>
              <w:tabs>
                <w:tab w:val="left" w:pos="24"/>
              </w:tabs>
              <w:spacing w:after="0" w:line="240" w:lineRule="auto"/>
              <w:jc w:val="center"/>
              <w:rPr>
                <w:rFonts w:ascii="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 xml:space="preserve">2023 </w:t>
            </w:r>
          </w:p>
          <w:p w:rsidR="00D602D4" w:rsidRDefault="000B4C86">
            <w:pPr>
              <w:widowControl w:val="0"/>
              <w:tabs>
                <w:tab w:val="left" w:pos="24"/>
              </w:tabs>
              <w:spacing w:after="0" w:line="240" w:lineRule="auto"/>
              <w:jc w:val="center"/>
              <w:rPr>
                <w:rFonts w:ascii="Times New Roman" w:hAnsi="Times New Roman" w:cs="Times New Roman"/>
                <w:b/>
                <w:bCs/>
                <w:color w:val="000000"/>
                <w:sz w:val="18"/>
                <w:szCs w:val="18"/>
              </w:rPr>
            </w:pPr>
            <w:r>
              <w:rPr>
                <w:rFonts w:ascii="Times New Roman" w:eastAsia="Times New Roman" w:hAnsi="Times New Roman" w:cs="Times New Roman"/>
                <w:b/>
                <w:bCs/>
                <w:color w:val="000000"/>
                <w:sz w:val="20"/>
                <w:szCs w:val="20"/>
                <w:lang w:eastAsia="ru-RU"/>
              </w:rPr>
              <w:t>год</w:t>
            </w:r>
          </w:p>
        </w:tc>
        <w:tc>
          <w:tcPr>
            <w:tcW w:w="1134" w:type="dxa"/>
            <w:vAlign w:val="center"/>
          </w:tcPr>
          <w:p w:rsidR="00D602D4" w:rsidRDefault="000B4C86">
            <w:pPr>
              <w:widowControl w:val="0"/>
              <w:tabs>
                <w:tab w:val="left" w:pos="24"/>
              </w:tabs>
              <w:spacing w:after="0" w:line="240" w:lineRule="auto"/>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 xml:space="preserve">2024 </w:t>
            </w:r>
          </w:p>
          <w:p w:rsidR="00D602D4" w:rsidRDefault="000B4C86">
            <w:pPr>
              <w:widowControl w:val="0"/>
              <w:tabs>
                <w:tab w:val="left" w:pos="24"/>
              </w:tabs>
              <w:spacing w:after="0" w:line="240" w:lineRule="auto"/>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lang w:eastAsia="ru-RU"/>
              </w:rPr>
              <w:t>год</w:t>
            </w:r>
          </w:p>
        </w:tc>
        <w:tc>
          <w:tcPr>
            <w:tcW w:w="1276" w:type="dxa"/>
            <w:vAlign w:val="center"/>
          </w:tcPr>
          <w:p w:rsidR="00D602D4" w:rsidRDefault="000B4C86">
            <w:pPr>
              <w:widowControl w:val="0"/>
              <w:tabs>
                <w:tab w:val="left" w:pos="24"/>
                <w:tab w:val="left" w:pos="751"/>
              </w:tabs>
              <w:spacing w:after="0" w:line="240" w:lineRule="auto"/>
              <w:jc w:val="center"/>
              <w:rPr>
                <w:rFonts w:ascii="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Изменение</w:t>
            </w:r>
          </w:p>
          <w:p w:rsidR="00D602D4" w:rsidRDefault="000B4C86">
            <w:pPr>
              <w:widowControl w:val="0"/>
              <w:tabs>
                <w:tab w:val="left" w:pos="24"/>
              </w:tabs>
              <w:spacing w:after="0" w:line="240" w:lineRule="auto"/>
              <w:jc w:val="center"/>
              <w:rPr>
                <w:rFonts w:ascii="Times New Roman" w:hAnsi="Times New Roman" w:cs="Times New Roman"/>
                <w:b/>
                <w:bCs/>
                <w:color w:val="000000"/>
                <w:sz w:val="20"/>
                <w:szCs w:val="20"/>
                <w:highlight w:val="white"/>
              </w:rPr>
            </w:pPr>
            <w:r>
              <w:rPr>
                <w:rFonts w:ascii="Times New Roman" w:eastAsia="Times New Roman" w:hAnsi="Times New Roman" w:cs="Times New Roman"/>
                <w:b/>
                <w:bCs/>
                <w:color w:val="000000"/>
                <w:sz w:val="20"/>
                <w:szCs w:val="20"/>
                <w:highlight w:val="white"/>
                <w:lang w:eastAsia="ru-RU"/>
              </w:rPr>
              <w:t>2024/2023, %</w:t>
            </w:r>
          </w:p>
        </w:tc>
      </w:tr>
      <w:tr w:rsidR="00D602D4">
        <w:trPr>
          <w:cantSplit/>
          <w:trHeight w:val="58"/>
          <w:jc w:val="center"/>
        </w:trPr>
        <w:tc>
          <w:tcPr>
            <w:tcW w:w="4531" w:type="dxa"/>
            <w:vAlign w:val="center"/>
          </w:tcPr>
          <w:p w:rsidR="00D602D4" w:rsidRDefault="000B4C86">
            <w:pPr>
              <w:tabs>
                <w:tab w:val="left" w:pos="9356"/>
              </w:tabs>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lastRenderedPageBreak/>
              <w:t>Количество заседаний, проведенных в очной и заочной формах</w:t>
            </w:r>
          </w:p>
        </w:tc>
        <w:tc>
          <w:tcPr>
            <w:tcW w:w="711" w:type="dxa"/>
            <w:vAlign w:val="center"/>
          </w:tcPr>
          <w:p w:rsidR="00D602D4" w:rsidRDefault="000B4C86">
            <w:pPr>
              <w:widowControl w:val="0"/>
              <w:tabs>
                <w:tab w:val="left" w:pos="34"/>
              </w:tabs>
              <w:spacing w:after="0" w:line="240" w:lineRule="auto"/>
              <w:jc w:val="both"/>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707" w:type="dxa"/>
            <w:shd w:val="clear" w:color="FFFFFF" w:fill="FFFFFF"/>
            <w:vAlign w:val="center"/>
          </w:tcPr>
          <w:p w:rsidR="00D602D4" w:rsidRDefault="000B4C86">
            <w:pPr>
              <w:tabs>
                <w:tab w:val="left" w:pos="24"/>
              </w:tabs>
              <w:spacing w:after="0" w:line="240" w:lineRule="auto"/>
              <w:jc w:val="center"/>
              <w:rPr>
                <w:rFonts w:ascii="Times New Roman" w:hAnsi="Times New Roman" w:cs="Times New Roman"/>
                <w:color w:val="000000"/>
                <w:sz w:val="18"/>
                <w:szCs w:val="18"/>
              </w:rPr>
            </w:pPr>
            <w:r>
              <w:rPr>
                <w:rFonts w:ascii="Times New Roman" w:eastAsia="Times New Roman" w:hAnsi="Times New Roman" w:cs="Times New Roman"/>
                <w:color w:val="000000"/>
                <w:sz w:val="20"/>
                <w:szCs w:val="20"/>
                <w:lang w:eastAsia="ru-RU"/>
              </w:rPr>
              <w:t>10/62</w:t>
            </w:r>
          </w:p>
        </w:tc>
        <w:tc>
          <w:tcPr>
            <w:tcW w:w="992" w:type="dxa"/>
            <w:vAlign w:val="center"/>
          </w:tcPr>
          <w:p w:rsidR="00D602D4" w:rsidRDefault="000B4C86">
            <w:pPr>
              <w:tabs>
                <w:tab w:val="left" w:pos="24"/>
              </w:tabs>
              <w:spacing w:after="0" w:line="240" w:lineRule="auto"/>
              <w:jc w:val="center"/>
              <w:rPr>
                <w:rFonts w:ascii="Times New Roman" w:hAnsi="Times New Roman" w:cs="Times New Roman"/>
                <w:color w:val="000000"/>
                <w:sz w:val="18"/>
                <w:szCs w:val="18"/>
              </w:rPr>
            </w:pPr>
            <w:r>
              <w:rPr>
                <w:rFonts w:ascii="Times New Roman" w:eastAsia="Times New Roman" w:hAnsi="Times New Roman" w:cs="Times New Roman"/>
                <w:color w:val="000000"/>
                <w:sz w:val="20"/>
                <w:szCs w:val="20"/>
                <w:lang w:eastAsia="ru-RU"/>
              </w:rPr>
              <w:t>3/64</w:t>
            </w:r>
          </w:p>
        </w:tc>
        <w:tc>
          <w:tcPr>
            <w:tcW w:w="1134" w:type="dxa"/>
            <w:vAlign w:val="center"/>
          </w:tcPr>
          <w:p w:rsidR="00D602D4" w:rsidRDefault="000B4C86">
            <w:pPr>
              <w:tabs>
                <w:tab w:val="left" w:pos="24"/>
              </w:tabs>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1/59</w:t>
            </w:r>
          </w:p>
        </w:tc>
        <w:tc>
          <w:tcPr>
            <w:tcW w:w="1276" w:type="dxa"/>
            <w:vAlign w:val="center"/>
          </w:tcPr>
          <w:p w:rsidR="00D602D4" w:rsidRDefault="000B4C86">
            <w:pPr>
              <w:tabs>
                <w:tab w:val="left" w:pos="24"/>
              </w:tabs>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-67/-8</w:t>
            </w:r>
          </w:p>
        </w:tc>
      </w:tr>
      <w:tr w:rsidR="00D602D4">
        <w:trPr>
          <w:cantSplit/>
          <w:trHeight w:val="58"/>
          <w:jc w:val="center"/>
        </w:trPr>
        <w:tc>
          <w:tcPr>
            <w:tcW w:w="4531" w:type="dxa"/>
            <w:vAlign w:val="center"/>
          </w:tcPr>
          <w:p w:rsidR="00D602D4" w:rsidRDefault="000B4C86">
            <w:pPr>
              <w:tabs>
                <w:tab w:val="left" w:pos="9356"/>
              </w:tabs>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Количество рассмотренных вопросов в очной и заочной форме</w:t>
            </w:r>
          </w:p>
        </w:tc>
        <w:tc>
          <w:tcPr>
            <w:tcW w:w="711" w:type="dxa"/>
            <w:vAlign w:val="center"/>
          </w:tcPr>
          <w:p w:rsidR="00D602D4" w:rsidRDefault="000B4C86">
            <w:pPr>
              <w:widowControl w:val="0"/>
              <w:tabs>
                <w:tab w:val="left" w:pos="34"/>
              </w:tabs>
              <w:spacing w:after="0" w:line="240" w:lineRule="auto"/>
              <w:jc w:val="both"/>
              <w:rPr>
                <w:rFonts w:ascii="Times New Roman" w:hAnsi="Times New Roman" w:cs="Times New Roman"/>
                <w:bCs/>
                <w:color w:val="000000"/>
                <w:sz w:val="20"/>
                <w:szCs w:val="20"/>
              </w:rPr>
            </w:pPr>
            <w:r>
              <w:rPr>
                <w:rFonts w:ascii="Times New Roman" w:eastAsia="Times New Roman" w:hAnsi="Times New Roman" w:cs="Times New Roman"/>
                <w:bCs/>
                <w:color w:val="000000"/>
                <w:sz w:val="20"/>
                <w:szCs w:val="20"/>
                <w:lang w:eastAsia="ru-RU"/>
              </w:rPr>
              <w:t>шт.</w:t>
            </w:r>
          </w:p>
        </w:tc>
        <w:tc>
          <w:tcPr>
            <w:tcW w:w="707" w:type="dxa"/>
            <w:shd w:val="clear" w:color="FFFFFF" w:fill="FFFFFF"/>
            <w:vAlign w:val="center"/>
          </w:tcPr>
          <w:p w:rsidR="00D602D4" w:rsidRDefault="000B4C86">
            <w:pPr>
              <w:widowControl w:val="0"/>
              <w:tabs>
                <w:tab w:val="left" w:pos="24"/>
              </w:tabs>
              <w:spacing w:after="0" w:line="240" w:lineRule="auto"/>
              <w:jc w:val="center"/>
              <w:rPr>
                <w:rFonts w:ascii="Times New Roman" w:hAnsi="Times New Roman" w:cs="Times New Roman"/>
                <w:color w:val="000000"/>
                <w:sz w:val="18"/>
                <w:szCs w:val="18"/>
              </w:rPr>
            </w:pPr>
            <w:r>
              <w:rPr>
                <w:rFonts w:ascii="Times New Roman" w:eastAsia="Times New Roman" w:hAnsi="Times New Roman" w:cs="Times New Roman"/>
                <w:color w:val="000000"/>
                <w:sz w:val="20"/>
                <w:szCs w:val="20"/>
                <w:lang w:eastAsia="ru-RU"/>
              </w:rPr>
              <w:t>16/190</w:t>
            </w:r>
          </w:p>
        </w:tc>
        <w:tc>
          <w:tcPr>
            <w:tcW w:w="992" w:type="dxa"/>
            <w:vAlign w:val="center"/>
          </w:tcPr>
          <w:p w:rsidR="00D602D4" w:rsidRDefault="000B4C86">
            <w:pPr>
              <w:widowControl w:val="0"/>
              <w:tabs>
                <w:tab w:val="left" w:pos="24"/>
              </w:tabs>
              <w:spacing w:after="0" w:line="240" w:lineRule="auto"/>
              <w:jc w:val="center"/>
              <w:rPr>
                <w:rFonts w:ascii="Times New Roman" w:hAnsi="Times New Roman" w:cs="Times New Roman"/>
                <w:color w:val="000000"/>
                <w:sz w:val="18"/>
                <w:szCs w:val="18"/>
              </w:rPr>
            </w:pPr>
            <w:r>
              <w:rPr>
                <w:rFonts w:ascii="Times New Roman" w:eastAsia="Times New Roman" w:hAnsi="Times New Roman" w:cs="Times New Roman"/>
                <w:color w:val="000000"/>
                <w:sz w:val="20"/>
                <w:szCs w:val="20"/>
                <w:lang w:eastAsia="ru-RU"/>
              </w:rPr>
              <w:t>3/195</w:t>
            </w:r>
          </w:p>
        </w:tc>
        <w:tc>
          <w:tcPr>
            <w:tcW w:w="1134" w:type="dxa"/>
            <w:vAlign w:val="center"/>
          </w:tcPr>
          <w:p w:rsidR="00D602D4" w:rsidRDefault="000B4C86">
            <w:pPr>
              <w:tabs>
                <w:tab w:val="left" w:pos="24"/>
              </w:tabs>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3/178</w:t>
            </w:r>
          </w:p>
        </w:tc>
        <w:tc>
          <w:tcPr>
            <w:tcW w:w="1276" w:type="dxa"/>
            <w:vAlign w:val="center"/>
          </w:tcPr>
          <w:p w:rsidR="00D602D4" w:rsidRDefault="000B4C86">
            <w:pPr>
              <w:tabs>
                <w:tab w:val="left" w:pos="24"/>
              </w:tabs>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0/-9</w:t>
            </w:r>
          </w:p>
        </w:tc>
      </w:tr>
    </w:tbl>
    <w:p w:rsidR="00D602D4" w:rsidRDefault="00D602D4">
      <w:pPr>
        <w:widowControl w:val="0"/>
        <w:tabs>
          <w:tab w:val="left" w:pos="0"/>
          <w:tab w:val="left" w:pos="851"/>
        </w:tabs>
        <w:spacing w:after="0" w:line="240" w:lineRule="auto"/>
        <w:ind w:firstLine="709"/>
        <w:jc w:val="right"/>
        <w:rPr>
          <w:rFonts w:ascii="Times New Roman" w:eastAsia="Times New Roman" w:hAnsi="Times New Roman"/>
          <w:color w:val="000000"/>
          <w:sz w:val="24"/>
          <w:szCs w:val="24"/>
        </w:rPr>
      </w:pPr>
    </w:p>
    <w:p w:rsidR="00D602D4" w:rsidRDefault="000B4C86">
      <w:pPr>
        <w:widowControl w:val="0"/>
        <w:tabs>
          <w:tab w:val="left" w:pos="0"/>
          <w:tab w:val="left" w:pos="851"/>
        </w:tabs>
        <w:spacing w:after="0" w:line="240" w:lineRule="auto"/>
        <w:ind w:firstLine="709"/>
        <w:jc w:val="right"/>
        <w:rPr>
          <w:rFonts w:ascii="Times New Roman" w:eastAsia="Times New Roman" w:hAnsi="Times New Roman"/>
          <w:color w:val="000000"/>
          <w:sz w:val="24"/>
          <w:szCs w:val="24"/>
        </w:rPr>
      </w:pPr>
      <w:r>
        <w:rPr>
          <w:rFonts w:ascii="Times New Roman" w:eastAsia="Times New Roman" w:hAnsi="Times New Roman"/>
          <w:color w:val="000000"/>
          <w:sz w:val="24"/>
          <w:szCs w:val="24"/>
          <w:highlight w:val="white"/>
        </w:rPr>
        <w:t>Таблица 9</w:t>
      </w:r>
      <w:r>
        <w:rPr>
          <w:rFonts w:ascii="Times New Roman" w:eastAsia="Times New Roman" w:hAnsi="Times New Roman"/>
          <w:color w:val="000000"/>
          <w:sz w:val="24"/>
          <w:szCs w:val="24"/>
        </w:rPr>
        <w:t>9</w:t>
      </w:r>
    </w:p>
    <w:p w:rsidR="00D602D4" w:rsidRDefault="000B4C86">
      <w:pPr>
        <w:widowControl w:val="0"/>
        <w:spacing w:after="0" w:line="240" w:lineRule="auto"/>
        <w:ind w:firstLine="709"/>
        <w:jc w:val="center"/>
        <w:rPr>
          <w:rFonts w:ascii="Times New Roman" w:eastAsia="Times New Roman" w:hAnsi="Times New Roman"/>
          <w:b/>
          <w:sz w:val="24"/>
          <w:szCs w:val="24"/>
        </w:rPr>
      </w:pPr>
      <w:r>
        <w:rPr>
          <w:rFonts w:ascii="Times New Roman" w:eastAsia="Times New Roman" w:hAnsi="Times New Roman"/>
          <w:b/>
          <w:sz w:val="24"/>
          <w:szCs w:val="24"/>
        </w:rPr>
        <w:t>Категории рассмотренных Правлением вопросов</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ayout w:type="fixed"/>
        <w:tblLook w:val="04A0" w:firstRow="1" w:lastRow="0" w:firstColumn="1" w:lastColumn="0" w:noHBand="0" w:noVBand="1"/>
      </w:tblPr>
      <w:tblGrid>
        <w:gridCol w:w="4531"/>
        <w:gridCol w:w="567"/>
        <w:gridCol w:w="851"/>
        <w:gridCol w:w="992"/>
        <w:gridCol w:w="1134"/>
        <w:gridCol w:w="1276"/>
      </w:tblGrid>
      <w:tr w:rsidR="00D602D4">
        <w:trPr>
          <w:cantSplit/>
          <w:trHeight w:val="395"/>
          <w:jc w:val="center"/>
        </w:trPr>
        <w:tc>
          <w:tcPr>
            <w:tcW w:w="4531" w:type="dxa"/>
            <w:vMerge w:val="restart"/>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lang w:eastAsia="ru-RU"/>
              </w:rPr>
              <w:t>Категории вопросов</w:t>
            </w:r>
          </w:p>
        </w:tc>
        <w:tc>
          <w:tcPr>
            <w:tcW w:w="567" w:type="dxa"/>
            <w:vMerge w:val="restart"/>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b/>
                <w:sz w:val="20"/>
                <w:szCs w:val="20"/>
              </w:rPr>
            </w:pPr>
            <w:r>
              <w:rPr>
                <w:rFonts w:ascii="Times New Roman" w:eastAsia="Times New Roman" w:hAnsi="Times New Roman"/>
                <w:b/>
                <w:sz w:val="20"/>
                <w:szCs w:val="20"/>
                <w:lang w:eastAsia="ru-RU"/>
              </w:rPr>
              <w:t xml:space="preserve"> Ед.</w:t>
            </w:r>
          </w:p>
          <w:p w:rsidR="00D602D4" w:rsidRDefault="000B4C86">
            <w:pPr>
              <w:tabs>
                <w:tab w:val="left" w:pos="9356"/>
              </w:tabs>
              <w:spacing w:after="0" w:line="240" w:lineRule="auto"/>
              <w:jc w:val="both"/>
              <w:rPr>
                <w:rFonts w:ascii="Times New Roman" w:eastAsia="Times New Roman" w:hAnsi="Times New Roman"/>
                <w:b/>
                <w:sz w:val="20"/>
                <w:szCs w:val="20"/>
              </w:rPr>
            </w:pPr>
            <w:r>
              <w:rPr>
                <w:rFonts w:ascii="Times New Roman" w:eastAsia="Times New Roman" w:hAnsi="Times New Roman"/>
                <w:b/>
                <w:sz w:val="20"/>
                <w:szCs w:val="20"/>
                <w:lang w:eastAsia="ru-RU"/>
              </w:rPr>
              <w:t>изм.</w:t>
            </w:r>
          </w:p>
        </w:tc>
        <w:tc>
          <w:tcPr>
            <w:tcW w:w="4253" w:type="dxa"/>
            <w:gridSpan w:val="4"/>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lang w:eastAsia="ru-RU"/>
              </w:rPr>
              <w:t>Период</w:t>
            </w:r>
          </w:p>
        </w:tc>
      </w:tr>
      <w:tr w:rsidR="00D602D4">
        <w:trPr>
          <w:cantSplit/>
          <w:trHeight w:val="453"/>
          <w:jc w:val="center"/>
        </w:trPr>
        <w:tc>
          <w:tcPr>
            <w:tcW w:w="4531" w:type="dxa"/>
            <w:vMerge/>
            <w:shd w:val="clear" w:color="FFFFFF" w:fill="FFFFFF" w:themeFill="background1"/>
            <w:vAlign w:val="center"/>
          </w:tcPr>
          <w:p w:rsidR="00D602D4" w:rsidRDefault="00D602D4">
            <w:pPr>
              <w:tabs>
                <w:tab w:val="left" w:pos="9356"/>
              </w:tabs>
              <w:spacing w:after="0" w:line="240" w:lineRule="auto"/>
              <w:jc w:val="both"/>
              <w:rPr>
                <w:rFonts w:ascii="Times New Roman" w:eastAsia="Times New Roman" w:hAnsi="Times New Roman"/>
                <w:b/>
                <w:sz w:val="18"/>
                <w:szCs w:val="18"/>
                <w:lang w:eastAsia="ru-RU"/>
              </w:rPr>
            </w:pPr>
          </w:p>
        </w:tc>
        <w:tc>
          <w:tcPr>
            <w:tcW w:w="567" w:type="dxa"/>
            <w:vMerge/>
            <w:shd w:val="clear" w:color="FFFFFF" w:fill="FFFFFF" w:themeFill="background1"/>
            <w:vAlign w:val="center"/>
          </w:tcPr>
          <w:p w:rsidR="00D602D4" w:rsidRDefault="00D602D4">
            <w:pPr>
              <w:tabs>
                <w:tab w:val="left" w:pos="9356"/>
              </w:tabs>
              <w:spacing w:after="0" w:line="240" w:lineRule="auto"/>
              <w:jc w:val="both"/>
              <w:rPr>
                <w:rFonts w:ascii="Times New Roman" w:eastAsia="Times New Roman" w:hAnsi="Times New Roman"/>
                <w:b/>
                <w:sz w:val="18"/>
                <w:szCs w:val="18"/>
                <w:lang w:eastAsia="ru-RU"/>
              </w:rPr>
            </w:pPr>
          </w:p>
        </w:tc>
        <w:tc>
          <w:tcPr>
            <w:tcW w:w="851"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b/>
                <w:sz w:val="18"/>
                <w:szCs w:val="18"/>
              </w:rPr>
            </w:pPr>
            <w:r>
              <w:rPr>
                <w:rFonts w:ascii="Times New Roman" w:eastAsia="Times New Roman" w:hAnsi="Times New Roman"/>
                <w:b/>
                <w:sz w:val="20"/>
                <w:szCs w:val="20"/>
                <w:lang w:eastAsia="ru-RU"/>
              </w:rPr>
              <w:t>2022</w:t>
            </w:r>
          </w:p>
          <w:p w:rsidR="00D602D4" w:rsidRDefault="000B4C86">
            <w:pPr>
              <w:tabs>
                <w:tab w:val="left" w:pos="9356"/>
              </w:tabs>
              <w:spacing w:after="0" w:line="240" w:lineRule="auto"/>
              <w:jc w:val="center"/>
              <w:rPr>
                <w:rFonts w:ascii="Times New Roman" w:eastAsia="Times New Roman" w:hAnsi="Times New Roman"/>
                <w:b/>
                <w:sz w:val="18"/>
                <w:szCs w:val="18"/>
              </w:rPr>
            </w:pPr>
            <w:r>
              <w:rPr>
                <w:rFonts w:ascii="Times New Roman" w:eastAsia="Times New Roman" w:hAnsi="Times New Roman"/>
                <w:b/>
                <w:sz w:val="20"/>
                <w:szCs w:val="20"/>
                <w:lang w:eastAsia="ru-RU"/>
              </w:rPr>
              <w:t>год</w:t>
            </w:r>
          </w:p>
        </w:tc>
        <w:tc>
          <w:tcPr>
            <w:tcW w:w="992"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b/>
                <w:sz w:val="18"/>
                <w:szCs w:val="18"/>
              </w:rPr>
            </w:pPr>
            <w:r>
              <w:rPr>
                <w:rFonts w:ascii="Times New Roman" w:eastAsia="Times New Roman" w:hAnsi="Times New Roman"/>
                <w:b/>
                <w:sz w:val="20"/>
                <w:szCs w:val="20"/>
                <w:lang w:eastAsia="ru-RU"/>
              </w:rPr>
              <w:t>2023</w:t>
            </w:r>
          </w:p>
          <w:p w:rsidR="00D602D4" w:rsidRDefault="000B4C86">
            <w:pPr>
              <w:tabs>
                <w:tab w:val="left" w:pos="9356"/>
              </w:tabs>
              <w:spacing w:after="0" w:line="240" w:lineRule="auto"/>
              <w:jc w:val="center"/>
              <w:rPr>
                <w:rFonts w:ascii="Times New Roman" w:eastAsia="Times New Roman" w:hAnsi="Times New Roman"/>
                <w:b/>
                <w:sz w:val="18"/>
                <w:szCs w:val="18"/>
              </w:rPr>
            </w:pPr>
            <w:r>
              <w:rPr>
                <w:rFonts w:ascii="Times New Roman" w:eastAsia="Times New Roman" w:hAnsi="Times New Roman"/>
                <w:b/>
                <w:sz w:val="20"/>
                <w:szCs w:val="20"/>
                <w:lang w:eastAsia="ru-RU"/>
              </w:rPr>
              <w:t>год</w:t>
            </w:r>
          </w:p>
        </w:tc>
        <w:tc>
          <w:tcPr>
            <w:tcW w:w="1134"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lang w:eastAsia="ru-RU"/>
              </w:rPr>
              <w:t>2024</w:t>
            </w:r>
          </w:p>
          <w:p w:rsidR="00D602D4" w:rsidRDefault="000B4C86">
            <w:pPr>
              <w:tabs>
                <w:tab w:val="left" w:pos="9356"/>
              </w:tabs>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lang w:eastAsia="ru-RU"/>
              </w:rPr>
              <w:t>год</w:t>
            </w:r>
          </w:p>
        </w:tc>
        <w:tc>
          <w:tcPr>
            <w:tcW w:w="1276"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lang w:eastAsia="ru-RU"/>
              </w:rPr>
              <w:t>изменение</w:t>
            </w:r>
          </w:p>
          <w:p w:rsidR="00D602D4" w:rsidRDefault="000B4C86">
            <w:pPr>
              <w:tabs>
                <w:tab w:val="left" w:pos="9356"/>
              </w:tabs>
              <w:spacing w:after="0" w:line="240" w:lineRule="auto"/>
              <w:jc w:val="center"/>
              <w:rPr>
                <w:rFonts w:ascii="Times New Roman" w:eastAsia="Times New Roman" w:hAnsi="Times New Roman"/>
                <w:b/>
                <w:sz w:val="20"/>
                <w:szCs w:val="20"/>
              </w:rPr>
            </w:pPr>
            <w:r>
              <w:rPr>
                <w:rFonts w:ascii="Times New Roman" w:eastAsia="Times New Roman" w:hAnsi="Times New Roman"/>
                <w:b/>
                <w:sz w:val="20"/>
                <w:szCs w:val="20"/>
                <w:lang w:eastAsia="ru-RU"/>
              </w:rPr>
              <w:t>2024/2023 %</w:t>
            </w:r>
          </w:p>
        </w:tc>
      </w:tr>
      <w:tr w:rsidR="00D602D4">
        <w:trPr>
          <w:cantSplit/>
          <w:trHeight w:val="58"/>
          <w:jc w:val="center"/>
        </w:trPr>
        <w:tc>
          <w:tcPr>
            <w:tcW w:w="4531"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Рекомендации Совету директоров</w:t>
            </w:r>
          </w:p>
        </w:tc>
        <w:tc>
          <w:tcPr>
            <w:tcW w:w="567"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шт.</w:t>
            </w:r>
          </w:p>
        </w:tc>
        <w:tc>
          <w:tcPr>
            <w:tcW w:w="851"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136</w:t>
            </w:r>
          </w:p>
        </w:tc>
        <w:tc>
          <w:tcPr>
            <w:tcW w:w="992"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164</w:t>
            </w:r>
          </w:p>
        </w:tc>
        <w:tc>
          <w:tcPr>
            <w:tcW w:w="1134"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134</w:t>
            </w:r>
          </w:p>
        </w:tc>
        <w:tc>
          <w:tcPr>
            <w:tcW w:w="1276"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-18</w:t>
            </w:r>
          </w:p>
        </w:tc>
      </w:tr>
      <w:tr w:rsidR="00D602D4">
        <w:trPr>
          <w:cantSplit/>
          <w:trHeight w:val="58"/>
          <w:jc w:val="center"/>
        </w:trPr>
        <w:tc>
          <w:tcPr>
            <w:tcW w:w="4531"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Финансы и инвестиции</w:t>
            </w:r>
          </w:p>
        </w:tc>
        <w:tc>
          <w:tcPr>
            <w:tcW w:w="567"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шт.</w:t>
            </w:r>
          </w:p>
        </w:tc>
        <w:tc>
          <w:tcPr>
            <w:tcW w:w="851"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21</w:t>
            </w:r>
          </w:p>
        </w:tc>
        <w:tc>
          <w:tcPr>
            <w:tcW w:w="992"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4</w:t>
            </w:r>
          </w:p>
        </w:tc>
        <w:tc>
          <w:tcPr>
            <w:tcW w:w="1134"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3</w:t>
            </w:r>
          </w:p>
        </w:tc>
        <w:tc>
          <w:tcPr>
            <w:tcW w:w="1276"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-25</w:t>
            </w:r>
          </w:p>
        </w:tc>
      </w:tr>
      <w:tr w:rsidR="00D602D4">
        <w:trPr>
          <w:cantSplit/>
          <w:trHeight w:val="58"/>
          <w:jc w:val="center"/>
        </w:trPr>
        <w:tc>
          <w:tcPr>
            <w:tcW w:w="4531"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Отчеты менеджмента Общества</w:t>
            </w:r>
          </w:p>
        </w:tc>
        <w:tc>
          <w:tcPr>
            <w:tcW w:w="567"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шт.</w:t>
            </w:r>
          </w:p>
        </w:tc>
        <w:tc>
          <w:tcPr>
            <w:tcW w:w="851"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8</w:t>
            </w:r>
          </w:p>
        </w:tc>
        <w:tc>
          <w:tcPr>
            <w:tcW w:w="992"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10</w:t>
            </w:r>
          </w:p>
        </w:tc>
        <w:tc>
          <w:tcPr>
            <w:tcW w:w="1134"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5</w:t>
            </w:r>
          </w:p>
        </w:tc>
        <w:tc>
          <w:tcPr>
            <w:tcW w:w="1276"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-50</w:t>
            </w:r>
          </w:p>
        </w:tc>
      </w:tr>
      <w:tr w:rsidR="00D602D4">
        <w:trPr>
          <w:cantSplit/>
          <w:trHeight w:val="58"/>
          <w:jc w:val="center"/>
        </w:trPr>
        <w:tc>
          <w:tcPr>
            <w:tcW w:w="4531"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Вопросы деятельности ДЗО</w:t>
            </w:r>
          </w:p>
        </w:tc>
        <w:tc>
          <w:tcPr>
            <w:tcW w:w="567"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шт.</w:t>
            </w:r>
          </w:p>
        </w:tc>
        <w:tc>
          <w:tcPr>
            <w:tcW w:w="851"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13</w:t>
            </w:r>
          </w:p>
        </w:tc>
        <w:tc>
          <w:tcPr>
            <w:tcW w:w="992"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w:t>
            </w:r>
          </w:p>
        </w:tc>
        <w:tc>
          <w:tcPr>
            <w:tcW w:w="1134"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5</w:t>
            </w:r>
          </w:p>
        </w:tc>
        <w:tc>
          <w:tcPr>
            <w:tcW w:w="1276"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100</w:t>
            </w:r>
          </w:p>
        </w:tc>
      </w:tr>
      <w:tr w:rsidR="00D602D4">
        <w:trPr>
          <w:cantSplit/>
          <w:trHeight w:val="58"/>
          <w:jc w:val="center"/>
        </w:trPr>
        <w:tc>
          <w:tcPr>
            <w:tcW w:w="4531"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Риски</w:t>
            </w:r>
          </w:p>
        </w:tc>
        <w:tc>
          <w:tcPr>
            <w:tcW w:w="567"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шт.</w:t>
            </w:r>
          </w:p>
        </w:tc>
        <w:tc>
          <w:tcPr>
            <w:tcW w:w="851"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6</w:t>
            </w:r>
          </w:p>
        </w:tc>
        <w:tc>
          <w:tcPr>
            <w:tcW w:w="992"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w:t>
            </w:r>
          </w:p>
        </w:tc>
        <w:tc>
          <w:tcPr>
            <w:tcW w:w="1134"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5</w:t>
            </w:r>
          </w:p>
        </w:tc>
        <w:tc>
          <w:tcPr>
            <w:tcW w:w="1276"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100</w:t>
            </w:r>
          </w:p>
        </w:tc>
      </w:tr>
      <w:tr w:rsidR="00D602D4">
        <w:trPr>
          <w:cantSplit/>
          <w:trHeight w:val="58"/>
          <w:jc w:val="center"/>
        </w:trPr>
        <w:tc>
          <w:tcPr>
            <w:tcW w:w="4531"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Сделки</w:t>
            </w:r>
          </w:p>
        </w:tc>
        <w:tc>
          <w:tcPr>
            <w:tcW w:w="567"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шт.</w:t>
            </w:r>
          </w:p>
        </w:tc>
        <w:tc>
          <w:tcPr>
            <w:tcW w:w="851"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10</w:t>
            </w:r>
          </w:p>
        </w:tc>
        <w:tc>
          <w:tcPr>
            <w:tcW w:w="992"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22</w:t>
            </w:r>
          </w:p>
        </w:tc>
        <w:tc>
          <w:tcPr>
            <w:tcW w:w="1134"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24</w:t>
            </w:r>
          </w:p>
        </w:tc>
        <w:tc>
          <w:tcPr>
            <w:tcW w:w="1276"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9</w:t>
            </w:r>
          </w:p>
        </w:tc>
      </w:tr>
      <w:tr w:rsidR="00D602D4">
        <w:trPr>
          <w:cantSplit/>
          <w:trHeight w:val="58"/>
          <w:jc w:val="center"/>
        </w:trPr>
        <w:tc>
          <w:tcPr>
            <w:tcW w:w="4531"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Иные вопросы</w:t>
            </w:r>
          </w:p>
        </w:tc>
        <w:tc>
          <w:tcPr>
            <w:tcW w:w="567" w:type="dxa"/>
            <w:shd w:val="clear" w:color="FFFFFF" w:fill="FFFFFF" w:themeFill="background1"/>
            <w:vAlign w:val="center"/>
          </w:tcPr>
          <w:p w:rsidR="00D602D4" w:rsidRDefault="000B4C86">
            <w:pPr>
              <w:tabs>
                <w:tab w:val="left" w:pos="9356"/>
              </w:tabs>
              <w:spacing w:after="0" w:line="240" w:lineRule="auto"/>
              <w:jc w:val="both"/>
              <w:rPr>
                <w:rFonts w:ascii="Times New Roman" w:eastAsia="Times New Roman" w:hAnsi="Times New Roman"/>
                <w:sz w:val="20"/>
                <w:szCs w:val="20"/>
              </w:rPr>
            </w:pPr>
            <w:r>
              <w:rPr>
                <w:rFonts w:ascii="Times New Roman" w:eastAsia="Times New Roman" w:hAnsi="Times New Roman"/>
                <w:sz w:val="20"/>
                <w:szCs w:val="20"/>
                <w:lang w:eastAsia="ru-RU"/>
              </w:rPr>
              <w:t>шт.</w:t>
            </w:r>
          </w:p>
        </w:tc>
        <w:tc>
          <w:tcPr>
            <w:tcW w:w="851"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12</w:t>
            </w:r>
          </w:p>
        </w:tc>
        <w:tc>
          <w:tcPr>
            <w:tcW w:w="992"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18"/>
                <w:szCs w:val="18"/>
              </w:rPr>
            </w:pPr>
            <w:r>
              <w:rPr>
                <w:rFonts w:ascii="Times New Roman" w:eastAsia="Times New Roman" w:hAnsi="Times New Roman"/>
                <w:sz w:val="20"/>
                <w:szCs w:val="20"/>
                <w:lang w:eastAsia="ru-RU"/>
              </w:rPr>
              <w:t>8</w:t>
            </w:r>
          </w:p>
        </w:tc>
        <w:tc>
          <w:tcPr>
            <w:tcW w:w="1134"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5</w:t>
            </w:r>
          </w:p>
        </w:tc>
        <w:tc>
          <w:tcPr>
            <w:tcW w:w="1276" w:type="dxa"/>
            <w:shd w:val="clear" w:color="FFFFFF" w:fill="FFFFFF" w:themeFill="background1"/>
            <w:vAlign w:val="center"/>
          </w:tcPr>
          <w:p w:rsidR="00D602D4" w:rsidRDefault="000B4C86">
            <w:pPr>
              <w:tabs>
                <w:tab w:val="left" w:pos="9356"/>
              </w:tabs>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lang w:eastAsia="ru-RU"/>
              </w:rPr>
              <w:t>-37</w:t>
            </w:r>
          </w:p>
        </w:tc>
      </w:tr>
    </w:tbl>
    <w:p w:rsidR="00D602D4" w:rsidRDefault="00D602D4">
      <w:pPr>
        <w:widowControl w:val="0"/>
        <w:spacing w:after="0" w:line="240" w:lineRule="auto"/>
        <w:ind w:firstLine="709"/>
        <w:jc w:val="right"/>
        <w:rPr>
          <w:rFonts w:ascii="Times New Roman" w:eastAsia="Times New Roman" w:hAnsi="Times New Roman"/>
          <w:sz w:val="24"/>
          <w:szCs w:val="24"/>
          <w:highlight w:val="yellow"/>
        </w:rPr>
      </w:pPr>
    </w:p>
    <w:p w:rsidR="00D602D4" w:rsidRDefault="000B4C86">
      <w:pPr>
        <w:widowControl w:val="0"/>
        <w:spacing w:after="0" w:line="240" w:lineRule="auto"/>
        <w:ind w:firstLine="709"/>
        <w:jc w:val="right"/>
        <w:rPr>
          <w:rFonts w:ascii="Times New Roman" w:eastAsia="Times New Roman" w:hAnsi="Times New Roman"/>
          <w:sz w:val="24"/>
          <w:szCs w:val="24"/>
        </w:rPr>
      </w:pPr>
      <w:r>
        <w:rPr>
          <w:rFonts w:ascii="Times New Roman" w:eastAsia="Times New Roman" w:hAnsi="Times New Roman"/>
          <w:sz w:val="24"/>
          <w:szCs w:val="24"/>
          <w:highlight w:val="white"/>
        </w:rPr>
        <w:t xml:space="preserve">Таблица </w:t>
      </w:r>
      <w:r>
        <w:rPr>
          <w:rFonts w:ascii="Times New Roman" w:eastAsia="Times New Roman" w:hAnsi="Times New Roman"/>
          <w:sz w:val="24"/>
          <w:szCs w:val="24"/>
        </w:rPr>
        <w:t>100</w:t>
      </w:r>
    </w:p>
    <w:p w:rsidR="00D602D4" w:rsidRDefault="000B4C86">
      <w:pPr>
        <w:widowControl w:val="0"/>
        <w:spacing w:after="0" w:line="240" w:lineRule="auto"/>
        <w:ind w:firstLine="709"/>
        <w:jc w:val="center"/>
        <w:rPr>
          <w:rFonts w:ascii="Times New Roman" w:eastAsia="Times New Roman" w:hAnsi="Times New Roman"/>
          <w:b/>
          <w:sz w:val="24"/>
          <w:szCs w:val="24"/>
        </w:rPr>
      </w:pPr>
      <w:r>
        <w:rPr>
          <w:rFonts w:ascii="Times New Roman" w:eastAsia="Times New Roman" w:hAnsi="Times New Roman"/>
          <w:b/>
          <w:sz w:val="24"/>
          <w:szCs w:val="24"/>
        </w:rPr>
        <w:t>Персональный состав Правления на 31.12.2024</w:t>
      </w:r>
    </w:p>
    <w:p w:rsidR="00D602D4" w:rsidRDefault="000B4C86">
      <w:pPr>
        <w:widowControl w:val="0"/>
        <w:spacing w:after="0" w:line="240" w:lineRule="auto"/>
        <w:ind w:firstLine="709"/>
        <w:jc w:val="center"/>
        <w:rPr>
          <w:rFonts w:ascii="Times New Roman" w:eastAsia="Times New Roman" w:hAnsi="Times New Roman"/>
          <w:sz w:val="24"/>
          <w:szCs w:val="24"/>
        </w:rPr>
      </w:pPr>
      <w:r>
        <w:rPr>
          <w:rFonts w:ascii="Times New Roman" w:eastAsia="Times New Roman" w:hAnsi="Times New Roman"/>
          <w:sz w:val="24"/>
          <w:szCs w:val="24"/>
        </w:rPr>
        <w:t>(количественный состав Правления согласно решению Совета директоров Общества от 30.07.2010 (протокол от 02.08.2010 № 60/10) составляет 7 человек)</w:t>
      </w:r>
    </w:p>
    <w:tbl>
      <w:tblPr>
        <w:tblpPr w:leftFromText="180" w:rightFromText="180" w:bottomFromText="160" w:vertAnchor="text" w:tblpXSpec="center" w:tblpY="1"/>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6804"/>
      </w:tblGrid>
      <w:tr w:rsidR="00D602D4">
        <w:trPr>
          <w:tblHeader/>
        </w:trPr>
        <w:tc>
          <w:tcPr>
            <w:tcW w:w="297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Ф. И. О.</w:t>
            </w:r>
          </w:p>
        </w:tc>
        <w:tc>
          <w:tcPr>
            <w:tcW w:w="6804"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 xml:space="preserve">Занимаемая должность </w:t>
            </w:r>
          </w:p>
        </w:tc>
      </w:tr>
      <w:tr w:rsidR="00D602D4">
        <w:tc>
          <w:tcPr>
            <w:tcW w:w="2972"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Акилин </w:t>
            </w:r>
          </w:p>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Павел Евгеньевич</w:t>
            </w:r>
          </w:p>
        </w:tc>
        <w:tc>
          <w:tcPr>
            <w:tcW w:w="6804"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jc w:val="both"/>
              <w:rPr>
                <w:rFonts w:ascii="Times New Roman" w:eastAsia="Times New Roman" w:hAnsi="Times New Roman"/>
                <w:sz w:val="24"/>
                <w:szCs w:val="24"/>
              </w:rPr>
            </w:pPr>
            <w:r>
              <w:rPr>
                <w:rFonts w:ascii="Times New Roman" w:eastAsia="Times New Roman" w:hAnsi="Times New Roman"/>
                <w:b/>
                <w:sz w:val="24"/>
                <w:szCs w:val="24"/>
              </w:rPr>
              <w:t>Председатель Правления</w:t>
            </w:r>
            <w:r>
              <w:rPr>
                <w:rFonts w:ascii="Times New Roman" w:eastAsia="Times New Roman" w:hAnsi="Times New Roman"/>
                <w:sz w:val="24"/>
                <w:szCs w:val="24"/>
              </w:rPr>
              <w:t>, Генеральный директор                          ПАО «Россети Сибирь»</w:t>
            </w:r>
          </w:p>
        </w:tc>
      </w:tr>
      <w:tr w:rsidR="00D602D4">
        <w:tc>
          <w:tcPr>
            <w:tcW w:w="2972"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Архипов </w:t>
            </w:r>
          </w:p>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Николай Васильевич</w:t>
            </w:r>
          </w:p>
        </w:tc>
        <w:tc>
          <w:tcPr>
            <w:tcW w:w="6804"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Заместитель генерального директора по безопасности                     ПАО «Россети Сибирь»</w:t>
            </w:r>
          </w:p>
        </w:tc>
      </w:tr>
      <w:tr w:rsidR="00D602D4">
        <w:trPr>
          <w:trHeight w:val="276"/>
        </w:trPr>
        <w:tc>
          <w:tcPr>
            <w:tcW w:w="2972" w:type="dxa"/>
            <w:vMerge w:val="restart"/>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Бортник </w:t>
            </w:r>
          </w:p>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Виталий Владимирович</w:t>
            </w:r>
          </w:p>
        </w:tc>
        <w:tc>
          <w:tcPr>
            <w:tcW w:w="6804" w:type="dxa"/>
            <w:vMerge w:val="restart"/>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Заместитель генерального директора по реализации и развитию услуг ПАО «Россети Сибирь»</w:t>
            </w:r>
          </w:p>
        </w:tc>
      </w:tr>
      <w:tr w:rsidR="00D602D4">
        <w:trPr>
          <w:trHeight w:val="429"/>
        </w:trPr>
        <w:tc>
          <w:tcPr>
            <w:tcW w:w="2972"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Левинский </w:t>
            </w:r>
          </w:p>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Андрей Игоревич</w:t>
            </w:r>
          </w:p>
        </w:tc>
        <w:tc>
          <w:tcPr>
            <w:tcW w:w="6804"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Заместитель генерального директора по корпоративному управлению ПАО «Россети Сибирь»</w:t>
            </w:r>
          </w:p>
        </w:tc>
      </w:tr>
      <w:tr w:rsidR="00D602D4">
        <w:trPr>
          <w:trHeight w:val="429"/>
        </w:trPr>
        <w:tc>
          <w:tcPr>
            <w:tcW w:w="2972"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Пантелеев </w:t>
            </w:r>
          </w:p>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Николай Анатольевич</w:t>
            </w:r>
          </w:p>
        </w:tc>
        <w:tc>
          <w:tcPr>
            <w:tcW w:w="6804"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Директор филиала ПАО «Россети Сибирь» - «Алтайэнерго»</w:t>
            </w:r>
          </w:p>
        </w:tc>
      </w:tr>
      <w:tr w:rsidR="00D602D4">
        <w:trPr>
          <w:trHeight w:val="429"/>
        </w:trPr>
        <w:tc>
          <w:tcPr>
            <w:tcW w:w="2972"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Пермяков </w:t>
            </w:r>
          </w:p>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Дмитрий Юрьевич</w:t>
            </w:r>
          </w:p>
        </w:tc>
        <w:tc>
          <w:tcPr>
            <w:tcW w:w="6804"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Заместитель генерального директора по экономике и финансам ПАО «Россети Сибирь»</w:t>
            </w:r>
          </w:p>
        </w:tc>
      </w:tr>
      <w:tr w:rsidR="00D602D4">
        <w:trPr>
          <w:trHeight w:val="395"/>
        </w:trPr>
        <w:tc>
          <w:tcPr>
            <w:tcW w:w="2972"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Сорокин</w:t>
            </w:r>
          </w:p>
          <w:p w:rsidR="00D602D4" w:rsidRDefault="000B4C86">
            <w:pPr>
              <w:widowControl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Игорь Анатольевич</w:t>
            </w:r>
          </w:p>
        </w:tc>
        <w:tc>
          <w:tcPr>
            <w:tcW w:w="6804" w:type="dxa"/>
            <w:tcBorders>
              <w:top w:val="single" w:sz="4" w:space="0" w:color="000000"/>
              <w:left w:val="single" w:sz="4" w:space="0" w:color="000000"/>
              <w:bottom w:val="single" w:sz="4" w:space="0" w:color="000000"/>
              <w:right w:val="single" w:sz="4" w:space="0" w:color="000000"/>
            </w:tcBorders>
          </w:tcPr>
          <w:p w:rsidR="00D602D4" w:rsidRDefault="000B4C86">
            <w:pPr>
              <w:widowControl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Заместитель генерального директора по техническим вопросам – главный инженер ПАО «Россети Сибирь»</w:t>
            </w:r>
          </w:p>
        </w:tc>
      </w:tr>
    </w:tbl>
    <w:p w:rsidR="00D602D4" w:rsidRDefault="00D602D4">
      <w:pPr>
        <w:widowControl w:val="0"/>
        <w:spacing w:after="0" w:line="240" w:lineRule="auto"/>
        <w:ind w:firstLine="709"/>
        <w:jc w:val="center"/>
        <w:rPr>
          <w:rFonts w:ascii="Times New Roman" w:hAnsi="Times New Roman"/>
          <w:b/>
          <w:sz w:val="24"/>
          <w:szCs w:val="24"/>
        </w:rPr>
      </w:pPr>
    </w:p>
    <w:p w:rsidR="00D602D4" w:rsidRDefault="000B4C86">
      <w:pPr>
        <w:widowControl w:val="0"/>
        <w:spacing w:after="0" w:line="240" w:lineRule="auto"/>
        <w:ind w:firstLine="709"/>
        <w:jc w:val="center"/>
        <w:rPr>
          <w:rFonts w:ascii="Times New Roman" w:hAnsi="Times New Roman"/>
          <w:b/>
          <w:sz w:val="24"/>
          <w:szCs w:val="24"/>
        </w:rPr>
      </w:pPr>
      <w:r>
        <w:rPr>
          <w:rFonts w:ascii="Times New Roman" w:hAnsi="Times New Roman"/>
          <w:b/>
          <w:sz w:val="24"/>
          <w:szCs w:val="24"/>
        </w:rPr>
        <w:t>Биографические данные членов Правления</w:t>
      </w:r>
    </w:p>
    <w:p w:rsidR="00D602D4" w:rsidRDefault="00D602D4">
      <w:pPr>
        <w:widowControl w:val="0"/>
        <w:spacing w:after="0" w:line="240" w:lineRule="auto"/>
        <w:ind w:firstLine="709"/>
        <w:jc w:val="center"/>
        <w:rPr>
          <w:rFonts w:ascii="Times New Roman" w:hAnsi="Times New Roman"/>
          <w:b/>
          <w:sz w:val="24"/>
          <w:szCs w:val="24"/>
        </w:rPr>
      </w:pPr>
    </w:p>
    <w:p w:rsidR="00D602D4" w:rsidRDefault="000B4C86">
      <w:pPr>
        <w:spacing w:after="0" w:line="240" w:lineRule="auto"/>
        <w:ind w:left="142"/>
        <w:rPr>
          <w:rFonts w:ascii="Times New Roman" w:hAnsi="Times New Roman" w:cs="Times New Roman"/>
          <w:b/>
          <w:sz w:val="24"/>
          <w:szCs w:val="24"/>
        </w:rPr>
      </w:pPr>
      <w:r>
        <w:rPr>
          <w:rFonts w:ascii="Times New Roman" w:hAnsi="Times New Roman" w:cs="Times New Roman"/>
          <w:b/>
          <w:sz w:val="24"/>
          <w:szCs w:val="24"/>
        </w:rPr>
        <w:t>Акилин Павел Евгеньевич</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Год рождения: 1975</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Образование: высшее, окончил в 1997 г. Ижевский государственный технический университет, экономист-менеджер.</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В 2005 г. окончил Государственный университет управления, «МВА – управление компанией», мастер делового администрирования, экономист-менеджер</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tbl>
      <w:tblPr>
        <w:tblW w:w="4927" w:type="pct"/>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000" w:firstRow="0" w:lastRow="0" w:firstColumn="0" w:lastColumn="0" w:noHBand="0" w:noVBand="0"/>
      </w:tblPr>
      <w:tblGrid>
        <w:gridCol w:w="1323"/>
        <w:gridCol w:w="1254"/>
        <w:gridCol w:w="3751"/>
        <w:gridCol w:w="3450"/>
      </w:tblGrid>
      <w:tr w:rsidR="00D602D4">
        <w:tc>
          <w:tcPr>
            <w:tcW w:w="1317" w:type="pct"/>
            <w:gridSpan w:val="2"/>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Период</w:t>
            </w:r>
          </w:p>
        </w:tc>
        <w:tc>
          <w:tcPr>
            <w:tcW w:w="1918"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Наименование организации</w:t>
            </w:r>
          </w:p>
        </w:tc>
        <w:tc>
          <w:tcPr>
            <w:tcW w:w="1765"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Должность</w:t>
            </w:r>
          </w:p>
        </w:tc>
      </w:tr>
      <w:tr w:rsidR="00D602D4">
        <w:tc>
          <w:tcPr>
            <w:tcW w:w="677"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p>
        </w:tc>
        <w:tc>
          <w:tcPr>
            <w:tcW w:w="641"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w:t>
            </w:r>
          </w:p>
        </w:tc>
        <w:tc>
          <w:tcPr>
            <w:tcW w:w="1918"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c>
          <w:tcPr>
            <w:tcW w:w="1765"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r>
      <w:tr w:rsidR="00D602D4">
        <w:trPr>
          <w:trHeight w:val="227"/>
        </w:trPr>
        <w:tc>
          <w:tcPr>
            <w:tcW w:w="677"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2019</w:t>
            </w:r>
          </w:p>
        </w:tc>
        <w:tc>
          <w:tcPr>
            <w:tcW w:w="641"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03.2025</w:t>
            </w:r>
          </w:p>
        </w:tc>
        <w:tc>
          <w:tcPr>
            <w:tcW w:w="1918"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ПАО «Россети Сибирь»</w:t>
            </w:r>
          </w:p>
        </w:tc>
        <w:tc>
          <w:tcPr>
            <w:tcW w:w="1765"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Генеральный директор</w:t>
            </w:r>
          </w:p>
        </w:tc>
      </w:tr>
      <w:tr w:rsidR="00D602D4">
        <w:trPr>
          <w:trHeight w:val="276"/>
        </w:trPr>
        <w:tc>
          <w:tcPr>
            <w:tcW w:w="677" w:type="pct"/>
            <w:vMerge w:val="restart"/>
            <w:shd w:val="clear" w:color="FFFFFF" w:fill="FFFFFF"/>
          </w:tcPr>
          <w:p w:rsidR="00D602D4" w:rsidRDefault="00D602D4">
            <w:pPr>
              <w:spacing w:after="0" w:line="240" w:lineRule="auto"/>
              <w:ind w:left="72"/>
              <w:jc w:val="both"/>
              <w:rPr>
                <w:rFonts w:ascii="Times New Roman" w:eastAsia="Times New Roman" w:hAnsi="Times New Roman" w:cs="Times New Roman"/>
                <w:color w:val="000000"/>
                <w:sz w:val="24"/>
                <w:szCs w:val="24"/>
                <w:lang w:eastAsia="ru-RU"/>
              </w:rPr>
            </w:pPr>
          </w:p>
        </w:tc>
        <w:tc>
          <w:tcPr>
            <w:tcW w:w="641" w:type="pct"/>
            <w:vMerge w:val="restart"/>
            <w:shd w:val="clear" w:color="FFFFFF" w:fill="FFFFFF"/>
          </w:tcPr>
          <w:p w:rsidR="00D602D4" w:rsidRDefault="00D602D4">
            <w:pPr>
              <w:spacing w:after="0" w:line="240" w:lineRule="auto"/>
              <w:ind w:left="72"/>
              <w:jc w:val="both"/>
              <w:rPr>
                <w:rFonts w:ascii="Times New Roman" w:eastAsia="Times New Roman" w:hAnsi="Times New Roman" w:cs="Times New Roman"/>
                <w:color w:val="000000"/>
                <w:sz w:val="24"/>
                <w:szCs w:val="24"/>
                <w:lang w:eastAsia="ru-RU"/>
              </w:rPr>
            </w:pPr>
          </w:p>
        </w:tc>
        <w:tc>
          <w:tcPr>
            <w:tcW w:w="1918" w:type="pct"/>
            <w:vMerge w:val="restart"/>
            <w:shd w:val="clear" w:color="FFFFFF" w:fill="FFFFFF"/>
          </w:tcPr>
          <w:p w:rsidR="00D602D4" w:rsidRDefault="00D602D4">
            <w:pPr>
              <w:spacing w:after="0" w:line="240" w:lineRule="auto"/>
              <w:ind w:left="72"/>
              <w:jc w:val="both"/>
              <w:rPr>
                <w:rFonts w:ascii="Times New Roman" w:eastAsia="Times New Roman" w:hAnsi="Times New Roman" w:cs="Times New Roman"/>
                <w:color w:val="000000"/>
                <w:sz w:val="24"/>
                <w:szCs w:val="24"/>
                <w:lang w:eastAsia="ru-RU"/>
              </w:rPr>
            </w:pPr>
          </w:p>
        </w:tc>
        <w:tc>
          <w:tcPr>
            <w:tcW w:w="1765" w:type="pct"/>
            <w:vMerge w:val="restart"/>
            <w:shd w:val="clear" w:color="FFFFFF" w:fill="FFFFFF"/>
          </w:tcPr>
          <w:p w:rsidR="00D602D4" w:rsidRDefault="00D602D4">
            <w:pPr>
              <w:spacing w:after="0" w:line="240" w:lineRule="auto"/>
              <w:ind w:left="72"/>
              <w:jc w:val="both"/>
              <w:rPr>
                <w:rFonts w:ascii="Times New Roman" w:eastAsia="Times New Roman" w:hAnsi="Times New Roman" w:cs="Times New Roman"/>
                <w:color w:val="000000"/>
                <w:sz w:val="24"/>
                <w:szCs w:val="24"/>
                <w:lang w:eastAsia="ru-RU"/>
              </w:rPr>
            </w:pPr>
          </w:p>
        </w:tc>
      </w:tr>
    </w:tbl>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lastRenderedPageBreak/>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Совета директоров АО «Россети Сибирь Тываэнерго», членом Совета директоров АО «РЭС», Председателем Правления АО «Россети Сибирь Тываэнерго», членом Совета директоров, и.о. генерального директора, Председателем Правления ПАО «Россети Томск».</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t xml:space="preserve"> </w:t>
      </w:r>
      <w:r>
        <w:rPr>
          <w:rFonts w:ascii="Times New Roman" w:hAnsi="Times New Roman" w:cs="Times New Roman"/>
          <w:sz w:val="24"/>
          <w:szCs w:val="24"/>
        </w:rPr>
        <w:t>отсутствует.</w:t>
      </w:r>
    </w:p>
    <w:p w:rsidR="00D602D4" w:rsidRDefault="00D602D4">
      <w:pPr>
        <w:widowControl w:val="0"/>
        <w:spacing w:after="0" w:line="240" w:lineRule="auto"/>
        <w:ind w:firstLine="709"/>
        <w:jc w:val="center"/>
        <w:rPr>
          <w:rFonts w:ascii="Times New Roman" w:hAnsi="Times New Roman"/>
          <w:b/>
          <w:bCs/>
          <w:sz w:val="24"/>
          <w:szCs w:val="24"/>
        </w:rPr>
      </w:pPr>
    </w:p>
    <w:p w:rsidR="00D602D4" w:rsidRDefault="000B4C86">
      <w:pPr>
        <w:spacing w:after="0" w:line="240" w:lineRule="auto"/>
        <w:ind w:left="142"/>
        <w:rPr>
          <w:rFonts w:ascii="Times New Roman" w:hAnsi="Times New Roman" w:cs="Times New Roman"/>
          <w:b/>
          <w:sz w:val="24"/>
          <w:szCs w:val="24"/>
        </w:rPr>
      </w:pPr>
      <w:r>
        <w:rPr>
          <w:rFonts w:ascii="Times New Roman" w:hAnsi="Times New Roman" w:cs="Times New Roman"/>
          <w:b/>
          <w:sz w:val="24"/>
          <w:szCs w:val="24"/>
        </w:rPr>
        <w:t>Архипов Николай Васильевич</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Год рождения: 1958</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 xml:space="preserve">Образование: высшее, окончил в 1980 году Красноярский сельскохозяйственный институт, зооинженер. </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В 1984 году Высшие курсы КГБ СССР, г. Ташкент.</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В 1991 году Высшие курсы КГБ СССР, г. Киев.</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В 1992 году Курсы повышения квалификации при Высшей школе МБ России.</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В 2001 году Курсы повышения квалификации при Академии ФСБ России.</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tbl>
      <w:tblPr>
        <w:tblW w:w="4927" w:type="pct"/>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000" w:firstRow="0" w:lastRow="0" w:firstColumn="0" w:lastColumn="0" w:noHBand="0" w:noVBand="0"/>
      </w:tblPr>
      <w:tblGrid>
        <w:gridCol w:w="1323"/>
        <w:gridCol w:w="1254"/>
        <w:gridCol w:w="3751"/>
        <w:gridCol w:w="3450"/>
      </w:tblGrid>
      <w:tr w:rsidR="00D602D4">
        <w:tc>
          <w:tcPr>
            <w:tcW w:w="1317" w:type="pct"/>
            <w:gridSpan w:val="2"/>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Период</w:t>
            </w:r>
          </w:p>
        </w:tc>
        <w:tc>
          <w:tcPr>
            <w:tcW w:w="1918"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Наименование организации</w:t>
            </w:r>
          </w:p>
        </w:tc>
        <w:tc>
          <w:tcPr>
            <w:tcW w:w="1765"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Должность</w:t>
            </w:r>
          </w:p>
        </w:tc>
      </w:tr>
      <w:tr w:rsidR="00D602D4">
        <w:tc>
          <w:tcPr>
            <w:tcW w:w="677"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p>
        </w:tc>
        <w:tc>
          <w:tcPr>
            <w:tcW w:w="641"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w:t>
            </w:r>
          </w:p>
        </w:tc>
        <w:tc>
          <w:tcPr>
            <w:tcW w:w="1918"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c>
          <w:tcPr>
            <w:tcW w:w="1765"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r>
      <w:tr w:rsidR="00D602D4">
        <w:trPr>
          <w:trHeight w:val="227"/>
        </w:trPr>
        <w:tc>
          <w:tcPr>
            <w:tcW w:w="677"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2013</w:t>
            </w:r>
          </w:p>
        </w:tc>
        <w:tc>
          <w:tcPr>
            <w:tcW w:w="641"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наст.вр.</w:t>
            </w:r>
          </w:p>
        </w:tc>
        <w:tc>
          <w:tcPr>
            <w:tcW w:w="1918"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ПАО «Россети Сибирь»</w:t>
            </w:r>
          </w:p>
        </w:tc>
        <w:tc>
          <w:tcPr>
            <w:tcW w:w="1765"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Заместитель Генерального директора по безопасности</w:t>
            </w:r>
          </w:p>
        </w:tc>
      </w:tr>
    </w:tbl>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Правления АО «Россети Сибирь Тываэнерго».</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t xml:space="preserve"> </w:t>
      </w:r>
      <w:r>
        <w:rPr>
          <w:rFonts w:ascii="Times New Roman" w:hAnsi="Times New Roman" w:cs="Times New Roman"/>
          <w:sz w:val="24"/>
          <w:szCs w:val="24"/>
        </w:rPr>
        <w:t>отсутствует.</w:t>
      </w:r>
    </w:p>
    <w:p w:rsidR="00D602D4" w:rsidRDefault="00D602D4">
      <w:pPr>
        <w:widowControl w:val="0"/>
        <w:spacing w:after="0" w:line="240" w:lineRule="auto"/>
        <w:ind w:firstLine="709"/>
        <w:jc w:val="center"/>
        <w:rPr>
          <w:rFonts w:ascii="Times New Roman" w:hAnsi="Times New Roman"/>
          <w:b/>
          <w:bCs/>
          <w:sz w:val="24"/>
          <w:szCs w:val="24"/>
        </w:rPr>
      </w:pPr>
    </w:p>
    <w:p w:rsidR="00D602D4" w:rsidRDefault="000B4C86">
      <w:pPr>
        <w:spacing w:after="0" w:line="240" w:lineRule="auto"/>
        <w:ind w:left="142"/>
        <w:rPr>
          <w:rFonts w:ascii="Times New Roman" w:hAnsi="Times New Roman" w:cs="Times New Roman"/>
          <w:b/>
          <w:sz w:val="24"/>
          <w:szCs w:val="24"/>
        </w:rPr>
      </w:pPr>
      <w:r>
        <w:rPr>
          <w:rFonts w:ascii="Times New Roman" w:hAnsi="Times New Roman" w:cs="Times New Roman"/>
          <w:b/>
          <w:sz w:val="24"/>
          <w:szCs w:val="24"/>
        </w:rPr>
        <w:t>Бортник Виталий Владимирович</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Год рождения: 1980</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Образование: высшее, в 2012 году закончил Национальный исследовательский Томский политехнический университет, электрические системы и сети, инженер.</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tbl>
      <w:tblPr>
        <w:tblW w:w="4927" w:type="pct"/>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000" w:firstRow="0" w:lastRow="0" w:firstColumn="0" w:lastColumn="0" w:noHBand="0" w:noVBand="0"/>
      </w:tblPr>
      <w:tblGrid>
        <w:gridCol w:w="1323"/>
        <w:gridCol w:w="1254"/>
        <w:gridCol w:w="3751"/>
        <w:gridCol w:w="3450"/>
      </w:tblGrid>
      <w:tr w:rsidR="00D602D4">
        <w:tc>
          <w:tcPr>
            <w:tcW w:w="1317" w:type="pct"/>
            <w:gridSpan w:val="2"/>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Период</w:t>
            </w:r>
          </w:p>
        </w:tc>
        <w:tc>
          <w:tcPr>
            <w:tcW w:w="1918"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Наименование организации</w:t>
            </w:r>
          </w:p>
        </w:tc>
        <w:tc>
          <w:tcPr>
            <w:tcW w:w="1765"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Должность</w:t>
            </w:r>
          </w:p>
        </w:tc>
      </w:tr>
      <w:tr w:rsidR="00D602D4">
        <w:tc>
          <w:tcPr>
            <w:tcW w:w="677"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p>
        </w:tc>
        <w:tc>
          <w:tcPr>
            <w:tcW w:w="641"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w:t>
            </w:r>
          </w:p>
        </w:tc>
        <w:tc>
          <w:tcPr>
            <w:tcW w:w="1918"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c>
          <w:tcPr>
            <w:tcW w:w="1765"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r>
      <w:tr w:rsidR="00D602D4">
        <w:trPr>
          <w:trHeight w:val="227"/>
        </w:trPr>
        <w:tc>
          <w:tcPr>
            <w:tcW w:w="677"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2018</w:t>
            </w:r>
          </w:p>
        </w:tc>
        <w:tc>
          <w:tcPr>
            <w:tcW w:w="641"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2024</w:t>
            </w:r>
          </w:p>
        </w:tc>
        <w:tc>
          <w:tcPr>
            <w:tcW w:w="1918"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ПАО «Россети Сибирь»</w:t>
            </w:r>
          </w:p>
        </w:tc>
        <w:tc>
          <w:tcPr>
            <w:tcW w:w="1765"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Начальник департамента перспективного развития и технологического присоединения</w:t>
            </w:r>
          </w:p>
        </w:tc>
      </w:tr>
      <w:tr w:rsidR="00D602D4">
        <w:trPr>
          <w:trHeight w:val="276"/>
        </w:trPr>
        <w:tc>
          <w:tcPr>
            <w:tcW w:w="677" w:type="pct"/>
            <w:vMerge w:val="restar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2024</w:t>
            </w:r>
          </w:p>
        </w:tc>
        <w:tc>
          <w:tcPr>
            <w:tcW w:w="641" w:type="pct"/>
            <w:vMerge w:val="restar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наст.вр.</w:t>
            </w:r>
          </w:p>
        </w:tc>
        <w:tc>
          <w:tcPr>
            <w:tcW w:w="1918" w:type="pct"/>
            <w:vMerge w:val="restar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ПАО «Россети Сибирь»</w:t>
            </w:r>
          </w:p>
        </w:tc>
        <w:tc>
          <w:tcPr>
            <w:tcW w:w="1765" w:type="pct"/>
            <w:vMerge w:val="restart"/>
            <w:shd w:val="clear" w:color="FFFFFF" w:fill="FFFFFF"/>
          </w:tcPr>
          <w:p w:rsidR="00D602D4" w:rsidRDefault="000B4C86">
            <w:pPr>
              <w:spacing w:after="0" w:line="240" w:lineRule="auto"/>
              <w:ind w:left="72"/>
              <w:jc w:val="both"/>
              <w:rPr>
                <w:rFonts w:ascii="Times New Roman" w:hAnsi="Times New Roman" w:cs="Times New Roman"/>
                <w:color w:val="000000"/>
                <w:sz w:val="24"/>
                <w:szCs w:val="24"/>
              </w:rPr>
            </w:pPr>
            <w:r>
              <w:rPr>
                <w:rFonts w:ascii="Times New Roman" w:eastAsia="Times New Roman" w:hAnsi="Times New Roman" w:cs="Times New Roman"/>
                <w:sz w:val="24"/>
                <w:szCs w:val="24"/>
              </w:rPr>
              <w:t>Заместитель генерального директора по реализации и развитию услуг</w:t>
            </w:r>
          </w:p>
        </w:tc>
      </w:tr>
    </w:tbl>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lastRenderedPageBreak/>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Правления АО «Россети Сибирь Тываэнерго».</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t xml:space="preserve"> </w:t>
      </w:r>
      <w:r>
        <w:rPr>
          <w:rFonts w:ascii="Times New Roman" w:hAnsi="Times New Roman" w:cs="Times New Roman"/>
          <w:sz w:val="24"/>
          <w:szCs w:val="24"/>
        </w:rPr>
        <w:t>отсутствует.</w:t>
      </w:r>
    </w:p>
    <w:p w:rsidR="00D602D4" w:rsidRDefault="00D602D4">
      <w:pPr>
        <w:spacing w:after="0" w:line="240" w:lineRule="auto"/>
        <w:ind w:left="142"/>
        <w:jc w:val="both"/>
        <w:rPr>
          <w:rFonts w:ascii="Times New Roman" w:hAnsi="Times New Roman" w:cs="Times New Roman"/>
          <w:sz w:val="24"/>
          <w:szCs w:val="24"/>
        </w:rPr>
      </w:pPr>
    </w:p>
    <w:p w:rsidR="00D602D4" w:rsidRDefault="000B4C86">
      <w:pPr>
        <w:spacing w:after="0" w:line="240" w:lineRule="auto"/>
        <w:ind w:left="142"/>
        <w:rPr>
          <w:rFonts w:ascii="Times New Roman" w:hAnsi="Times New Roman" w:cs="Times New Roman"/>
          <w:b/>
          <w:sz w:val="24"/>
          <w:szCs w:val="24"/>
        </w:rPr>
      </w:pPr>
      <w:r>
        <w:rPr>
          <w:rFonts w:ascii="Times New Roman" w:hAnsi="Times New Roman" w:cs="Times New Roman"/>
          <w:b/>
          <w:sz w:val="24"/>
          <w:szCs w:val="24"/>
        </w:rPr>
        <w:t>Левинский Андрей Игоревич</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Год рождения: 1968</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 xml:space="preserve">Образование: высшее, в 2003 году закончил Омский государственный университет, юрист. </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p w:rsidR="00D602D4" w:rsidRDefault="00D602D4">
      <w:pPr>
        <w:spacing w:after="0" w:line="240" w:lineRule="auto"/>
        <w:ind w:left="142"/>
        <w:rPr>
          <w:rFonts w:ascii="Times New Roman" w:hAnsi="Times New Roman" w:cs="Times New Roman"/>
          <w:sz w:val="24"/>
          <w:szCs w:val="24"/>
        </w:rPr>
      </w:pPr>
    </w:p>
    <w:tbl>
      <w:tblPr>
        <w:tblW w:w="4927" w:type="pct"/>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000" w:firstRow="0" w:lastRow="0" w:firstColumn="0" w:lastColumn="0" w:noHBand="0" w:noVBand="0"/>
      </w:tblPr>
      <w:tblGrid>
        <w:gridCol w:w="1320"/>
        <w:gridCol w:w="1273"/>
        <w:gridCol w:w="3494"/>
        <w:gridCol w:w="3691"/>
      </w:tblGrid>
      <w:tr w:rsidR="00D602D4">
        <w:tc>
          <w:tcPr>
            <w:tcW w:w="2445" w:type="dxa"/>
            <w:gridSpan w:val="2"/>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Период</w:t>
            </w:r>
          </w:p>
        </w:tc>
        <w:tc>
          <w:tcPr>
            <w:tcW w:w="3294" w:type="dxa"/>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Наименование организации</w:t>
            </w:r>
          </w:p>
        </w:tc>
        <w:tc>
          <w:tcPr>
            <w:tcW w:w="3480" w:type="dxa"/>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Должность</w:t>
            </w:r>
          </w:p>
        </w:tc>
      </w:tr>
      <w:tr w:rsidR="00D602D4">
        <w:tc>
          <w:tcPr>
            <w:tcW w:w="1245" w:type="dxa"/>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p>
        </w:tc>
        <w:tc>
          <w:tcPr>
            <w:tcW w:w="1200" w:type="dxa"/>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w:t>
            </w:r>
          </w:p>
        </w:tc>
        <w:tc>
          <w:tcPr>
            <w:tcW w:w="3294" w:type="dxa"/>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c>
          <w:tcPr>
            <w:tcW w:w="3480" w:type="dxa"/>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r>
      <w:tr w:rsidR="00D602D4">
        <w:trPr>
          <w:trHeight w:val="227"/>
        </w:trPr>
        <w:tc>
          <w:tcPr>
            <w:tcW w:w="1245" w:type="dxa"/>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2017</w:t>
            </w:r>
          </w:p>
        </w:tc>
        <w:tc>
          <w:tcPr>
            <w:tcW w:w="1200" w:type="dxa"/>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наст.вр.</w:t>
            </w:r>
          </w:p>
        </w:tc>
        <w:tc>
          <w:tcPr>
            <w:tcW w:w="3294" w:type="dxa"/>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ПАО «Россети Сибирь»</w:t>
            </w:r>
          </w:p>
        </w:tc>
        <w:tc>
          <w:tcPr>
            <w:tcW w:w="3480" w:type="dxa"/>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Заместитель Генерального директора по корпоративному управлению</w:t>
            </w:r>
          </w:p>
        </w:tc>
      </w:tr>
      <w:tr w:rsidR="00D602D4">
        <w:trPr>
          <w:trHeight w:val="227"/>
        </w:trPr>
        <w:tc>
          <w:tcPr>
            <w:tcW w:w="1245" w:type="dxa"/>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2021</w:t>
            </w:r>
          </w:p>
        </w:tc>
        <w:tc>
          <w:tcPr>
            <w:tcW w:w="1200" w:type="dxa"/>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наст.вр.</w:t>
            </w:r>
          </w:p>
        </w:tc>
        <w:tc>
          <w:tcPr>
            <w:tcW w:w="3294" w:type="dxa"/>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ПАО «Россети Томск»</w:t>
            </w:r>
          </w:p>
        </w:tc>
        <w:tc>
          <w:tcPr>
            <w:tcW w:w="3480" w:type="dxa"/>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Руководитель проекта</w:t>
            </w:r>
          </w:p>
        </w:tc>
      </w:tr>
    </w:tbl>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Информация о владении акциями Общества в течение отчетного года: доля участия лица в уставном капитале ПАО «Россети Сибирь», %: 0.000037.</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Доля принадлежащих лицу обыкновенных акций ПАО «Россети Сибирь», %: 0.000038.</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Правления АО «Россети Сибирь Тываэнерго» и ПАО «Россети Томск».</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t xml:space="preserve"> </w:t>
      </w:r>
      <w:r>
        <w:rPr>
          <w:rFonts w:ascii="Times New Roman" w:hAnsi="Times New Roman" w:cs="Times New Roman"/>
          <w:sz w:val="24"/>
          <w:szCs w:val="24"/>
        </w:rPr>
        <w:t>отсутствует.</w:t>
      </w:r>
    </w:p>
    <w:p w:rsidR="00D602D4" w:rsidRDefault="00D602D4">
      <w:pPr>
        <w:widowControl w:val="0"/>
        <w:spacing w:after="0" w:line="240" w:lineRule="auto"/>
        <w:ind w:firstLine="709"/>
        <w:jc w:val="center"/>
        <w:rPr>
          <w:rFonts w:ascii="Times New Roman" w:hAnsi="Times New Roman"/>
          <w:b/>
          <w:bCs/>
          <w:sz w:val="24"/>
          <w:szCs w:val="24"/>
        </w:rPr>
      </w:pPr>
    </w:p>
    <w:p w:rsidR="00D602D4" w:rsidRDefault="000B4C86">
      <w:pPr>
        <w:spacing w:after="0" w:line="240" w:lineRule="auto"/>
        <w:ind w:left="142"/>
        <w:rPr>
          <w:rFonts w:ascii="Times New Roman" w:hAnsi="Times New Roman" w:cs="Times New Roman"/>
          <w:b/>
          <w:sz w:val="24"/>
          <w:szCs w:val="24"/>
        </w:rPr>
      </w:pPr>
      <w:r>
        <w:rPr>
          <w:rFonts w:ascii="Times New Roman" w:hAnsi="Times New Roman" w:cs="Times New Roman"/>
          <w:b/>
          <w:sz w:val="24"/>
          <w:szCs w:val="24"/>
        </w:rPr>
        <w:t>Пантелеев Николай Анатольевич</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Год рождения: 1976</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Образование: высшее, окончил в 1998 году Алтайский государственный университет, юрист.                                                                                                                                                                                                                                              В 2015 году окончил ФГБОУ ВПО «Алтайский государственный технический университет им. И. И. Ползунова», электрика и электроэнергетика, бакалавр.</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p w:rsidR="00D602D4" w:rsidRDefault="00D602D4">
      <w:pPr>
        <w:spacing w:after="0" w:line="240" w:lineRule="auto"/>
        <w:ind w:left="142"/>
        <w:jc w:val="both"/>
        <w:rPr>
          <w:rFonts w:ascii="Times New Roman" w:hAnsi="Times New Roman" w:cs="Times New Roman"/>
          <w:sz w:val="24"/>
          <w:szCs w:val="24"/>
        </w:rPr>
      </w:pPr>
    </w:p>
    <w:p w:rsidR="00D602D4" w:rsidRDefault="00D602D4">
      <w:pPr>
        <w:spacing w:after="0" w:line="240" w:lineRule="auto"/>
        <w:ind w:left="142"/>
        <w:jc w:val="both"/>
        <w:rPr>
          <w:rFonts w:ascii="Times New Roman" w:hAnsi="Times New Roman" w:cs="Times New Roman"/>
          <w:sz w:val="24"/>
          <w:szCs w:val="24"/>
        </w:rPr>
      </w:pPr>
    </w:p>
    <w:tbl>
      <w:tblPr>
        <w:tblW w:w="4927" w:type="pct"/>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000" w:firstRow="0" w:lastRow="0" w:firstColumn="0" w:lastColumn="0" w:noHBand="0" w:noVBand="0"/>
      </w:tblPr>
      <w:tblGrid>
        <w:gridCol w:w="1323"/>
        <w:gridCol w:w="1254"/>
        <w:gridCol w:w="3751"/>
        <w:gridCol w:w="3450"/>
      </w:tblGrid>
      <w:tr w:rsidR="00D602D4">
        <w:tc>
          <w:tcPr>
            <w:tcW w:w="1317" w:type="pct"/>
            <w:gridSpan w:val="2"/>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Период</w:t>
            </w:r>
          </w:p>
        </w:tc>
        <w:tc>
          <w:tcPr>
            <w:tcW w:w="1918"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Наименование организации</w:t>
            </w:r>
          </w:p>
        </w:tc>
        <w:tc>
          <w:tcPr>
            <w:tcW w:w="1765"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Должность</w:t>
            </w:r>
          </w:p>
        </w:tc>
      </w:tr>
      <w:tr w:rsidR="00D602D4">
        <w:tc>
          <w:tcPr>
            <w:tcW w:w="677"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p>
        </w:tc>
        <w:tc>
          <w:tcPr>
            <w:tcW w:w="641"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w:t>
            </w:r>
          </w:p>
        </w:tc>
        <w:tc>
          <w:tcPr>
            <w:tcW w:w="1918"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c>
          <w:tcPr>
            <w:tcW w:w="1765"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r>
      <w:tr w:rsidR="00D602D4">
        <w:trPr>
          <w:trHeight w:val="227"/>
        </w:trPr>
        <w:tc>
          <w:tcPr>
            <w:tcW w:w="677"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2016</w:t>
            </w:r>
          </w:p>
        </w:tc>
        <w:tc>
          <w:tcPr>
            <w:tcW w:w="641"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наст.вр.</w:t>
            </w:r>
          </w:p>
        </w:tc>
        <w:tc>
          <w:tcPr>
            <w:tcW w:w="1918"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ПАО «Россети Сибирь» </w:t>
            </w:r>
          </w:p>
        </w:tc>
        <w:tc>
          <w:tcPr>
            <w:tcW w:w="1765"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Директор филиала  «Алтайэнерго»</w:t>
            </w:r>
          </w:p>
        </w:tc>
      </w:tr>
    </w:tbl>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Правления АО «Россети Сибирь Тываэнерго».</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lastRenderedPageBreak/>
        <w:t>Сведения о наличии у члена Правления конфликта интересов (в том числе связанного с участием в органах управления других организаций Общества):</w:t>
      </w:r>
      <w:r>
        <w:t xml:space="preserve"> </w:t>
      </w:r>
      <w:r>
        <w:rPr>
          <w:rFonts w:ascii="Times New Roman" w:hAnsi="Times New Roman" w:cs="Times New Roman"/>
          <w:sz w:val="24"/>
          <w:szCs w:val="24"/>
        </w:rPr>
        <w:t>отсутствует.</w:t>
      </w:r>
    </w:p>
    <w:p w:rsidR="00D602D4" w:rsidRDefault="00D602D4">
      <w:pPr>
        <w:widowControl w:val="0"/>
        <w:spacing w:after="0" w:line="240" w:lineRule="auto"/>
        <w:ind w:firstLine="709"/>
        <w:jc w:val="center"/>
        <w:rPr>
          <w:rFonts w:ascii="Times New Roman" w:hAnsi="Times New Roman"/>
          <w:b/>
          <w:sz w:val="24"/>
          <w:szCs w:val="24"/>
        </w:rPr>
      </w:pPr>
    </w:p>
    <w:p w:rsidR="00D602D4" w:rsidRDefault="000B4C86">
      <w:pPr>
        <w:spacing w:after="0" w:line="240" w:lineRule="auto"/>
        <w:ind w:left="142"/>
        <w:rPr>
          <w:rFonts w:ascii="Times New Roman" w:hAnsi="Times New Roman" w:cs="Times New Roman"/>
          <w:b/>
          <w:sz w:val="24"/>
          <w:szCs w:val="24"/>
        </w:rPr>
      </w:pPr>
      <w:r>
        <w:rPr>
          <w:rFonts w:ascii="Times New Roman" w:hAnsi="Times New Roman" w:cs="Times New Roman"/>
          <w:b/>
          <w:sz w:val="24"/>
          <w:szCs w:val="24"/>
        </w:rPr>
        <w:t>Пермяков Дмитрий Юрьевич</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Год рождения: 1973</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Образование: высшее, окончил в 1996 году Удмуртский государственный университет, экономист.</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 xml:space="preserve">В 2006 году окончил Финансовую академию при Правительстве </w:t>
      </w:r>
      <w:r>
        <w:rPr>
          <w:rFonts w:ascii="Times New Roman" w:eastAsia="Times New Roman" w:hAnsi="Times New Roman" w:cs="Times New Roman"/>
          <w:sz w:val="24"/>
          <w:szCs w:val="24"/>
        </w:rPr>
        <w:t>Российской Федерации</w:t>
      </w:r>
      <w:r>
        <w:rPr>
          <w:rFonts w:ascii="Times New Roman" w:hAnsi="Times New Roman" w:cs="Times New Roman"/>
          <w:sz w:val="24"/>
          <w:szCs w:val="24"/>
        </w:rPr>
        <w:t xml:space="preserve"> по программе переподготовки «Мастер делового администрирования».</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tbl>
      <w:tblPr>
        <w:tblW w:w="4927" w:type="pct"/>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000" w:firstRow="0" w:lastRow="0" w:firstColumn="0" w:lastColumn="0" w:noHBand="0" w:noVBand="0"/>
      </w:tblPr>
      <w:tblGrid>
        <w:gridCol w:w="1323"/>
        <w:gridCol w:w="1254"/>
        <w:gridCol w:w="3751"/>
        <w:gridCol w:w="3450"/>
      </w:tblGrid>
      <w:tr w:rsidR="00D602D4">
        <w:tc>
          <w:tcPr>
            <w:tcW w:w="1317" w:type="pct"/>
            <w:gridSpan w:val="2"/>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Период</w:t>
            </w:r>
          </w:p>
        </w:tc>
        <w:tc>
          <w:tcPr>
            <w:tcW w:w="1918"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Наименование организации</w:t>
            </w:r>
          </w:p>
        </w:tc>
        <w:tc>
          <w:tcPr>
            <w:tcW w:w="1765"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Должность</w:t>
            </w:r>
          </w:p>
        </w:tc>
      </w:tr>
      <w:tr w:rsidR="00D602D4">
        <w:tc>
          <w:tcPr>
            <w:tcW w:w="677"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p>
        </w:tc>
        <w:tc>
          <w:tcPr>
            <w:tcW w:w="641"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w:t>
            </w:r>
          </w:p>
        </w:tc>
        <w:tc>
          <w:tcPr>
            <w:tcW w:w="1918"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c>
          <w:tcPr>
            <w:tcW w:w="1765"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r>
      <w:tr w:rsidR="00D602D4">
        <w:trPr>
          <w:trHeight w:val="227"/>
        </w:trPr>
        <w:tc>
          <w:tcPr>
            <w:tcW w:w="677"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2019</w:t>
            </w:r>
          </w:p>
        </w:tc>
        <w:tc>
          <w:tcPr>
            <w:tcW w:w="641"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2020</w:t>
            </w:r>
          </w:p>
        </w:tc>
        <w:tc>
          <w:tcPr>
            <w:tcW w:w="1918"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ПАО «Россети Сибирь» </w:t>
            </w:r>
          </w:p>
        </w:tc>
        <w:tc>
          <w:tcPr>
            <w:tcW w:w="1765"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Руководитель проекта, и.о. заместителя Генерального директора по экономике и финансам</w:t>
            </w:r>
          </w:p>
        </w:tc>
      </w:tr>
      <w:tr w:rsidR="00D602D4">
        <w:trPr>
          <w:trHeight w:val="227"/>
        </w:trPr>
        <w:tc>
          <w:tcPr>
            <w:tcW w:w="677"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2020</w:t>
            </w:r>
          </w:p>
        </w:tc>
        <w:tc>
          <w:tcPr>
            <w:tcW w:w="641"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наст.вр.</w:t>
            </w:r>
          </w:p>
        </w:tc>
        <w:tc>
          <w:tcPr>
            <w:tcW w:w="1918"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ПАО «Россети Сибирь»</w:t>
            </w:r>
          </w:p>
        </w:tc>
        <w:tc>
          <w:tcPr>
            <w:tcW w:w="1765"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Заместитель Генерального директора по экономике и финансам</w:t>
            </w:r>
          </w:p>
        </w:tc>
      </w:tr>
    </w:tbl>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Правления АО «Россети Сибирь Тываэнерго», и ПАО «Россети Томск».</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t xml:space="preserve"> </w:t>
      </w:r>
      <w:r>
        <w:rPr>
          <w:rFonts w:ascii="Times New Roman" w:hAnsi="Times New Roman" w:cs="Times New Roman"/>
          <w:sz w:val="24"/>
          <w:szCs w:val="24"/>
        </w:rPr>
        <w:t>отсутствует.</w:t>
      </w:r>
    </w:p>
    <w:p w:rsidR="00D602D4" w:rsidRDefault="00D602D4">
      <w:pPr>
        <w:widowControl w:val="0"/>
        <w:spacing w:after="0" w:line="240" w:lineRule="auto"/>
        <w:ind w:firstLine="709"/>
        <w:jc w:val="center"/>
        <w:rPr>
          <w:rFonts w:ascii="Times New Roman" w:hAnsi="Times New Roman"/>
          <w:b/>
          <w:sz w:val="24"/>
          <w:szCs w:val="24"/>
        </w:rPr>
      </w:pPr>
    </w:p>
    <w:p w:rsidR="00D602D4" w:rsidRDefault="000B4C86">
      <w:pPr>
        <w:spacing w:after="0" w:line="240" w:lineRule="auto"/>
        <w:ind w:left="142"/>
        <w:rPr>
          <w:rFonts w:ascii="Times New Roman" w:hAnsi="Times New Roman" w:cs="Times New Roman"/>
          <w:b/>
          <w:sz w:val="24"/>
          <w:szCs w:val="24"/>
        </w:rPr>
      </w:pPr>
      <w:r>
        <w:rPr>
          <w:rFonts w:ascii="Times New Roman" w:hAnsi="Times New Roman" w:cs="Times New Roman"/>
          <w:b/>
          <w:sz w:val="24"/>
          <w:szCs w:val="24"/>
        </w:rPr>
        <w:t>Сорокин Игорь Анатольевич</w:t>
      </w:r>
    </w:p>
    <w:p w:rsidR="00D602D4" w:rsidRDefault="000B4C86">
      <w:pPr>
        <w:spacing w:after="0" w:line="240" w:lineRule="auto"/>
        <w:ind w:left="142"/>
        <w:rPr>
          <w:rFonts w:ascii="Times New Roman" w:hAnsi="Times New Roman" w:cs="Times New Roman"/>
          <w:sz w:val="24"/>
          <w:szCs w:val="24"/>
        </w:rPr>
      </w:pPr>
      <w:r>
        <w:rPr>
          <w:rFonts w:ascii="Times New Roman" w:hAnsi="Times New Roman" w:cs="Times New Roman"/>
          <w:sz w:val="24"/>
          <w:szCs w:val="24"/>
        </w:rPr>
        <w:t>Год рождения: 1969</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Образование: высшее, окончил в 1993 году Омский политехнический институт, инженер-механик;</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В 2007 году окончил Томский политехнический университет, переподготовка, инженер.</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местах работы члена Правления за последние 5 лет и об участии в органах управления и контроля других организаций:</w:t>
      </w:r>
    </w:p>
    <w:tbl>
      <w:tblPr>
        <w:tblW w:w="4927" w:type="pct"/>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000" w:firstRow="0" w:lastRow="0" w:firstColumn="0" w:lastColumn="0" w:noHBand="0" w:noVBand="0"/>
      </w:tblPr>
      <w:tblGrid>
        <w:gridCol w:w="1323"/>
        <w:gridCol w:w="1254"/>
        <w:gridCol w:w="3751"/>
        <w:gridCol w:w="3450"/>
      </w:tblGrid>
      <w:tr w:rsidR="00D602D4">
        <w:tc>
          <w:tcPr>
            <w:tcW w:w="1318" w:type="pct"/>
            <w:gridSpan w:val="2"/>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Период</w:t>
            </w:r>
          </w:p>
        </w:tc>
        <w:tc>
          <w:tcPr>
            <w:tcW w:w="1918"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Наименование организации</w:t>
            </w:r>
          </w:p>
        </w:tc>
        <w:tc>
          <w:tcPr>
            <w:tcW w:w="1764" w:type="pct"/>
            <w:vMerge w:val="restar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Должность</w:t>
            </w:r>
          </w:p>
        </w:tc>
      </w:tr>
      <w:tr w:rsidR="00D602D4">
        <w:tc>
          <w:tcPr>
            <w:tcW w:w="677"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p>
        </w:tc>
        <w:tc>
          <w:tcPr>
            <w:tcW w:w="641" w:type="pct"/>
            <w:shd w:val="clear" w:color="FFFFFF" w:fill="FFFFFF"/>
            <w:vAlign w:val="center"/>
          </w:tcPr>
          <w:p w:rsidR="00D602D4" w:rsidRDefault="000B4C86">
            <w:pPr>
              <w:spacing w:after="0" w:line="240" w:lineRule="auto"/>
              <w:ind w:left="72"/>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w:t>
            </w:r>
          </w:p>
        </w:tc>
        <w:tc>
          <w:tcPr>
            <w:tcW w:w="1918"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c>
          <w:tcPr>
            <w:tcW w:w="1764" w:type="pct"/>
            <w:vMerge/>
            <w:shd w:val="clear" w:color="FFFFFF" w:fill="FFFFFF"/>
            <w:vAlign w:val="center"/>
          </w:tcPr>
          <w:p w:rsidR="00D602D4" w:rsidRDefault="00D602D4">
            <w:pPr>
              <w:spacing w:after="0" w:line="240" w:lineRule="auto"/>
              <w:ind w:left="72"/>
              <w:jc w:val="center"/>
              <w:rPr>
                <w:rFonts w:ascii="Times New Roman" w:eastAsia="Times New Roman" w:hAnsi="Times New Roman" w:cs="Times New Roman"/>
                <w:color w:val="000000"/>
                <w:sz w:val="24"/>
                <w:szCs w:val="24"/>
                <w:lang w:eastAsia="ru-RU"/>
              </w:rPr>
            </w:pPr>
          </w:p>
        </w:tc>
      </w:tr>
      <w:tr w:rsidR="00D602D4">
        <w:trPr>
          <w:trHeight w:val="227"/>
        </w:trPr>
        <w:tc>
          <w:tcPr>
            <w:tcW w:w="677"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2016</w:t>
            </w:r>
          </w:p>
        </w:tc>
        <w:tc>
          <w:tcPr>
            <w:tcW w:w="641"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наст.вр.</w:t>
            </w:r>
          </w:p>
        </w:tc>
        <w:tc>
          <w:tcPr>
            <w:tcW w:w="1918"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ПАО «Россети Сибирь»</w:t>
            </w:r>
          </w:p>
        </w:tc>
        <w:tc>
          <w:tcPr>
            <w:tcW w:w="1764" w:type="pct"/>
            <w:shd w:val="clear" w:color="FFFFFF" w:fill="FFFFFF"/>
          </w:tcPr>
          <w:p w:rsidR="00D602D4" w:rsidRDefault="000B4C86">
            <w:pPr>
              <w:spacing w:after="0" w:line="240" w:lineRule="auto"/>
              <w:ind w:left="72"/>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Заместитель Генерального директора по техническим вопросам - главный инженер</w:t>
            </w:r>
          </w:p>
        </w:tc>
      </w:tr>
    </w:tbl>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Информация о владении акциями Общества в течение отчетного года: акциями ПАО «Россети Сибирь», а также акциями или долями его подконтрольных организаций не владеет.</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сделках с акциями Общества, совершенных членом Правления в отчетном году: сделки по приобретению и/или отчуждению акций Общества, не совершал.</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об участии члена Правления в других организациях: на конец отчетного периода является членом Правления АО «Россети Сибирь Тываэнерго».</w:t>
      </w:r>
    </w:p>
    <w:p w:rsidR="00D602D4" w:rsidRDefault="000B4C86">
      <w:pPr>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Сведения о наличии у члена Правления конфликта интересов (в том числе связанного с участием в органах управления других организаций Общества):</w:t>
      </w:r>
      <w:r>
        <w:t xml:space="preserve"> </w:t>
      </w:r>
      <w:r>
        <w:rPr>
          <w:rFonts w:ascii="Times New Roman" w:hAnsi="Times New Roman" w:cs="Times New Roman"/>
          <w:sz w:val="24"/>
          <w:szCs w:val="24"/>
        </w:rPr>
        <w:t>отсутствует.</w:t>
      </w:r>
    </w:p>
    <w:p w:rsidR="00D602D4" w:rsidRDefault="00D602D4">
      <w:pPr>
        <w:widowControl w:val="0"/>
        <w:spacing w:after="0" w:line="240" w:lineRule="auto"/>
        <w:ind w:firstLine="709"/>
        <w:contextualSpacing/>
        <w:jc w:val="both"/>
        <w:rPr>
          <w:rFonts w:ascii="Times New Roman" w:eastAsia="Times New Roman" w:hAnsi="Times New Roman"/>
          <w:sz w:val="24"/>
          <w:szCs w:val="24"/>
        </w:rPr>
      </w:pPr>
    </w:p>
    <w:p w:rsidR="00D602D4" w:rsidRDefault="00D602D4">
      <w:pPr>
        <w:widowControl w:val="0"/>
        <w:spacing w:after="0" w:line="240" w:lineRule="auto"/>
        <w:ind w:firstLine="709"/>
        <w:contextualSpacing/>
        <w:jc w:val="right"/>
        <w:rPr>
          <w:rFonts w:ascii="Times New Roman" w:eastAsia="Times New Roman" w:hAnsi="Times New Roman"/>
          <w:sz w:val="24"/>
          <w:szCs w:val="24"/>
        </w:rPr>
      </w:pPr>
    </w:p>
    <w:p w:rsidR="00D602D4" w:rsidRDefault="000B4C86">
      <w:pPr>
        <w:widowControl w:val="0"/>
        <w:spacing w:after="0" w:line="240" w:lineRule="auto"/>
        <w:ind w:firstLine="709"/>
        <w:contextualSpacing/>
        <w:jc w:val="right"/>
        <w:rPr>
          <w:rFonts w:ascii="Times New Roman" w:eastAsia="Times New Roman" w:hAnsi="Times New Roman"/>
          <w:sz w:val="24"/>
          <w:szCs w:val="24"/>
        </w:rPr>
      </w:pPr>
      <w:r>
        <w:rPr>
          <w:rFonts w:ascii="Times New Roman" w:eastAsia="Times New Roman" w:hAnsi="Times New Roman"/>
          <w:sz w:val="24"/>
          <w:szCs w:val="24"/>
          <w:highlight w:val="white"/>
        </w:rPr>
        <w:lastRenderedPageBreak/>
        <w:t xml:space="preserve">Таблица </w:t>
      </w:r>
      <w:r>
        <w:rPr>
          <w:rFonts w:ascii="Times New Roman" w:eastAsia="Times New Roman" w:hAnsi="Times New Roman"/>
          <w:sz w:val="24"/>
          <w:szCs w:val="24"/>
        </w:rPr>
        <w:t>101</w:t>
      </w:r>
    </w:p>
    <w:p w:rsidR="00D602D4" w:rsidRDefault="000B4C86">
      <w:pPr>
        <w:widowControl w:val="0"/>
        <w:spacing w:after="0" w:line="240" w:lineRule="auto"/>
        <w:ind w:firstLine="709"/>
        <w:contextualSpacing/>
        <w:jc w:val="center"/>
        <w:rPr>
          <w:rFonts w:ascii="Times New Roman" w:eastAsia="Times New Roman" w:hAnsi="Times New Roman"/>
          <w:sz w:val="24"/>
          <w:szCs w:val="24"/>
        </w:rPr>
      </w:pPr>
      <w:r>
        <w:rPr>
          <w:rFonts w:ascii="Times New Roman" w:eastAsia="Times New Roman" w:hAnsi="Times New Roman"/>
          <w:b/>
          <w:sz w:val="24"/>
          <w:szCs w:val="24"/>
        </w:rPr>
        <w:t>Изменения в персональном составе Правления в 2024 году</w:t>
      </w:r>
    </w:p>
    <w:p w:rsidR="00D602D4" w:rsidRDefault="00D602D4">
      <w:pPr>
        <w:widowControl w:val="0"/>
        <w:spacing w:after="0" w:line="240" w:lineRule="auto"/>
        <w:ind w:firstLine="709"/>
        <w:contextualSpacing/>
        <w:jc w:val="right"/>
        <w:rPr>
          <w:rFonts w:ascii="Times New Roman" w:eastAsia="Times New Roman" w:hAnsi="Times New Roman"/>
          <w:sz w:val="24"/>
          <w:szCs w:val="24"/>
        </w:rPr>
      </w:pPr>
    </w:p>
    <w:tbl>
      <w:tblPr>
        <w:tblStyle w:val="83"/>
        <w:tblW w:w="9143" w:type="dxa"/>
        <w:tblInd w:w="250" w:type="dxa"/>
        <w:tblLayout w:type="fixed"/>
        <w:tblLook w:val="04A0" w:firstRow="1" w:lastRow="0" w:firstColumn="1" w:lastColumn="0" w:noHBand="0" w:noVBand="1"/>
      </w:tblPr>
      <w:tblGrid>
        <w:gridCol w:w="2726"/>
        <w:gridCol w:w="1949"/>
        <w:gridCol w:w="2129"/>
        <w:gridCol w:w="2339"/>
      </w:tblGrid>
      <w:tr w:rsidR="00D602D4">
        <w:tc>
          <w:tcPr>
            <w:tcW w:w="2726" w:type="dxa"/>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jc w:val="center"/>
              <w:rPr>
                <w:rFonts w:ascii="Times New Roman" w:eastAsia="Times New Roman" w:hAnsi="Times New Roman"/>
                <w:b/>
                <w:sz w:val="20"/>
                <w:szCs w:val="20"/>
              </w:rPr>
            </w:pPr>
            <w:r>
              <w:rPr>
                <w:rFonts w:ascii="Times New Roman" w:eastAsia="Times New Roman" w:hAnsi="Times New Roman"/>
                <w:b/>
                <w:sz w:val="20"/>
                <w:szCs w:val="20"/>
              </w:rPr>
              <w:t>Ф. И. О.</w:t>
            </w:r>
          </w:p>
        </w:tc>
        <w:tc>
          <w:tcPr>
            <w:tcW w:w="1949"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jc w:val="center"/>
              <w:rPr>
                <w:rFonts w:ascii="Times New Roman" w:eastAsia="Times New Roman" w:hAnsi="Times New Roman"/>
                <w:b/>
                <w:sz w:val="20"/>
                <w:szCs w:val="20"/>
              </w:rPr>
            </w:pPr>
            <w:r>
              <w:rPr>
                <w:rFonts w:ascii="Times New Roman" w:eastAsia="Times New Roman" w:hAnsi="Times New Roman"/>
                <w:b/>
                <w:sz w:val="20"/>
                <w:szCs w:val="20"/>
              </w:rPr>
              <w:t>Дата</w:t>
            </w:r>
            <w:r>
              <w:rPr>
                <w:sz w:val="20"/>
                <w:szCs w:val="20"/>
              </w:rPr>
              <w:t xml:space="preserve"> </w:t>
            </w:r>
            <w:r>
              <w:rPr>
                <w:rFonts w:ascii="Times New Roman" w:eastAsia="Times New Roman" w:hAnsi="Times New Roman"/>
                <w:b/>
                <w:sz w:val="20"/>
                <w:szCs w:val="20"/>
              </w:rPr>
              <w:t>прекращения полномочий</w:t>
            </w:r>
          </w:p>
        </w:tc>
        <w:tc>
          <w:tcPr>
            <w:tcW w:w="2129"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jc w:val="center"/>
              <w:rPr>
                <w:rFonts w:ascii="Times New Roman" w:eastAsia="Times New Roman" w:hAnsi="Times New Roman"/>
                <w:b/>
                <w:sz w:val="20"/>
                <w:szCs w:val="20"/>
              </w:rPr>
            </w:pPr>
            <w:r>
              <w:rPr>
                <w:rFonts w:ascii="Times New Roman" w:eastAsia="Times New Roman" w:hAnsi="Times New Roman"/>
                <w:b/>
                <w:sz w:val="20"/>
                <w:szCs w:val="20"/>
              </w:rPr>
              <w:t>Дата начала полномочий</w:t>
            </w:r>
          </w:p>
        </w:tc>
        <w:tc>
          <w:tcPr>
            <w:tcW w:w="2339"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jc w:val="center"/>
              <w:rPr>
                <w:rFonts w:ascii="Times New Roman" w:eastAsia="Times New Roman" w:hAnsi="Times New Roman"/>
                <w:b/>
                <w:sz w:val="20"/>
                <w:szCs w:val="20"/>
              </w:rPr>
            </w:pPr>
            <w:r>
              <w:rPr>
                <w:rFonts w:ascii="Times New Roman" w:eastAsia="Times New Roman" w:hAnsi="Times New Roman"/>
                <w:b/>
                <w:sz w:val="20"/>
                <w:szCs w:val="20"/>
              </w:rPr>
              <w:t>Причина прекращения полномочий</w:t>
            </w:r>
          </w:p>
        </w:tc>
      </w:tr>
      <w:tr w:rsidR="00D602D4">
        <w:tc>
          <w:tcPr>
            <w:tcW w:w="2726" w:type="dxa"/>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rPr>
                <w:rFonts w:ascii="Times New Roman" w:eastAsia="Times New Roman" w:hAnsi="Times New Roman"/>
                <w:sz w:val="20"/>
                <w:szCs w:val="20"/>
              </w:rPr>
            </w:pPr>
            <w:r>
              <w:rPr>
                <w:rFonts w:ascii="Times New Roman" w:eastAsia="Times New Roman" w:hAnsi="Times New Roman"/>
                <w:sz w:val="20"/>
                <w:szCs w:val="20"/>
              </w:rPr>
              <w:t>Лагунин Дмитрий Юрьевич</w:t>
            </w:r>
          </w:p>
        </w:tc>
        <w:tc>
          <w:tcPr>
            <w:tcW w:w="1949"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jc w:val="center"/>
              <w:rPr>
                <w:rFonts w:ascii="Times New Roman" w:eastAsia="Times New Roman" w:hAnsi="Times New Roman"/>
                <w:sz w:val="20"/>
                <w:szCs w:val="20"/>
              </w:rPr>
            </w:pPr>
            <w:r>
              <w:rPr>
                <w:rFonts w:ascii="Times New Roman" w:eastAsia="Times New Roman" w:hAnsi="Times New Roman"/>
                <w:sz w:val="20"/>
                <w:szCs w:val="20"/>
              </w:rPr>
              <w:t>08.11.2024</w:t>
            </w:r>
          </w:p>
        </w:tc>
        <w:tc>
          <w:tcPr>
            <w:tcW w:w="2129" w:type="dxa"/>
            <w:tcBorders>
              <w:top w:val="single" w:sz="4" w:space="0" w:color="000000"/>
              <w:left w:val="single" w:sz="4" w:space="0" w:color="000000"/>
              <w:bottom w:val="single" w:sz="4" w:space="0" w:color="000000"/>
              <w:right w:val="single" w:sz="4" w:space="0" w:color="000000"/>
            </w:tcBorders>
          </w:tcPr>
          <w:p w:rsidR="00D602D4" w:rsidRDefault="00D602D4">
            <w:pPr>
              <w:keepNext/>
              <w:widowControl w:val="0"/>
              <w:jc w:val="center"/>
              <w:rPr>
                <w:rFonts w:ascii="Times New Roman" w:eastAsia="Times New Roman" w:hAnsi="Times New Roman"/>
                <w:sz w:val="20"/>
                <w:szCs w:val="20"/>
              </w:rPr>
            </w:pPr>
          </w:p>
        </w:tc>
        <w:tc>
          <w:tcPr>
            <w:tcW w:w="2339"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rPr>
                <w:rFonts w:ascii="Times New Roman" w:eastAsia="Times New Roman" w:hAnsi="Times New Roman"/>
                <w:sz w:val="20"/>
                <w:szCs w:val="20"/>
              </w:rPr>
            </w:pPr>
            <w:r>
              <w:rPr>
                <w:rFonts w:ascii="Times New Roman" w:eastAsia="Times New Roman" w:hAnsi="Times New Roman"/>
                <w:sz w:val="20"/>
                <w:szCs w:val="20"/>
              </w:rPr>
              <w:t>кадровые изменения в Обществе</w:t>
            </w:r>
          </w:p>
        </w:tc>
      </w:tr>
      <w:tr w:rsidR="00D602D4">
        <w:tc>
          <w:tcPr>
            <w:tcW w:w="2726"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rPr>
                <w:rFonts w:ascii="Times New Roman" w:eastAsia="Times New Roman" w:hAnsi="Times New Roman"/>
                <w:sz w:val="20"/>
                <w:szCs w:val="20"/>
              </w:rPr>
            </w:pPr>
            <w:r>
              <w:rPr>
                <w:rFonts w:ascii="Times New Roman" w:eastAsia="Times New Roman" w:hAnsi="Times New Roman"/>
                <w:sz w:val="20"/>
                <w:szCs w:val="20"/>
              </w:rPr>
              <w:t>Бортник</w:t>
            </w:r>
          </w:p>
          <w:p w:rsidR="00D602D4" w:rsidRDefault="000B4C86">
            <w:pPr>
              <w:keepNext/>
              <w:widowControl w:val="0"/>
              <w:rPr>
                <w:rFonts w:ascii="Times New Roman" w:eastAsia="Times New Roman" w:hAnsi="Times New Roman"/>
                <w:sz w:val="20"/>
                <w:szCs w:val="20"/>
              </w:rPr>
            </w:pPr>
            <w:r>
              <w:rPr>
                <w:rFonts w:ascii="Times New Roman" w:eastAsia="Times New Roman" w:hAnsi="Times New Roman"/>
                <w:sz w:val="20"/>
                <w:szCs w:val="20"/>
              </w:rPr>
              <w:t>Виталий Владимирович</w:t>
            </w:r>
          </w:p>
        </w:tc>
        <w:tc>
          <w:tcPr>
            <w:tcW w:w="1949" w:type="dxa"/>
            <w:tcBorders>
              <w:top w:val="single" w:sz="4" w:space="0" w:color="000000"/>
              <w:left w:val="single" w:sz="4" w:space="0" w:color="000000"/>
              <w:bottom w:val="single" w:sz="4" w:space="0" w:color="000000"/>
              <w:right w:val="single" w:sz="4" w:space="0" w:color="000000"/>
            </w:tcBorders>
          </w:tcPr>
          <w:p w:rsidR="00D602D4" w:rsidRDefault="00D602D4">
            <w:pPr>
              <w:keepNext/>
              <w:widowControl w:val="0"/>
              <w:jc w:val="center"/>
              <w:rPr>
                <w:rFonts w:ascii="Times New Roman" w:eastAsia="Times New Roman" w:hAnsi="Times New Roman"/>
                <w:sz w:val="20"/>
                <w:szCs w:val="20"/>
              </w:rPr>
            </w:pPr>
          </w:p>
        </w:tc>
        <w:tc>
          <w:tcPr>
            <w:tcW w:w="2129"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jc w:val="center"/>
              <w:rPr>
                <w:rFonts w:ascii="Times New Roman" w:eastAsia="Times New Roman" w:hAnsi="Times New Roman"/>
                <w:sz w:val="20"/>
                <w:szCs w:val="20"/>
              </w:rPr>
            </w:pPr>
            <w:r>
              <w:rPr>
                <w:rFonts w:ascii="Times New Roman" w:eastAsia="Times New Roman" w:hAnsi="Times New Roman"/>
                <w:sz w:val="20"/>
                <w:szCs w:val="20"/>
              </w:rPr>
              <w:t>09.11.2024</w:t>
            </w:r>
          </w:p>
        </w:tc>
        <w:tc>
          <w:tcPr>
            <w:tcW w:w="2339" w:type="dxa"/>
            <w:tcBorders>
              <w:top w:val="single" w:sz="4" w:space="0" w:color="000000"/>
              <w:left w:val="single" w:sz="4" w:space="0" w:color="000000"/>
              <w:bottom w:val="single" w:sz="4" w:space="0" w:color="000000"/>
              <w:right w:val="single" w:sz="4" w:space="0" w:color="000000"/>
            </w:tcBorders>
          </w:tcPr>
          <w:p w:rsidR="00D602D4" w:rsidRDefault="00D602D4">
            <w:pPr>
              <w:keepNext/>
              <w:widowControl w:val="0"/>
              <w:jc w:val="both"/>
              <w:rPr>
                <w:rFonts w:ascii="Times New Roman" w:eastAsia="Times New Roman" w:hAnsi="Times New Roman"/>
                <w:sz w:val="20"/>
                <w:szCs w:val="20"/>
              </w:rPr>
            </w:pPr>
          </w:p>
        </w:tc>
      </w:tr>
    </w:tbl>
    <w:p w:rsidR="00D602D4" w:rsidRDefault="00D602D4">
      <w:pPr>
        <w:widowControl w:val="0"/>
        <w:spacing w:after="0" w:line="240" w:lineRule="auto"/>
        <w:ind w:firstLine="709"/>
        <w:contextualSpacing/>
        <w:jc w:val="right"/>
        <w:rPr>
          <w:rFonts w:ascii="Times New Roman" w:eastAsia="Times New Roman" w:hAnsi="Times New Roman"/>
          <w:sz w:val="24"/>
          <w:szCs w:val="24"/>
        </w:rPr>
      </w:pPr>
    </w:p>
    <w:p w:rsidR="00D602D4" w:rsidRDefault="000B4C86">
      <w:pPr>
        <w:widowControl w:val="0"/>
        <w:spacing w:after="0" w:line="240" w:lineRule="auto"/>
        <w:ind w:firstLine="709"/>
        <w:jc w:val="right"/>
        <w:rPr>
          <w:rFonts w:ascii="Times New Roman" w:hAnsi="Times New Roman" w:cs="Times New Roman"/>
          <w:sz w:val="24"/>
          <w:szCs w:val="24"/>
          <w:highlight w:val="yellow"/>
        </w:rPr>
      </w:pPr>
      <w:r>
        <w:rPr>
          <w:rFonts w:ascii="Times New Roman" w:hAnsi="Times New Roman" w:cs="Times New Roman"/>
          <w:sz w:val="24"/>
          <w:szCs w:val="24"/>
          <w:highlight w:val="white"/>
        </w:rPr>
        <w:t>Таблица 102</w:t>
      </w:r>
    </w:p>
    <w:p w:rsidR="00D602D4" w:rsidRDefault="000B4C86">
      <w:pPr>
        <w:widowControl w:val="0"/>
        <w:spacing w:after="0" w:line="240" w:lineRule="auto"/>
        <w:ind w:firstLine="709"/>
        <w:jc w:val="both"/>
        <w:rPr>
          <w:rFonts w:ascii="Times New Roman" w:eastAsia="Times New Roman" w:hAnsi="Times New Roman"/>
          <w:b/>
          <w:sz w:val="24"/>
          <w:szCs w:val="24"/>
        </w:rPr>
      </w:pPr>
      <w:r>
        <w:rPr>
          <w:rFonts w:ascii="Times New Roman" w:eastAsia="Times New Roman" w:hAnsi="Times New Roman"/>
          <w:b/>
          <w:sz w:val="24"/>
          <w:szCs w:val="24"/>
        </w:rPr>
        <w:t>Информация об участии членов Правления</w:t>
      </w:r>
      <w:r>
        <w:t xml:space="preserve"> </w:t>
      </w:r>
      <w:r>
        <w:rPr>
          <w:rFonts w:ascii="Times New Roman" w:eastAsia="Times New Roman" w:hAnsi="Times New Roman"/>
          <w:b/>
          <w:sz w:val="24"/>
          <w:szCs w:val="24"/>
        </w:rPr>
        <w:t>в заседаниях, проведенных в 2024 году</w:t>
      </w:r>
    </w:p>
    <w:tbl>
      <w:tblPr>
        <w:tblStyle w:val="1a"/>
        <w:tblW w:w="9209" w:type="dxa"/>
        <w:jc w:val="center"/>
        <w:tblLayout w:type="fixed"/>
        <w:tblLook w:val="04A0" w:firstRow="1" w:lastRow="0" w:firstColumn="1" w:lastColumn="0" w:noHBand="0" w:noVBand="1"/>
      </w:tblPr>
      <w:tblGrid>
        <w:gridCol w:w="562"/>
        <w:gridCol w:w="3152"/>
        <w:gridCol w:w="1560"/>
        <w:gridCol w:w="2552"/>
        <w:gridCol w:w="1383"/>
      </w:tblGrid>
      <w:tr w:rsidR="00D602D4">
        <w:trPr>
          <w:trHeight w:val="170"/>
          <w:jc w:val="center"/>
        </w:trPr>
        <w:tc>
          <w:tcPr>
            <w:tcW w:w="562" w:type="dxa"/>
            <w:vAlign w:val="center"/>
          </w:tcPr>
          <w:p w:rsidR="00D602D4" w:rsidRDefault="000B4C86">
            <w:pPr>
              <w:widowControl w:val="0"/>
              <w:tabs>
                <w:tab w:val="left" w:pos="851"/>
                <w:tab w:val="left" w:pos="993"/>
              </w:tabs>
              <w:jc w:val="center"/>
              <w:rPr>
                <w:b/>
                <w:bCs/>
              </w:rPr>
            </w:pPr>
            <w:r>
              <w:rPr>
                <w:b/>
                <w:bCs/>
              </w:rPr>
              <w:t>№ п/п</w:t>
            </w:r>
          </w:p>
        </w:tc>
        <w:tc>
          <w:tcPr>
            <w:tcW w:w="3152" w:type="dxa"/>
            <w:vAlign w:val="center"/>
          </w:tcPr>
          <w:p w:rsidR="00D602D4" w:rsidRDefault="000B4C86">
            <w:pPr>
              <w:jc w:val="center"/>
              <w:rPr>
                <w:b/>
                <w:bCs/>
              </w:rPr>
            </w:pPr>
            <w:r>
              <w:rPr>
                <w:b/>
                <w:bCs/>
              </w:rPr>
              <w:t>Ф.И.О.</w:t>
            </w:r>
          </w:p>
        </w:tc>
        <w:tc>
          <w:tcPr>
            <w:tcW w:w="1560" w:type="dxa"/>
            <w:vAlign w:val="center"/>
          </w:tcPr>
          <w:p w:rsidR="00D602D4" w:rsidRDefault="000B4C86">
            <w:pPr>
              <w:jc w:val="center"/>
              <w:rPr>
                <w:b/>
                <w:bCs/>
                <w:color w:val="000000"/>
              </w:rPr>
            </w:pPr>
            <w:r>
              <w:rPr>
                <w:b/>
                <w:bCs/>
                <w:color w:val="000000"/>
              </w:rPr>
              <w:t>Общее количество заседаний, шт.</w:t>
            </w:r>
          </w:p>
        </w:tc>
        <w:tc>
          <w:tcPr>
            <w:tcW w:w="2552" w:type="dxa"/>
            <w:vAlign w:val="center"/>
          </w:tcPr>
          <w:p w:rsidR="00D602D4" w:rsidRDefault="000B4C86">
            <w:pPr>
              <w:jc w:val="center"/>
              <w:rPr>
                <w:b/>
                <w:bCs/>
                <w:color w:val="000000"/>
              </w:rPr>
            </w:pPr>
            <w:r>
              <w:rPr>
                <w:b/>
                <w:bCs/>
                <w:color w:val="000000"/>
              </w:rPr>
              <w:t>Количество заседаний,</w:t>
            </w:r>
            <w:r>
              <w:rPr>
                <w:b/>
                <w:bCs/>
                <w:color w:val="000000"/>
              </w:rPr>
              <w:br/>
              <w:t>в которых принял участие</w:t>
            </w:r>
            <w:r>
              <w:rPr>
                <w:b/>
                <w:bCs/>
                <w:color w:val="000000"/>
              </w:rPr>
              <w:br/>
              <w:t>член Правления, шт.</w:t>
            </w:r>
          </w:p>
        </w:tc>
        <w:tc>
          <w:tcPr>
            <w:tcW w:w="1383" w:type="dxa"/>
            <w:vAlign w:val="center"/>
          </w:tcPr>
          <w:p w:rsidR="00D602D4" w:rsidRDefault="000B4C86">
            <w:pPr>
              <w:ind w:right="-102"/>
              <w:jc w:val="center"/>
              <w:rPr>
                <w:b/>
                <w:bCs/>
                <w:color w:val="000000"/>
              </w:rPr>
            </w:pPr>
            <w:r>
              <w:rPr>
                <w:b/>
                <w:bCs/>
                <w:color w:val="000000"/>
              </w:rPr>
              <w:t>%, участия в заседаниях</w:t>
            </w:r>
          </w:p>
        </w:tc>
      </w:tr>
      <w:tr w:rsidR="00D602D4">
        <w:trPr>
          <w:trHeight w:val="170"/>
          <w:jc w:val="center"/>
        </w:trPr>
        <w:tc>
          <w:tcPr>
            <w:tcW w:w="562" w:type="dxa"/>
            <w:vAlign w:val="center"/>
          </w:tcPr>
          <w:p w:rsidR="00D602D4" w:rsidRDefault="000B4C86">
            <w:pPr>
              <w:widowControl w:val="0"/>
              <w:tabs>
                <w:tab w:val="left" w:pos="851"/>
                <w:tab w:val="left" w:pos="993"/>
              </w:tabs>
              <w:jc w:val="both"/>
            </w:pPr>
            <w:r>
              <w:t>1</w:t>
            </w:r>
          </w:p>
        </w:tc>
        <w:tc>
          <w:tcPr>
            <w:tcW w:w="3152"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rPr>
                <w:color w:val="000000"/>
              </w:rPr>
            </w:pPr>
            <w:r>
              <w:rPr>
                <w:color w:val="000000"/>
              </w:rPr>
              <w:t>Акилин Павел Евгеньевич</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jc w:val="center"/>
            </w:pPr>
            <w:r>
              <w:t>60</w:t>
            </w:r>
          </w:p>
        </w:tc>
        <w:tc>
          <w:tcPr>
            <w:tcW w:w="2552"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60</w:t>
            </w:r>
          </w:p>
        </w:tc>
        <w:tc>
          <w:tcPr>
            <w:tcW w:w="1383"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100</w:t>
            </w:r>
          </w:p>
        </w:tc>
      </w:tr>
      <w:tr w:rsidR="00D602D4">
        <w:trPr>
          <w:trHeight w:val="170"/>
          <w:jc w:val="center"/>
        </w:trPr>
        <w:tc>
          <w:tcPr>
            <w:tcW w:w="562" w:type="dxa"/>
            <w:vAlign w:val="center"/>
          </w:tcPr>
          <w:p w:rsidR="00D602D4" w:rsidRDefault="000B4C86">
            <w:pPr>
              <w:widowControl w:val="0"/>
              <w:tabs>
                <w:tab w:val="left" w:pos="851"/>
                <w:tab w:val="left" w:pos="993"/>
              </w:tabs>
              <w:jc w:val="both"/>
            </w:pPr>
            <w:r>
              <w:t>2</w:t>
            </w:r>
          </w:p>
        </w:tc>
        <w:tc>
          <w:tcPr>
            <w:tcW w:w="3152" w:type="dxa"/>
            <w:tcBorders>
              <w:top w:val="single" w:sz="4" w:space="0" w:color="000000"/>
              <w:left w:val="single" w:sz="4" w:space="0" w:color="000000"/>
              <w:bottom w:val="single" w:sz="4" w:space="0" w:color="000000"/>
              <w:right w:val="single" w:sz="4" w:space="0" w:color="000000"/>
            </w:tcBorders>
          </w:tcPr>
          <w:p w:rsidR="00D602D4" w:rsidRDefault="000B4C86">
            <w:pPr>
              <w:rPr>
                <w:color w:val="000000"/>
              </w:rPr>
            </w:pPr>
            <w:r>
              <w:t>Лагунин Дмитрий Юрьевич*</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jc w:val="center"/>
            </w:pPr>
            <w:r>
              <w:t>46</w:t>
            </w:r>
          </w:p>
        </w:tc>
        <w:tc>
          <w:tcPr>
            <w:tcW w:w="2552"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39</w:t>
            </w:r>
          </w:p>
        </w:tc>
        <w:tc>
          <w:tcPr>
            <w:tcW w:w="1383"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85</w:t>
            </w:r>
          </w:p>
        </w:tc>
      </w:tr>
      <w:tr w:rsidR="00D602D4">
        <w:trPr>
          <w:trHeight w:val="170"/>
          <w:jc w:val="center"/>
        </w:trPr>
        <w:tc>
          <w:tcPr>
            <w:tcW w:w="562" w:type="dxa"/>
            <w:vAlign w:val="center"/>
          </w:tcPr>
          <w:p w:rsidR="00D602D4" w:rsidRDefault="000B4C86">
            <w:pPr>
              <w:widowControl w:val="0"/>
              <w:tabs>
                <w:tab w:val="left" w:pos="851"/>
                <w:tab w:val="left" w:pos="993"/>
              </w:tabs>
              <w:jc w:val="both"/>
            </w:pPr>
            <w:r>
              <w:t>3</w:t>
            </w:r>
          </w:p>
        </w:tc>
        <w:tc>
          <w:tcPr>
            <w:tcW w:w="3152"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rPr>
                <w:color w:val="000000"/>
              </w:rPr>
            </w:pPr>
            <w:r>
              <w:rPr>
                <w:color w:val="000000"/>
              </w:rPr>
              <w:t>Архипов Николай Васильевич</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jc w:val="center"/>
            </w:pPr>
            <w:r>
              <w:t>60</w:t>
            </w:r>
          </w:p>
        </w:tc>
        <w:tc>
          <w:tcPr>
            <w:tcW w:w="2552"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54</w:t>
            </w:r>
          </w:p>
        </w:tc>
        <w:tc>
          <w:tcPr>
            <w:tcW w:w="1383"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90</w:t>
            </w:r>
          </w:p>
        </w:tc>
      </w:tr>
      <w:tr w:rsidR="00D602D4">
        <w:trPr>
          <w:trHeight w:val="170"/>
          <w:jc w:val="center"/>
        </w:trPr>
        <w:tc>
          <w:tcPr>
            <w:tcW w:w="562" w:type="dxa"/>
            <w:vAlign w:val="center"/>
          </w:tcPr>
          <w:p w:rsidR="00D602D4" w:rsidRDefault="000B4C86">
            <w:pPr>
              <w:widowControl w:val="0"/>
              <w:tabs>
                <w:tab w:val="left" w:pos="851"/>
                <w:tab w:val="left" w:pos="993"/>
              </w:tabs>
              <w:jc w:val="both"/>
            </w:pPr>
            <w:r>
              <w:t>4</w:t>
            </w:r>
          </w:p>
        </w:tc>
        <w:tc>
          <w:tcPr>
            <w:tcW w:w="3152" w:type="dxa"/>
            <w:tcBorders>
              <w:top w:val="single" w:sz="4" w:space="0" w:color="000000"/>
              <w:left w:val="single" w:sz="4" w:space="0" w:color="000000"/>
              <w:bottom w:val="single" w:sz="4" w:space="0" w:color="000000"/>
              <w:right w:val="single" w:sz="4" w:space="0" w:color="000000"/>
            </w:tcBorders>
          </w:tcPr>
          <w:p w:rsidR="00D602D4" w:rsidRDefault="000B4C86">
            <w:pPr>
              <w:widowControl w:val="0"/>
            </w:pPr>
            <w:r>
              <w:t>Бортник Виталий Владимирович</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jc w:val="center"/>
            </w:pPr>
            <w:r>
              <w:t>14</w:t>
            </w:r>
          </w:p>
        </w:tc>
        <w:tc>
          <w:tcPr>
            <w:tcW w:w="2552"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14</w:t>
            </w:r>
          </w:p>
        </w:tc>
        <w:tc>
          <w:tcPr>
            <w:tcW w:w="1383"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100</w:t>
            </w:r>
          </w:p>
        </w:tc>
      </w:tr>
      <w:tr w:rsidR="00D602D4">
        <w:trPr>
          <w:trHeight w:val="170"/>
          <w:jc w:val="center"/>
        </w:trPr>
        <w:tc>
          <w:tcPr>
            <w:tcW w:w="562" w:type="dxa"/>
            <w:vAlign w:val="center"/>
          </w:tcPr>
          <w:p w:rsidR="00D602D4" w:rsidRDefault="000B4C86">
            <w:pPr>
              <w:widowControl w:val="0"/>
              <w:tabs>
                <w:tab w:val="left" w:pos="851"/>
                <w:tab w:val="left" w:pos="993"/>
              </w:tabs>
              <w:jc w:val="both"/>
            </w:pPr>
            <w:r>
              <w:t>5</w:t>
            </w:r>
          </w:p>
        </w:tc>
        <w:tc>
          <w:tcPr>
            <w:tcW w:w="3152" w:type="dxa"/>
            <w:tcBorders>
              <w:top w:val="single" w:sz="4" w:space="0" w:color="000000"/>
              <w:left w:val="single" w:sz="4" w:space="0" w:color="000000"/>
              <w:bottom w:val="single" w:sz="4" w:space="0" w:color="000000"/>
              <w:right w:val="single" w:sz="4" w:space="0" w:color="000000"/>
            </w:tcBorders>
          </w:tcPr>
          <w:p w:rsidR="00D602D4" w:rsidRDefault="000B4C86">
            <w:pPr>
              <w:widowControl w:val="0"/>
            </w:pPr>
            <w:r>
              <w:t>Левинский Андрей Игоревич</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jc w:val="center"/>
            </w:pPr>
            <w:r>
              <w:t>60</w:t>
            </w:r>
          </w:p>
        </w:tc>
        <w:tc>
          <w:tcPr>
            <w:tcW w:w="2552"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54</w:t>
            </w:r>
          </w:p>
        </w:tc>
        <w:tc>
          <w:tcPr>
            <w:tcW w:w="1383"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90</w:t>
            </w:r>
          </w:p>
        </w:tc>
      </w:tr>
      <w:tr w:rsidR="00D602D4">
        <w:trPr>
          <w:trHeight w:val="230"/>
          <w:jc w:val="center"/>
        </w:trPr>
        <w:tc>
          <w:tcPr>
            <w:tcW w:w="562" w:type="dxa"/>
            <w:vMerge w:val="restart"/>
            <w:vAlign w:val="center"/>
          </w:tcPr>
          <w:p w:rsidR="00D602D4" w:rsidRDefault="000B4C86">
            <w:pPr>
              <w:widowControl w:val="0"/>
              <w:tabs>
                <w:tab w:val="left" w:pos="851"/>
                <w:tab w:val="left" w:pos="993"/>
              </w:tabs>
              <w:jc w:val="both"/>
            </w:pPr>
            <w:r>
              <w:t>6</w:t>
            </w:r>
          </w:p>
        </w:tc>
        <w:tc>
          <w:tcPr>
            <w:tcW w:w="3152" w:type="dxa"/>
            <w:vMerge w:val="restart"/>
            <w:tcBorders>
              <w:top w:val="single" w:sz="4" w:space="0" w:color="000000"/>
              <w:left w:val="single" w:sz="4" w:space="0" w:color="000000"/>
              <w:bottom w:val="single" w:sz="4" w:space="0" w:color="000000"/>
              <w:right w:val="single" w:sz="4" w:space="0" w:color="000000"/>
            </w:tcBorders>
          </w:tcPr>
          <w:p w:rsidR="00D602D4" w:rsidRDefault="000B4C86">
            <w:pPr>
              <w:widowControl w:val="0"/>
            </w:pPr>
            <w:r>
              <w:t>Пантелеев Николай Анатольевич</w:t>
            </w:r>
          </w:p>
        </w:tc>
        <w:tc>
          <w:tcPr>
            <w:tcW w:w="1560" w:type="dxa"/>
            <w:vMerge w:val="restart"/>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jc w:val="center"/>
            </w:pPr>
            <w:r>
              <w:t>60</w:t>
            </w:r>
          </w:p>
        </w:tc>
        <w:tc>
          <w:tcPr>
            <w:tcW w:w="2552" w:type="dxa"/>
            <w:vMerge w:val="restart"/>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52</w:t>
            </w:r>
          </w:p>
        </w:tc>
        <w:tc>
          <w:tcPr>
            <w:tcW w:w="1383" w:type="dxa"/>
            <w:vMerge w:val="restart"/>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87</w:t>
            </w:r>
          </w:p>
        </w:tc>
      </w:tr>
      <w:tr w:rsidR="00D602D4">
        <w:trPr>
          <w:trHeight w:val="170"/>
          <w:jc w:val="center"/>
        </w:trPr>
        <w:tc>
          <w:tcPr>
            <w:tcW w:w="562" w:type="dxa"/>
            <w:vAlign w:val="center"/>
          </w:tcPr>
          <w:p w:rsidR="00D602D4" w:rsidRDefault="000B4C86">
            <w:pPr>
              <w:widowControl w:val="0"/>
              <w:tabs>
                <w:tab w:val="left" w:pos="851"/>
                <w:tab w:val="left" w:pos="993"/>
              </w:tabs>
              <w:jc w:val="both"/>
            </w:pPr>
            <w:r>
              <w:t>7</w:t>
            </w:r>
          </w:p>
        </w:tc>
        <w:tc>
          <w:tcPr>
            <w:tcW w:w="3152" w:type="dxa"/>
            <w:tcBorders>
              <w:top w:val="single" w:sz="4" w:space="0" w:color="000000"/>
              <w:left w:val="single" w:sz="4" w:space="0" w:color="000000"/>
              <w:bottom w:val="single" w:sz="4" w:space="0" w:color="000000"/>
              <w:right w:val="single" w:sz="4" w:space="0" w:color="000000"/>
            </w:tcBorders>
          </w:tcPr>
          <w:p w:rsidR="00D602D4" w:rsidRDefault="000B4C86">
            <w:pPr>
              <w:widowControl w:val="0"/>
            </w:pPr>
            <w:r>
              <w:t>Пермяков Дмитрий Юрьевич</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jc w:val="center"/>
            </w:pPr>
            <w:r>
              <w:t>60</w:t>
            </w:r>
          </w:p>
        </w:tc>
        <w:tc>
          <w:tcPr>
            <w:tcW w:w="2552"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54</w:t>
            </w:r>
          </w:p>
        </w:tc>
        <w:tc>
          <w:tcPr>
            <w:tcW w:w="1383"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90</w:t>
            </w:r>
          </w:p>
        </w:tc>
      </w:tr>
      <w:tr w:rsidR="00D602D4">
        <w:trPr>
          <w:trHeight w:val="170"/>
          <w:jc w:val="center"/>
        </w:trPr>
        <w:tc>
          <w:tcPr>
            <w:tcW w:w="562" w:type="dxa"/>
            <w:vAlign w:val="center"/>
          </w:tcPr>
          <w:p w:rsidR="00D602D4" w:rsidRDefault="000B4C86">
            <w:pPr>
              <w:widowControl w:val="0"/>
              <w:tabs>
                <w:tab w:val="left" w:pos="851"/>
                <w:tab w:val="left" w:pos="993"/>
              </w:tabs>
              <w:jc w:val="both"/>
            </w:pPr>
            <w:r>
              <w:t>8</w:t>
            </w:r>
          </w:p>
        </w:tc>
        <w:tc>
          <w:tcPr>
            <w:tcW w:w="3152" w:type="dxa"/>
            <w:tcBorders>
              <w:top w:val="single" w:sz="4" w:space="0" w:color="000000"/>
              <w:left w:val="single" w:sz="4" w:space="0" w:color="000000"/>
              <w:bottom w:val="single" w:sz="4" w:space="0" w:color="000000"/>
              <w:right w:val="single" w:sz="4" w:space="0" w:color="000000"/>
            </w:tcBorders>
          </w:tcPr>
          <w:p w:rsidR="00D602D4" w:rsidRDefault="000B4C86">
            <w:pPr>
              <w:widowControl w:val="0"/>
            </w:pPr>
            <w:r>
              <w:t>Сорокин Игорь Анатольевич</w:t>
            </w:r>
          </w:p>
        </w:tc>
        <w:tc>
          <w:tcPr>
            <w:tcW w:w="1560" w:type="dxa"/>
            <w:tcBorders>
              <w:top w:val="none" w:sz="4" w:space="0" w:color="000000"/>
              <w:left w:val="none" w:sz="4" w:space="0" w:color="000000"/>
              <w:bottom w:val="single" w:sz="8" w:space="0" w:color="000000"/>
              <w:right w:val="single" w:sz="8" w:space="0" w:color="000000"/>
            </w:tcBorders>
            <w:shd w:val="clear" w:color="FFFFFF" w:fill="FFFFFF"/>
            <w:vAlign w:val="center"/>
          </w:tcPr>
          <w:p w:rsidR="00D602D4" w:rsidRDefault="000B4C86">
            <w:pPr>
              <w:jc w:val="center"/>
            </w:pPr>
            <w:r>
              <w:t>60</w:t>
            </w:r>
          </w:p>
        </w:tc>
        <w:tc>
          <w:tcPr>
            <w:tcW w:w="2552"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53</w:t>
            </w:r>
          </w:p>
        </w:tc>
        <w:tc>
          <w:tcPr>
            <w:tcW w:w="1383" w:type="dxa"/>
            <w:tcBorders>
              <w:top w:val="none" w:sz="4" w:space="0" w:color="000000"/>
              <w:left w:val="none" w:sz="4" w:space="0" w:color="000000"/>
              <w:bottom w:val="single" w:sz="8" w:space="0" w:color="000000"/>
              <w:right w:val="single" w:sz="8" w:space="0" w:color="000000"/>
            </w:tcBorders>
            <w:vAlign w:val="center"/>
          </w:tcPr>
          <w:p w:rsidR="00D602D4" w:rsidRDefault="000B4C86">
            <w:pPr>
              <w:jc w:val="center"/>
            </w:pPr>
            <w:r>
              <w:t>88</w:t>
            </w:r>
          </w:p>
        </w:tc>
      </w:tr>
    </w:tbl>
    <w:p w:rsidR="00D602D4" w:rsidRDefault="000B4C86">
      <w:pPr>
        <w:pStyle w:val="220"/>
        <w:spacing w:after="0"/>
        <w:ind w:left="0" w:firstLine="709"/>
        <w:rPr>
          <w:b w:val="0"/>
          <w:sz w:val="24"/>
          <w:szCs w:val="24"/>
        </w:rPr>
      </w:pPr>
      <w:bookmarkStart w:id="107" w:name="_Toc144"/>
      <w:r>
        <w:rPr>
          <w:b w:val="0"/>
          <w:sz w:val="24"/>
          <w:szCs w:val="24"/>
        </w:rPr>
        <w:t>*полномочия прекращены.</w:t>
      </w:r>
      <w:bookmarkEnd w:id="107"/>
    </w:p>
    <w:p w:rsidR="00D602D4" w:rsidRDefault="00D602D4">
      <w:pPr>
        <w:pStyle w:val="220"/>
        <w:spacing w:after="0"/>
        <w:ind w:left="0" w:firstLine="709"/>
      </w:pPr>
    </w:p>
    <w:p w:rsidR="00D602D4" w:rsidRDefault="000B4C86">
      <w:pPr>
        <w:pStyle w:val="220"/>
        <w:spacing w:after="0"/>
        <w:ind w:left="0" w:firstLine="709"/>
      </w:pPr>
      <w:bookmarkStart w:id="108" w:name="_Toc145"/>
      <w:r>
        <w:t>Генеральный директор</w:t>
      </w:r>
      <w:bookmarkEnd w:id="108"/>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Руководство текущей деятельностью ПАО «Россети Сибирь» осуществляет единоличный исполнительный орган Общества - Генеральный директор, который избирается решением Совета директоров Общества. К компетенции Генерального директора Общества относятся все вопросы руководства текущей деятельностью Общества, за исключением вопросов, отнесенных к компетенции Общего собрания акционеров, Совета директоров и Правления Общества.</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Генеральный директор подотчетен Совету директоров, осуществляет свою деятельность в соответствии с решениями, принятыми Общим собранием акционеров и Советом директоров Общества, и систематически отчитывается перед Советом директоров о своей деятельности.</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Решениями Совета директоров ПАО «Россети Сибирь» от 28.03.2019 (протокол от 28.03.2019 № 318/19) и от 25.03.2022 (протокол от 28.03.2022 № 448/22) Акилин Павел Евгеньевич избран Генеральным директором Компании. </w:t>
      </w:r>
    </w:p>
    <w:p w:rsidR="00D602D4" w:rsidRDefault="000B4C86">
      <w:pPr>
        <w:pStyle w:val="afd"/>
        <w:shd w:val="clear" w:color="auto" w:fill="FFFFFF"/>
        <w:spacing w:after="0" w:line="240" w:lineRule="auto"/>
        <w:ind w:firstLine="709"/>
        <w:jc w:val="both"/>
        <w:rPr>
          <w:rFonts w:eastAsia="Times New Roman"/>
          <w:lang w:eastAsia="ru-RU"/>
        </w:rPr>
      </w:pPr>
      <w:r>
        <w:rPr>
          <w:rFonts w:eastAsia="Times New Roman"/>
        </w:rPr>
        <w:t xml:space="preserve">Акилин Павел Евгеньевич </w:t>
      </w:r>
      <w:r>
        <w:rPr>
          <w:shd w:val="clear" w:color="auto" w:fill="FFFFFF"/>
        </w:rPr>
        <w:t xml:space="preserve">родился 05.03.1975 в г. Ижевске. </w:t>
      </w:r>
      <w:r>
        <w:rPr>
          <w:rFonts w:eastAsia="Times New Roman"/>
          <w:lang w:eastAsia="ru-RU"/>
        </w:rPr>
        <w:t>В 1997 году окончил Ижевский государственный технический университет по специальности «Экономика и управление на предприятии». В 2005 году получил дополнительное образование в Государственном университете управления по программе «МВА – управление компанией».</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C 1999 по 2005 годы прошел путь от экономиста по планированию до заместителя генерального директора по экономике в ОАО «Удмуртэнерго». В период с 2005 года по 2017 год занимал руководящие должности по направлению экономики и финансам в Верхневолжском филиале ОАО «МРСК Центра и Северного Кавказа», ПАО «Россети Ленэнерго», филиале ПАО «Россети Центр» - «Тверьэнерго», ПАО «Россети Юг», ООО «Интер РАО - управление электрогенерацией» - </w:t>
      </w:r>
      <w:r>
        <w:rPr>
          <w:rFonts w:ascii="Times New Roman" w:hAnsi="Times New Roman" w:cs="Times New Roman"/>
          <w:sz w:val="24"/>
          <w:szCs w:val="24"/>
        </w:rPr>
        <w:t>управляющей организации АО «Интер РАО – Электрогенерация»</w:t>
      </w:r>
      <w:r>
        <w:rPr>
          <w:rFonts w:ascii="Times New Roman" w:eastAsia="Times New Roman" w:hAnsi="Times New Roman" w:cs="Times New Roman"/>
          <w:sz w:val="24"/>
          <w:szCs w:val="24"/>
          <w:lang w:eastAsia="ru-RU"/>
        </w:rPr>
        <w:t>.</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апреля по сентябрь 2017 года – заместитель Генерального директора по экономике и финансам ПАО «Россети Сибирь». С сентября 2017 по март 2019 года – первый заместитель Генерального директора ПАО «Россети Сибирь». С марта 2019 года – Генеральный директор ПАО «Россети Сибирь». Полномочия прекращены с 28.03.2025.</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Акциями ПАО «Россети Сибирь», а также акциями или долями его подконтрольных организаций не владеет. Сделки по приобретению и/или отчуждению акций Общества не совершал. Займы Обществом, а также юридическими лицами из группы организаций, в состав которой входит Общество, не выдавались.</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Конфликт интересов отсутствует.</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Решением Совета директоров ПАО «Россети Сибирь» от 28.03.2025 (протокол от 28.03.2025 № 547/25) полномочия Акилина Павла Евгеньевича прекращены, исполняющим обязанности Генерального директора с 29.03.2025 по 01.04.2025 назначен Сорокин Игорь Анатольевич, а с 02.04.2025 Генеральным директором Компании избран Дьячков Антон Геннадьевич.</w:t>
      </w: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0B4C86">
      <w:pPr>
        <w:pStyle w:val="13"/>
        <w:spacing w:before="0" w:line="240" w:lineRule="auto"/>
        <w:rPr>
          <w:rFonts w:ascii="Times New Roman" w:hAnsi="Times New Roman" w:cs="Times New Roman"/>
          <w:b/>
          <w:color w:val="auto"/>
          <w:sz w:val="26"/>
          <w:szCs w:val="26"/>
        </w:rPr>
      </w:pPr>
      <w:bookmarkStart w:id="109" w:name="_Toc146"/>
      <w:r>
        <w:rPr>
          <w:rFonts w:ascii="Times New Roman" w:eastAsia="Times New Roman" w:hAnsi="Times New Roman" w:cs="Times New Roman"/>
          <w:b/>
          <w:color w:val="auto"/>
          <w:sz w:val="26"/>
          <w:szCs w:val="26"/>
        </w:rPr>
        <w:t>5.8. Система вознаграждения органов управления</w:t>
      </w:r>
      <w:bookmarkEnd w:id="109"/>
    </w:p>
    <w:p w:rsidR="00D602D4" w:rsidRDefault="00D602D4">
      <w:pPr>
        <w:widowControl w:val="0"/>
        <w:tabs>
          <w:tab w:val="left" w:pos="851"/>
          <w:tab w:val="left" w:pos="993"/>
        </w:tabs>
        <w:spacing w:after="0" w:line="240" w:lineRule="auto"/>
        <w:ind w:firstLine="709"/>
        <w:jc w:val="both"/>
        <w:rPr>
          <w:rFonts w:ascii="Times New Roman" w:hAnsi="Times New Roman" w:cs="Times New Roman"/>
          <w:b/>
          <w:sz w:val="24"/>
          <w:szCs w:val="24"/>
        </w:rPr>
      </w:pPr>
    </w:p>
    <w:p w:rsidR="00D602D4" w:rsidRDefault="000B4C86">
      <w:pPr>
        <w:widowControl w:val="0"/>
        <w:tabs>
          <w:tab w:val="left" w:pos="851"/>
          <w:tab w:val="left" w:pos="993"/>
        </w:tabs>
        <w:spacing w:after="0" w:line="240" w:lineRule="auto"/>
        <w:ind w:firstLine="709"/>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Система вознаграждения членов Совета директоров.</w:t>
      </w:r>
    </w:p>
    <w:p w:rsidR="00D602D4" w:rsidRDefault="000B4C86">
      <w:pPr>
        <w:widowControl w:val="0"/>
        <w:tabs>
          <w:tab w:val="left" w:pos="851"/>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Выплата вознаграждений и компенсаций членам Совета директоров производится в соответствии с Положением о выплате членам Совета директоров ПАО «Россети Сибирь»</w:t>
      </w:r>
      <w:r>
        <w:rPr>
          <w:rFonts w:ascii="Times New Roman" w:eastAsia="Times New Roman" w:hAnsi="Times New Roman"/>
          <w:sz w:val="24"/>
          <w:szCs w:val="24"/>
        </w:rPr>
        <w:t xml:space="preserve"> </w:t>
      </w:r>
      <w:r>
        <w:rPr>
          <w:rFonts w:ascii="Times New Roman" w:eastAsia="Times New Roman" w:hAnsi="Times New Roman" w:cs="Times New Roman"/>
          <w:sz w:val="24"/>
          <w:szCs w:val="24"/>
        </w:rPr>
        <w:t>вознаграждений и компенсаций</w:t>
      </w:r>
      <w:r>
        <w:rPr>
          <w:rStyle w:val="af1"/>
          <w:rFonts w:ascii="Times New Roman" w:eastAsia="Times New Roman" w:hAnsi="Times New Roman"/>
          <w:sz w:val="24"/>
          <w:szCs w:val="24"/>
        </w:rPr>
        <w:footnoteReference w:id="34"/>
      </w:r>
      <w:r>
        <w:rPr>
          <w:rFonts w:ascii="Times New Roman" w:eastAsia="Times New Roman" w:hAnsi="Times New Roman" w:cs="Times New Roman"/>
          <w:sz w:val="24"/>
          <w:szCs w:val="24"/>
        </w:rPr>
        <w:t>, утвержденным Общим собранием акционеров Общества 13.06.2019</w:t>
      </w:r>
      <w:r>
        <w:rPr>
          <w:rFonts w:ascii="Times New Roman" w:eastAsia="Times New Roman" w:hAnsi="Times New Roman" w:cs="Times New Roman"/>
          <w:sz w:val="24"/>
          <w:szCs w:val="24"/>
          <w:highlight w:val="white"/>
        </w:rPr>
        <w:t xml:space="preserve"> (протокол от 18.06.2019 № 15), в</w:t>
      </w:r>
      <w:r>
        <w:rPr>
          <w:rFonts w:ascii="Times New Roman" w:eastAsia="Times New Roman" w:hAnsi="Times New Roman" w:cs="Times New Roman"/>
          <w:sz w:val="24"/>
          <w:szCs w:val="24"/>
        </w:rPr>
        <w:t xml:space="preserve"> соответствии с которым: </w:t>
      </w:r>
    </w:p>
    <w:p w:rsidR="00D602D4" w:rsidRDefault="000B4C86">
      <w:pPr>
        <w:widowControl w:val="0"/>
        <w:tabs>
          <w:tab w:val="left" w:pos="851"/>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вознаграждение каждому члену Совета директоров выплачивается ежеквартально в течение 30 календарных дней после окончания отчетного квартала;</w:t>
      </w:r>
    </w:p>
    <w:p w:rsidR="00D602D4" w:rsidRDefault="000B4C86">
      <w:pPr>
        <w:widowControl w:val="0"/>
        <w:tabs>
          <w:tab w:val="left" w:pos="851"/>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размер ежеквартального вознаграждения за участие в Совете директоров Общества каждого члена Совета директоров Общества рассчитывается с учетом общего количества заседаний Совета директоров Общества за отчетный квартал и количества заседаний, в которых член Совета директоров принимал участие;</w:t>
      </w:r>
    </w:p>
    <w:p w:rsidR="00D602D4" w:rsidRDefault="000B4C86">
      <w:pPr>
        <w:widowControl w:val="0"/>
        <w:tabs>
          <w:tab w:val="left" w:pos="851"/>
          <w:tab w:val="left" w:pos="993"/>
        </w:tabs>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для определения размеров вознаграждения и компенсаций членам Совета директоров под отчетным кварталом понимается очередной календарный квартал (с момента избрания персонального состава Совета директоров на годовом Общем собрании акционеров Общества и до момента проведения последующего годового Общего собрания акционеров Общества).</w:t>
      </w:r>
    </w:p>
    <w:p w:rsidR="00D602D4" w:rsidRDefault="00D602D4">
      <w:pPr>
        <w:pStyle w:val="a1"/>
        <w:numPr>
          <w:ilvl w:val="0"/>
          <w:numId w:val="0"/>
        </w:numPr>
        <w:spacing w:after="0"/>
        <w:ind w:firstLine="709"/>
        <w:jc w:val="right"/>
        <w:rPr>
          <w:b w:val="0"/>
          <w:bCs w:val="0"/>
          <w:sz w:val="24"/>
          <w:szCs w:val="24"/>
        </w:rPr>
      </w:pPr>
    </w:p>
    <w:p w:rsidR="00D602D4" w:rsidRDefault="000B4C86">
      <w:pPr>
        <w:pStyle w:val="a1"/>
        <w:numPr>
          <w:ilvl w:val="0"/>
          <w:numId w:val="0"/>
        </w:numPr>
        <w:spacing w:after="0"/>
        <w:ind w:firstLine="709"/>
        <w:jc w:val="right"/>
        <w:rPr>
          <w:b w:val="0"/>
          <w:bCs w:val="0"/>
          <w:sz w:val="24"/>
          <w:szCs w:val="24"/>
        </w:rPr>
      </w:pPr>
      <w:bookmarkStart w:id="110" w:name="_Toc147"/>
      <w:r>
        <w:rPr>
          <w:b w:val="0"/>
          <w:bCs w:val="0"/>
          <w:sz w:val="24"/>
          <w:szCs w:val="24"/>
        </w:rPr>
        <w:t>Таблица</w:t>
      </w:r>
      <w:bookmarkEnd w:id="110"/>
      <w:r>
        <w:rPr>
          <w:b w:val="0"/>
          <w:bCs w:val="0"/>
          <w:sz w:val="24"/>
          <w:szCs w:val="24"/>
        </w:rPr>
        <w:t xml:space="preserve"> 103</w:t>
      </w:r>
    </w:p>
    <w:p w:rsidR="00D602D4" w:rsidRDefault="000B4C86">
      <w:pPr>
        <w:pStyle w:val="a1"/>
        <w:numPr>
          <w:ilvl w:val="0"/>
          <w:numId w:val="0"/>
        </w:numPr>
        <w:spacing w:after="0"/>
        <w:ind w:firstLine="709"/>
        <w:rPr>
          <w:sz w:val="24"/>
          <w:szCs w:val="24"/>
        </w:rPr>
      </w:pPr>
      <w:bookmarkStart w:id="111" w:name="_Toc148"/>
      <w:r>
        <w:rPr>
          <w:sz w:val="22"/>
          <w:szCs w:val="22"/>
        </w:rPr>
        <w:t>Вознаграждения, начисленные членам Совета директоров</w:t>
      </w:r>
      <w:bookmarkEnd w:id="111"/>
    </w:p>
    <w:tbl>
      <w:tblPr>
        <w:tblStyle w:val="83"/>
        <w:tblW w:w="9756" w:type="dxa"/>
        <w:tblInd w:w="17" w:type="dxa"/>
        <w:tblLayout w:type="fixed"/>
        <w:tblLook w:val="04A0" w:firstRow="1" w:lastRow="0" w:firstColumn="1" w:lastColumn="0" w:noHBand="0" w:noVBand="1"/>
      </w:tblPr>
      <w:tblGrid>
        <w:gridCol w:w="2976"/>
        <w:gridCol w:w="1007"/>
        <w:gridCol w:w="1280"/>
        <w:gridCol w:w="1489"/>
        <w:gridCol w:w="1490"/>
        <w:gridCol w:w="1514"/>
      </w:tblGrid>
      <w:tr w:rsidR="00D602D4">
        <w:tc>
          <w:tcPr>
            <w:tcW w:w="2976"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1"/>
              <w:numPr>
                <w:ilvl w:val="0"/>
                <w:numId w:val="0"/>
              </w:numPr>
              <w:spacing w:after="0"/>
              <w:rPr>
                <w:b w:val="0"/>
                <w:bCs w:val="0"/>
                <w:sz w:val="22"/>
                <w:szCs w:val="22"/>
              </w:rPr>
            </w:pPr>
            <w:bookmarkStart w:id="112" w:name="_Toc149"/>
            <w:r>
              <w:rPr>
                <w:b w:val="0"/>
                <w:bCs w:val="0"/>
                <w:color w:val="000000"/>
                <w:sz w:val="22"/>
                <w:szCs w:val="22"/>
              </w:rPr>
              <w:t>Показатели</w:t>
            </w:r>
            <w:bookmarkEnd w:id="112"/>
          </w:p>
        </w:tc>
        <w:tc>
          <w:tcPr>
            <w:tcW w:w="100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1"/>
              <w:numPr>
                <w:ilvl w:val="0"/>
                <w:numId w:val="0"/>
              </w:numPr>
              <w:spacing w:after="0"/>
              <w:rPr>
                <w:b w:val="0"/>
                <w:bCs w:val="0"/>
                <w:sz w:val="22"/>
                <w:szCs w:val="22"/>
              </w:rPr>
            </w:pPr>
            <w:bookmarkStart w:id="113" w:name="_Toc150"/>
            <w:r>
              <w:rPr>
                <w:b w:val="0"/>
                <w:bCs w:val="0"/>
                <w:color w:val="000000"/>
                <w:sz w:val="22"/>
                <w:szCs w:val="22"/>
              </w:rPr>
              <w:t>Ед.изм.</w:t>
            </w:r>
            <w:bookmarkEnd w:id="113"/>
          </w:p>
        </w:tc>
        <w:tc>
          <w:tcPr>
            <w:tcW w:w="5773" w:type="dxa"/>
            <w:gridSpan w:val="4"/>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1"/>
              <w:numPr>
                <w:ilvl w:val="0"/>
                <w:numId w:val="0"/>
              </w:numPr>
              <w:spacing w:after="0"/>
              <w:rPr>
                <w:b w:val="0"/>
                <w:bCs w:val="0"/>
                <w:sz w:val="22"/>
                <w:szCs w:val="22"/>
              </w:rPr>
            </w:pPr>
            <w:bookmarkStart w:id="114" w:name="_Toc151"/>
            <w:r>
              <w:rPr>
                <w:b w:val="0"/>
                <w:bCs w:val="0"/>
                <w:sz w:val="22"/>
                <w:szCs w:val="22"/>
              </w:rPr>
              <w:t>Период</w:t>
            </w:r>
            <w:bookmarkEnd w:id="114"/>
          </w:p>
        </w:tc>
      </w:tr>
      <w:tr w:rsidR="00D602D4">
        <w:tc>
          <w:tcPr>
            <w:tcW w:w="2976"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pStyle w:val="a1"/>
              <w:numPr>
                <w:ilvl w:val="0"/>
                <w:numId w:val="0"/>
              </w:numPr>
              <w:spacing w:after="0"/>
              <w:rPr>
                <w:sz w:val="22"/>
                <w:szCs w:val="22"/>
              </w:rPr>
            </w:pPr>
          </w:p>
        </w:tc>
        <w:tc>
          <w:tcPr>
            <w:tcW w:w="100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pStyle w:val="a1"/>
              <w:numPr>
                <w:ilvl w:val="0"/>
                <w:numId w:val="0"/>
              </w:numPr>
              <w:spacing w:after="0"/>
              <w:rPr>
                <w:sz w:val="22"/>
                <w:szCs w:val="22"/>
              </w:rPr>
            </w:pPr>
          </w:p>
        </w:tc>
        <w:tc>
          <w:tcPr>
            <w:tcW w:w="128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pPr>
            <w:r>
              <w:rPr>
                <w:rFonts w:ascii="Times New Roman" w:eastAsia="Times New Roman" w:hAnsi="Times New Roman" w:cs="Times New Roman"/>
                <w:color w:val="000000"/>
              </w:rPr>
              <w:t>2022 год</w:t>
            </w:r>
          </w:p>
        </w:tc>
        <w:tc>
          <w:tcPr>
            <w:tcW w:w="1489"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pPr>
            <w:r>
              <w:rPr>
                <w:rFonts w:ascii="Times New Roman" w:eastAsia="Times New Roman" w:hAnsi="Times New Roman" w:cs="Times New Roman"/>
                <w:color w:val="000000"/>
              </w:rPr>
              <w:t>2023 год</w:t>
            </w:r>
          </w:p>
        </w:tc>
        <w:tc>
          <w:tcPr>
            <w:tcW w:w="149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pPr>
            <w:r>
              <w:rPr>
                <w:rFonts w:ascii="Times New Roman" w:eastAsia="Times New Roman" w:hAnsi="Times New Roman" w:cs="Times New Roman"/>
                <w:color w:val="000000"/>
              </w:rPr>
              <w:t>2024 год</w:t>
            </w:r>
          </w:p>
        </w:tc>
        <w:tc>
          <w:tcPr>
            <w:tcW w:w="151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pPr>
            <w:r>
              <w:rPr>
                <w:rFonts w:ascii="Times New Roman" w:eastAsia="Times New Roman" w:hAnsi="Times New Roman" w:cs="Times New Roman"/>
                <w:color w:val="000000"/>
              </w:rPr>
              <w:t>изменение 2024/2023, %</w:t>
            </w:r>
          </w:p>
        </w:tc>
      </w:tr>
      <w:tr w:rsidR="00D602D4">
        <w:tc>
          <w:tcPr>
            <w:tcW w:w="2976"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1"/>
              <w:numPr>
                <w:ilvl w:val="0"/>
                <w:numId w:val="0"/>
              </w:numPr>
              <w:spacing w:after="0"/>
              <w:jc w:val="left"/>
              <w:rPr>
                <w:b w:val="0"/>
                <w:bCs w:val="0"/>
                <w:sz w:val="22"/>
                <w:szCs w:val="22"/>
              </w:rPr>
            </w:pPr>
            <w:bookmarkStart w:id="115" w:name="_Toc152"/>
            <w:r>
              <w:rPr>
                <w:b w:val="0"/>
                <w:bCs w:val="0"/>
                <w:sz w:val="22"/>
                <w:szCs w:val="22"/>
              </w:rPr>
              <w:t>Вознаграждения, начисленные членам Совета директоров</w:t>
            </w:r>
            <w:bookmarkEnd w:id="115"/>
          </w:p>
        </w:tc>
        <w:tc>
          <w:tcPr>
            <w:tcW w:w="1007"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1"/>
              <w:numPr>
                <w:ilvl w:val="0"/>
                <w:numId w:val="0"/>
              </w:numPr>
              <w:spacing w:after="0"/>
              <w:rPr>
                <w:b w:val="0"/>
                <w:bCs w:val="0"/>
                <w:sz w:val="22"/>
                <w:szCs w:val="22"/>
              </w:rPr>
            </w:pPr>
            <w:bookmarkStart w:id="116" w:name="_Toc153"/>
            <w:r>
              <w:rPr>
                <w:b w:val="0"/>
                <w:bCs w:val="0"/>
                <w:color w:val="000000"/>
                <w:sz w:val="22"/>
                <w:szCs w:val="22"/>
              </w:rPr>
              <w:t>тыс. руб.</w:t>
            </w:r>
            <w:bookmarkEnd w:id="116"/>
          </w:p>
        </w:tc>
        <w:tc>
          <w:tcPr>
            <w:tcW w:w="128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pPr>
            <w:r>
              <w:rPr>
                <w:rFonts w:ascii="Times New Roman" w:eastAsia="Times New Roman" w:hAnsi="Times New Roman" w:cs="Times New Roman"/>
                <w:color w:val="000000"/>
              </w:rPr>
              <w:t>26 183,8</w:t>
            </w:r>
          </w:p>
        </w:tc>
        <w:tc>
          <w:tcPr>
            <w:tcW w:w="1489"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pPr>
            <w:r>
              <w:rPr>
                <w:rFonts w:ascii="Times New Roman" w:eastAsia="Times New Roman" w:hAnsi="Times New Roman" w:cs="Times New Roman"/>
                <w:color w:val="000000"/>
              </w:rPr>
              <w:t>14 866,9*</w:t>
            </w:r>
          </w:p>
        </w:tc>
        <w:tc>
          <w:tcPr>
            <w:tcW w:w="149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pPr>
            <w:r>
              <w:rPr>
                <w:rFonts w:ascii="Times New Roman" w:eastAsia="Times New Roman" w:hAnsi="Times New Roman" w:cs="Times New Roman"/>
                <w:color w:val="000000"/>
              </w:rPr>
              <w:t>21 365,4</w:t>
            </w:r>
          </w:p>
        </w:tc>
        <w:tc>
          <w:tcPr>
            <w:tcW w:w="1514"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pPr>
            <w:r>
              <w:rPr>
                <w:rFonts w:ascii="Times New Roman" w:eastAsia="Times New Roman" w:hAnsi="Times New Roman" w:cs="Times New Roman"/>
                <w:color w:val="000000"/>
              </w:rPr>
              <w:t>43,7</w:t>
            </w:r>
          </w:p>
        </w:tc>
      </w:tr>
    </w:tbl>
    <w:p w:rsidR="00D602D4" w:rsidRDefault="000B4C86">
      <w:pPr>
        <w:pStyle w:val="220"/>
        <w:spacing w:after="0"/>
        <w:ind w:left="0" w:firstLine="0"/>
        <w:jc w:val="both"/>
        <w:rPr>
          <w:b w:val="0"/>
          <w:sz w:val="20"/>
          <w:szCs w:val="20"/>
        </w:rPr>
      </w:pPr>
      <w:bookmarkStart w:id="117" w:name="_Toc154"/>
      <w:r>
        <w:rPr>
          <w:b w:val="0"/>
          <w:sz w:val="20"/>
          <w:szCs w:val="20"/>
        </w:rPr>
        <w:t xml:space="preserve">*- снижение общего размера выплаченного членам Совета директоров вознаграждения в 2023 году по сравнению с 2022 годом произошло за счет досрочной выплаты вознаграждения за 4 квартал 2022 года в конце декабря 2022 года. </w:t>
      </w:r>
      <w:bookmarkEnd w:id="117"/>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lang w:eastAsia="ru-RU"/>
        </w:rPr>
        <w:t>Информация о суммах начисленных в 2024 году индивидуальных вознаграждений   членам Совета директоров Обществ</w:t>
      </w:r>
      <w:r>
        <w:rPr>
          <w:rFonts w:ascii="Times New Roman" w:eastAsia="Times New Roman" w:hAnsi="Times New Roman" w:cs="Times New Roman"/>
          <w:sz w:val="24"/>
          <w:szCs w:val="24"/>
        </w:rPr>
        <w:t xml:space="preserve"> не раскрывается, т.к. отсутствуют согласия членов Совета директоров на раскрытие данной информации</w:t>
      </w:r>
      <w:r>
        <w:rPr>
          <w:rFonts w:ascii="Times New Roman" w:hAnsi="Times New Roman" w:cs="Times New Roman"/>
          <w:sz w:val="24"/>
          <w:szCs w:val="24"/>
        </w:rPr>
        <w:t>.</w:t>
      </w:r>
    </w:p>
    <w:p w:rsidR="00D602D4" w:rsidRDefault="00D602D4">
      <w:pPr>
        <w:pStyle w:val="220"/>
        <w:spacing w:after="0"/>
        <w:ind w:left="0" w:firstLine="709"/>
        <w:rPr>
          <w:sz w:val="24"/>
          <w:szCs w:val="24"/>
        </w:rPr>
      </w:pPr>
    </w:p>
    <w:p w:rsidR="00D602D4" w:rsidRDefault="000B4C86">
      <w:pPr>
        <w:pStyle w:val="220"/>
        <w:spacing w:after="0"/>
        <w:ind w:left="0" w:firstLine="709"/>
        <w:rPr>
          <w:sz w:val="24"/>
          <w:szCs w:val="24"/>
        </w:rPr>
      </w:pPr>
      <w:bookmarkStart w:id="118" w:name="_Toc155"/>
      <w:r>
        <w:rPr>
          <w:sz w:val="24"/>
          <w:szCs w:val="24"/>
        </w:rPr>
        <w:t>Система вознаграждения исполнительных органов</w:t>
      </w:r>
      <w:bookmarkEnd w:id="118"/>
    </w:p>
    <w:p w:rsidR="00D602D4" w:rsidRDefault="00D602D4">
      <w:pPr>
        <w:widowControl w:val="0"/>
        <w:tabs>
          <w:tab w:val="left" w:pos="851"/>
          <w:tab w:val="left" w:pos="993"/>
        </w:tabs>
        <w:spacing w:after="0" w:line="240" w:lineRule="auto"/>
        <w:ind w:firstLine="709"/>
        <w:jc w:val="both"/>
        <w:rPr>
          <w:rFonts w:ascii="Times New Roman" w:eastAsia="Times New Roman" w:hAnsi="Times New Roman" w:cs="Times New Roman"/>
          <w:b/>
          <w:bCs/>
          <w:sz w:val="24"/>
          <w:szCs w:val="24"/>
        </w:rPr>
      </w:pPr>
    </w:p>
    <w:p w:rsidR="00D602D4" w:rsidRDefault="000B4C86">
      <w:pPr>
        <w:widowControl w:val="0"/>
        <w:tabs>
          <w:tab w:val="left" w:pos="851"/>
          <w:tab w:val="left" w:pos="993"/>
        </w:tabs>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sz w:val="24"/>
          <w:szCs w:val="24"/>
        </w:rPr>
        <w:t>Система вознаграждения членов Правления</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соответствии с Положением о Правлении ПАО «МРСК Сибири», утвержденным решением годового Общего собрания акционеров от 13.06.2019 (протокол от 18.06.2019 № </w:t>
      </w:r>
      <w:r>
        <w:rPr>
          <w:rFonts w:ascii="Times New Roman" w:eastAsia="Times New Roman" w:hAnsi="Times New Roman" w:cs="Times New Roman"/>
          <w:sz w:val="24"/>
          <w:szCs w:val="24"/>
        </w:rPr>
        <w:lastRenderedPageBreak/>
        <w:t>15), трудовой договор с членом Правления от имени Общества подписывается Председателем Совета директоров Общества или лицом, уполномоченным Советом директоров Общества.</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Условия трудового договора, в том числе в части срока полномочий, определяются Советом директоров Общества или лицом, уполномоченным Советом директоров Общества на осуществление прав и обязанностей работодателя от имени Общества в отношении членов Правления Общества. Выплата вознаграждений осуществляется в соответствии с условиями трудовых договоров.</w:t>
      </w:r>
    </w:p>
    <w:p w:rsidR="00D602D4" w:rsidRDefault="000B4C86">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соответствии с подпунктом 15 пункта 15.1 статьи 15 Устава Общества определение количественного состава Правления Общества, избрание членов Правления Общества, установление выплачиваемых им вознаграждений и компенсаций, досрочное прекращение их полномочий относится к компетенции Совета директоров Общества.</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rPr>
        <w:t>Таблица 104</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rPr>
        <w:t>Сведения о вознаграждении членов Правления Общества за 2024 год, тыс. руб.</w:t>
      </w:r>
    </w:p>
    <w:tbl>
      <w:tblPr>
        <w:tblW w:w="9493" w:type="dxa"/>
        <w:jc w:val="center"/>
        <w:tblLook w:val="04A0" w:firstRow="1" w:lastRow="0" w:firstColumn="1" w:lastColumn="0" w:noHBand="0" w:noVBand="1"/>
      </w:tblPr>
      <w:tblGrid>
        <w:gridCol w:w="560"/>
        <w:gridCol w:w="7090"/>
        <w:gridCol w:w="1843"/>
      </w:tblGrid>
      <w:tr w:rsidR="00D602D4">
        <w:trPr>
          <w:trHeight w:val="170"/>
          <w:jc w:val="center"/>
        </w:trPr>
        <w:tc>
          <w:tcPr>
            <w:tcW w:w="560"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spacing w:after="0" w:line="240" w:lineRule="auto"/>
              <w:jc w:val="center"/>
              <w:rPr>
                <w:rFonts w:ascii="Times New Roman" w:hAnsi="Times New Roman" w:cs="Times New Roman"/>
                <w:b/>
                <w:bCs/>
                <w:sz w:val="20"/>
                <w:szCs w:val="20"/>
              </w:rPr>
            </w:pPr>
            <w:r>
              <w:rPr>
                <w:rFonts w:ascii="Times New Roman" w:eastAsia="Times New Roman" w:hAnsi="Times New Roman" w:cs="Times New Roman"/>
                <w:b/>
                <w:bCs/>
                <w:sz w:val="20"/>
                <w:szCs w:val="20"/>
                <w:lang w:eastAsia="ru-RU"/>
              </w:rPr>
              <w:t>№ п/п</w:t>
            </w:r>
          </w:p>
        </w:tc>
        <w:tc>
          <w:tcPr>
            <w:tcW w:w="7090" w:type="dxa"/>
            <w:tcBorders>
              <w:top w:val="single" w:sz="4" w:space="0" w:color="000000"/>
              <w:left w:val="none" w:sz="4" w:space="0" w:color="000000"/>
              <w:bottom w:val="single" w:sz="4" w:space="0" w:color="000000"/>
              <w:right w:val="single" w:sz="4" w:space="0" w:color="000000"/>
            </w:tcBorders>
            <w:shd w:val="clear" w:color="FFFFFF" w:fill="D9D9D9" w:themeFill="background1" w:themeFillShade="D9"/>
            <w:vAlign w:val="center"/>
          </w:tcPr>
          <w:p w:rsidR="00D602D4" w:rsidRDefault="000B4C86">
            <w:pPr>
              <w:spacing w:after="0" w:line="240" w:lineRule="auto"/>
              <w:jc w:val="center"/>
              <w:rPr>
                <w:rFonts w:ascii="Times New Roman" w:hAnsi="Times New Roman" w:cs="Times New Roman"/>
                <w:b/>
                <w:bCs/>
                <w:sz w:val="20"/>
                <w:szCs w:val="20"/>
              </w:rPr>
            </w:pPr>
            <w:r>
              <w:rPr>
                <w:rFonts w:ascii="Times New Roman" w:eastAsia="Times New Roman" w:hAnsi="Times New Roman" w:cs="Times New Roman"/>
                <w:b/>
                <w:bCs/>
                <w:sz w:val="20"/>
                <w:szCs w:val="20"/>
                <w:lang w:eastAsia="ru-RU"/>
              </w:rPr>
              <w:t>Наименование показателя</w:t>
            </w:r>
          </w:p>
        </w:tc>
        <w:tc>
          <w:tcPr>
            <w:tcW w:w="1843" w:type="dxa"/>
            <w:tcBorders>
              <w:top w:val="single" w:sz="4" w:space="0" w:color="000000"/>
              <w:left w:val="none" w:sz="4" w:space="0" w:color="000000"/>
              <w:bottom w:val="single" w:sz="4" w:space="0" w:color="000000"/>
              <w:right w:val="single" w:sz="4" w:space="0" w:color="000000"/>
            </w:tcBorders>
            <w:shd w:val="clear" w:color="FFFFFF" w:fill="D9D9D9" w:themeFill="background1" w:themeFillShade="D9"/>
            <w:vAlign w:val="center"/>
          </w:tcPr>
          <w:p w:rsidR="00D602D4" w:rsidRDefault="000B4C86">
            <w:pPr>
              <w:spacing w:after="0" w:line="240" w:lineRule="auto"/>
              <w:jc w:val="center"/>
              <w:rPr>
                <w:rFonts w:ascii="Times New Roman" w:hAnsi="Times New Roman" w:cs="Times New Roman"/>
                <w:b/>
                <w:bCs/>
                <w:sz w:val="20"/>
                <w:szCs w:val="20"/>
              </w:rPr>
            </w:pPr>
            <w:r>
              <w:rPr>
                <w:rFonts w:ascii="Times New Roman" w:eastAsia="Times New Roman" w:hAnsi="Times New Roman" w:cs="Times New Roman"/>
                <w:b/>
                <w:bCs/>
                <w:sz w:val="20"/>
                <w:szCs w:val="20"/>
                <w:lang w:eastAsia="ru-RU"/>
              </w:rPr>
              <w:t xml:space="preserve">Размер </w:t>
            </w:r>
            <w:r>
              <w:rPr>
                <w:rFonts w:ascii="Times New Roman" w:eastAsia="Times New Roman" w:hAnsi="Times New Roman" w:cs="Times New Roman"/>
                <w:b/>
                <w:bCs/>
                <w:sz w:val="20"/>
                <w:szCs w:val="20"/>
                <w:lang w:eastAsia="ru-RU"/>
              </w:rPr>
              <w:br/>
              <w:t>вознаграждения</w:t>
            </w:r>
          </w:p>
        </w:tc>
      </w:tr>
      <w:tr w:rsidR="00D602D4">
        <w:trPr>
          <w:trHeight w:val="170"/>
          <w:jc w:val="center"/>
        </w:trPr>
        <w:tc>
          <w:tcPr>
            <w:tcW w:w="56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1</w:t>
            </w:r>
          </w:p>
        </w:tc>
        <w:tc>
          <w:tcPr>
            <w:tcW w:w="709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lang w:eastAsia="ru-RU"/>
              </w:rPr>
              <w:t>Вознаграждение за участие в работе органов управления и комитетов при СД</w:t>
            </w:r>
          </w:p>
        </w:tc>
        <w:tc>
          <w:tcPr>
            <w:tcW w:w="1843"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right"/>
              <w:rPr>
                <w:sz w:val="20"/>
                <w:szCs w:val="20"/>
              </w:rPr>
            </w:pPr>
            <w:r>
              <w:rPr>
                <w:rFonts w:ascii="Times New Roman" w:eastAsia="Times New Roman" w:hAnsi="Times New Roman" w:cs="Times New Roman"/>
                <w:color w:val="000000"/>
                <w:sz w:val="20"/>
                <w:szCs w:val="20"/>
              </w:rPr>
              <w:t>0,0</w:t>
            </w:r>
          </w:p>
        </w:tc>
      </w:tr>
      <w:tr w:rsidR="00D602D4">
        <w:trPr>
          <w:trHeight w:val="170"/>
          <w:jc w:val="center"/>
        </w:trPr>
        <w:tc>
          <w:tcPr>
            <w:tcW w:w="56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2</w:t>
            </w:r>
          </w:p>
        </w:tc>
        <w:tc>
          <w:tcPr>
            <w:tcW w:w="709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lang w:eastAsia="ru-RU"/>
              </w:rPr>
              <w:t>Заработная плата и иные вознаграждения, входящие в систему оплаты труда</w:t>
            </w:r>
          </w:p>
        </w:tc>
        <w:tc>
          <w:tcPr>
            <w:tcW w:w="1843"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right"/>
              <w:rPr>
                <w:sz w:val="20"/>
                <w:szCs w:val="20"/>
              </w:rPr>
            </w:pPr>
            <w:r>
              <w:rPr>
                <w:rFonts w:ascii="Times New Roman" w:eastAsia="Times New Roman" w:hAnsi="Times New Roman" w:cs="Times New Roman"/>
                <w:color w:val="000000"/>
                <w:sz w:val="20"/>
                <w:szCs w:val="20"/>
              </w:rPr>
              <w:t>1 042,3</w:t>
            </w:r>
          </w:p>
        </w:tc>
      </w:tr>
      <w:tr w:rsidR="00D602D4">
        <w:trPr>
          <w:trHeight w:val="170"/>
          <w:jc w:val="center"/>
        </w:trPr>
        <w:tc>
          <w:tcPr>
            <w:tcW w:w="56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3</w:t>
            </w:r>
          </w:p>
        </w:tc>
        <w:tc>
          <w:tcPr>
            <w:tcW w:w="709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lang w:eastAsia="ru-RU"/>
              </w:rPr>
              <w:t>Премии</w:t>
            </w:r>
          </w:p>
        </w:tc>
        <w:tc>
          <w:tcPr>
            <w:tcW w:w="1843"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right"/>
              <w:rPr>
                <w:sz w:val="20"/>
                <w:szCs w:val="20"/>
              </w:rPr>
            </w:pPr>
            <w:r>
              <w:rPr>
                <w:rFonts w:ascii="Times New Roman" w:eastAsia="Times New Roman" w:hAnsi="Times New Roman" w:cs="Times New Roman"/>
                <w:color w:val="000000"/>
                <w:sz w:val="20"/>
                <w:szCs w:val="20"/>
              </w:rPr>
              <w:t>0,03</w:t>
            </w:r>
          </w:p>
        </w:tc>
      </w:tr>
      <w:tr w:rsidR="00D602D4">
        <w:trPr>
          <w:trHeight w:val="170"/>
          <w:jc w:val="center"/>
        </w:trPr>
        <w:tc>
          <w:tcPr>
            <w:tcW w:w="56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hAnsi="Times New Roman" w:cs="Times New Roman"/>
                <w:sz w:val="20"/>
                <w:szCs w:val="20"/>
              </w:rPr>
            </w:pPr>
          </w:p>
        </w:tc>
        <w:tc>
          <w:tcPr>
            <w:tcW w:w="709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b/>
                <w:bCs/>
                <w:sz w:val="20"/>
                <w:szCs w:val="20"/>
              </w:rPr>
            </w:pPr>
            <w:r>
              <w:rPr>
                <w:rFonts w:ascii="Times New Roman" w:eastAsia="Times New Roman" w:hAnsi="Times New Roman" w:cs="Times New Roman"/>
                <w:b/>
                <w:bCs/>
                <w:sz w:val="20"/>
                <w:szCs w:val="20"/>
                <w:lang w:eastAsia="ru-RU"/>
              </w:rPr>
              <w:t>ИТОГО</w:t>
            </w:r>
          </w:p>
        </w:tc>
        <w:tc>
          <w:tcPr>
            <w:tcW w:w="1843"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right"/>
              <w:rPr>
                <w:sz w:val="20"/>
                <w:szCs w:val="20"/>
              </w:rPr>
            </w:pPr>
            <w:r>
              <w:rPr>
                <w:rFonts w:ascii="Times New Roman" w:eastAsia="Times New Roman" w:hAnsi="Times New Roman" w:cs="Times New Roman"/>
                <w:b/>
                <w:color w:val="000000"/>
                <w:sz w:val="20"/>
                <w:szCs w:val="20"/>
              </w:rPr>
              <w:t>1 042,3</w:t>
            </w:r>
          </w:p>
        </w:tc>
      </w:tr>
    </w:tbl>
    <w:p w:rsidR="00D602D4" w:rsidRDefault="00D602D4">
      <w:pPr>
        <w:widowControl w:val="0"/>
        <w:spacing w:after="0" w:line="240" w:lineRule="auto"/>
        <w:ind w:firstLine="709"/>
        <w:jc w:val="both"/>
        <w:rPr>
          <w:rFonts w:ascii="Times New Roman" w:eastAsia="Times New Roman" w:hAnsi="Times New Roman" w:cs="Times New Roman"/>
          <w:sz w:val="24"/>
          <w:szCs w:val="24"/>
        </w:rPr>
      </w:pPr>
    </w:p>
    <w:p w:rsidR="00D602D4" w:rsidRDefault="00D602D4">
      <w:pPr>
        <w:widowControl w:val="0"/>
        <w:spacing w:after="0" w:line="240" w:lineRule="auto"/>
        <w:ind w:firstLine="709"/>
        <w:jc w:val="center"/>
        <w:rPr>
          <w:rFonts w:ascii="Times New Roman" w:eastAsia="Times New Roman" w:hAnsi="Times New Roman" w:cs="Times New Roman"/>
          <w:b/>
          <w:sz w:val="24"/>
          <w:szCs w:val="24"/>
        </w:rPr>
      </w:pPr>
    </w:p>
    <w:p w:rsidR="00D602D4" w:rsidRDefault="000B4C86">
      <w:pPr>
        <w:widowControl w:val="0"/>
        <w:tabs>
          <w:tab w:val="left" w:pos="851"/>
          <w:tab w:val="left" w:pos="993"/>
        </w:tabs>
        <w:spacing w:after="0" w:line="240" w:lineRule="auto"/>
        <w:ind w:firstLine="709"/>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Сведения о начисленных вознаграждениях, компенсациях ключевым руководящим работникам ПАО «Россети Сибирь» за 2024 год без учета создания резервов и страховых взносов</w:t>
      </w:r>
    </w:p>
    <w:p w:rsidR="00D602D4" w:rsidRDefault="000B4C86">
      <w:pPr>
        <w:widowControl w:val="0"/>
        <w:tabs>
          <w:tab w:val="left" w:pos="9356"/>
        </w:tabs>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sz w:val="24"/>
          <w:szCs w:val="24"/>
        </w:rPr>
        <w:t>Решением Совета директоров Общества от 31.07.2023 (протокол от 03.08.2023 № 498/23) утвержден перечень ключевых руководящих работников Общества.</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rPr>
        <w:t>Таблица 105</w:t>
      </w:r>
    </w:p>
    <w:p w:rsidR="00D602D4" w:rsidRDefault="000B4C86">
      <w:pPr>
        <w:spacing w:after="0" w:line="240" w:lineRule="auto"/>
        <w:jc w:val="right"/>
        <w:rPr>
          <w:rFonts w:ascii="Times New Roman" w:hAnsi="Times New Roman" w:cs="Times New Roman"/>
          <w:sz w:val="24"/>
          <w:szCs w:val="24"/>
        </w:rPr>
      </w:pPr>
      <w:r>
        <w:rPr>
          <w:rFonts w:ascii="Times New Roman" w:eastAsia="Times New Roman" w:hAnsi="Times New Roman" w:cs="Times New Roman"/>
          <w:sz w:val="24"/>
          <w:szCs w:val="24"/>
        </w:rPr>
        <w:t>Сведения о вознаграждении ключевых руководящих работников за 2024 год, тыс. руб.</w:t>
      </w:r>
    </w:p>
    <w:tbl>
      <w:tblPr>
        <w:tblW w:w="9493" w:type="dxa"/>
        <w:jc w:val="center"/>
        <w:tblLook w:val="04A0" w:firstRow="1" w:lastRow="0" w:firstColumn="1" w:lastColumn="0" w:noHBand="0" w:noVBand="1"/>
      </w:tblPr>
      <w:tblGrid>
        <w:gridCol w:w="560"/>
        <w:gridCol w:w="7090"/>
        <w:gridCol w:w="1843"/>
      </w:tblGrid>
      <w:tr w:rsidR="00D602D4">
        <w:trPr>
          <w:trHeight w:val="170"/>
          <w:jc w:val="center"/>
        </w:trPr>
        <w:tc>
          <w:tcPr>
            <w:tcW w:w="560" w:type="dxa"/>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rsidR="00D602D4" w:rsidRDefault="000B4C86">
            <w:pPr>
              <w:spacing w:after="0" w:line="240" w:lineRule="auto"/>
              <w:jc w:val="center"/>
              <w:rPr>
                <w:rFonts w:ascii="Times New Roman" w:hAnsi="Times New Roman" w:cs="Times New Roman"/>
                <w:b/>
                <w:bCs/>
                <w:sz w:val="20"/>
                <w:szCs w:val="20"/>
              </w:rPr>
            </w:pPr>
            <w:r>
              <w:rPr>
                <w:rFonts w:ascii="Times New Roman" w:eastAsia="Times New Roman" w:hAnsi="Times New Roman" w:cs="Times New Roman"/>
                <w:b/>
                <w:bCs/>
                <w:sz w:val="20"/>
                <w:szCs w:val="20"/>
                <w:lang w:eastAsia="ru-RU"/>
              </w:rPr>
              <w:t>№ п/п</w:t>
            </w:r>
          </w:p>
        </w:tc>
        <w:tc>
          <w:tcPr>
            <w:tcW w:w="7090" w:type="dxa"/>
            <w:tcBorders>
              <w:top w:val="single" w:sz="4" w:space="0" w:color="000000"/>
              <w:left w:val="none" w:sz="4" w:space="0" w:color="000000"/>
              <w:bottom w:val="single" w:sz="4" w:space="0" w:color="000000"/>
              <w:right w:val="single" w:sz="4" w:space="0" w:color="000000"/>
            </w:tcBorders>
            <w:shd w:val="clear" w:color="FFFFFF" w:fill="D9D9D9" w:themeFill="background1" w:themeFillShade="D9"/>
            <w:vAlign w:val="center"/>
          </w:tcPr>
          <w:p w:rsidR="00D602D4" w:rsidRDefault="000B4C86">
            <w:pPr>
              <w:spacing w:after="0" w:line="240" w:lineRule="auto"/>
              <w:jc w:val="center"/>
              <w:rPr>
                <w:rFonts w:ascii="Times New Roman" w:hAnsi="Times New Roman" w:cs="Times New Roman"/>
                <w:b/>
                <w:bCs/>
                <w:sz w:val="20"/>
                <w:szCs w:val="20"/>
              </w:rPr>
            </w:pPr>
            <w:r>
              <w:rPr>
                <w:rFonts w:ascii="Times New Roman" w:eastAsia="Times New Roman" w:hAnsi="Times New Roman" w:cs="Times New Roman"/>
                <w:b/>
                <w:bCs/>
                <w:sz w:val="20"/>
                <w:szCs w:val="20"/>
                <w:lang w:eastAsia="ru-RU"/>
              </w:rPr>
              <w:t>Наименование показателя</w:t>
            </w:r>
          </w:p>
        </w:tc>
        <w:tc>
          <w:tcPr>
            <w:tcW w:w="1843" w:type="dxa"/>
            <w:tcBorders>
              <w:top w:val="single" w:sz="4" w:space="0" w:color="000000"/>
              <w:left w:val="none" w:sz="4" w:space="0" w:color="000000"/>
              <w:bottom w:val="single" w:sz="4" w:space="0" w:color="000000"/>
              <w:right w:val="single" w:sz="4" w:space="0" w:color="000000"/>
            </w:tcBorders>
            <w:shd w:val="clear" w:color="FFFFFF" w:fill="D9D9D9" w:themeFill="background1" w:themeFillShade="D9"/>
            <w:vAlign w:val="center"/>
          </w:tcPr>
          <w:p w:rsidR="00D602D4" w:rsidRDefault="000B4C86">
            <w:pPr>
              <w:spacing w:after="0" w:line="240" w:lineRule="auto"/>
              <w:jc w:val="center"/>
              <w:rPr>
                <w:rFonts w:ascii="Times New Roman" w:hAnsi="Times New Roman" w:cs="Times New Roman"/>
                <w:b/>
                <w:bCs/>
                <w:sz w:val="20"/>
                <w:szCs w:val="20"/>
              </w:rPr>
            </w:pPr>
            <w:r>
              <w:rPr>
                <w:rFonts w:ascii="Times New Roman" w:eastAsia="Times New Roman" w:hAnsi="Times New Roman" w:cs="Times New Roman"/>
                <w:b/>
                <w:bCs/>
                <w:sz w:val="20"/>
                <w:szCs w:val="20"/>
                <w:lang w:eastAsia="ru-RU"/>
              </w:rPr>
              <w:t xml:space="preserve">Размер </w:t>
            </w:r>
            <w:r>
              <w:rPr>
                <w:rFonts w:ascii="Times New Roman" w:eastAsia="Times New Roman" w:hAnsi="Times New Roman" w:cs="Times New Roman"/>
                <w:b/>
                <w:bCs/>
                <w:sz w:val="20"/>
                <w:szCs w:val="20"/>
                <w:lang w:eastAsia="ru-RU"/>
              </w:rPr>
              <w:br/>
              <w:t>вознаграждения</w:t>
            </w:r>
          </w:p>
        </w:tc>
      </w:tr>
      <w:tr w:rsidR="00D602D4">
        <w:trPr>
          <w:trHeight w:val="170"/>
          <w:jc w:val="center"/>
        </w:trPr>
        <w:tc>
          <w:tcPr>
            <w:tcW w:w="56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1</w:t>
            </w:r>
          </w:p>
        </w:tc>
        <w:tc>
          <w:tcPr>
            <w:tcW w:w="709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lang w:eastAsia="ru-RU"/>
              </w:rPr>
              <w:t>Вознаграждение за участие в работе органов управления и комитетов при СД</w:t>
            </w:r>
          </w:p>
        </w:tc>
        <w:tc>
          <w:tcPr>
            <w:tcW w:w="1843"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right"/>
              <w:rPr>
                <w:sz w:val="20"/>
                <w:szCs w:val="20"/>
              </w:rPr>
            </w:pPr>
            <w:r>
              <w:rPr>
                <w:rFonts w:ascii="Times New Roman" w:eastAsia="Times New Roman" w:hAnsi="Times New Roman" w:cs="Times New Roman"/>
                <w:color w:val="000000"/>
                <w:sz w:val="20"/>
                <w:szCs w:val="20"/>
              </w:rPr>
              <w:t>0,00</w:t>
            </w:r>
          </w:p>
        </w:tc>
      </w:tr>
      <w:tr w:rsidR="00D602D4">
        <w:trPr>
          <w:trHeight w:val="170"/>
          <w:jc w:val="center"/>
        </w:trPr>
        <w:tc>
          <w:tcPr>
            <w:tcW w:w="56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2</w:t>
            </w:r>
          </w:p>
        </w:tc>
        <w:tc>
          <w:tcPr>
            <w:tcW w:w="709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lang w:eastAsia="ru-RU"/>
              </w:rPr>
              <w:t>Заработная плата и иные вознаграждения, входящие в систему оплаты труда</w:t>
            </w:r>
          </w:p>
        </w:tc>
        <w:tc>
          <w:tcPr>
            <w:tcW w:w="1843"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right"/>
              <w:rPr>
                <w:sz w:val="20"/>
                <w:szCs w:val="20"/>
              </w:rPr>
            </w:pPr>
            <w:r>
              <w:rPr>
                <w:rFonts w:ascii="Times New Roman" w:eastAsia="Times New Roman" w:hAnsi="Times New Roman" w:cs="Times New Roman"/>
                <w:color w:val="000000"/>
                <w:sz w:val="20"/>
                <w:szCs w:val="20"/>
              </w:rPr>
              <w:t>97 255,5</w:t>
            </w:r>
          </w:p>
        </w:tc>
      </w:tr>
      <w:tr w:rsidR="00D602D4">
        <w:trPr>
          <w:trHeight w:val="170"/>
          <w:jc w:val="center"/>
        </w:trPr>
        <w:tc>
          <w:tcPr>
            <w:tcW w:w="56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3</w:t>
            </w:r>
          </w:p>
        </w:tc>
        <w:tc>
          <w:tcPr>
            <w:tcW w:w="709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sz w:val="20"/>
                <w:szCs w:val="20"/>
              </w:rPr>
            </w:pPr>
            <w:r>
              <w:rPr>
                <w:rFonts w:ascii="Times New Roman" w:eastAsia="Times New Roman" w:hAnsi="Times New Roman" w:cs="Times New Roman"/>
                <w:sz w:val="20"/>
                <w:szCs w:val="20"/>
                <w:lang w:eastAsia="ru-RU"/>
              </w:rPr>
              <w:t>Премии</w:t>
            </w:r>
          </w:p>
        </w:tc>
        <w:tc>
          <w:tcPr>
            <w:tcW w:w="1843"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right"/>
              <w:rPr>
                <w:sz w:val="20"/>
                <w:szCs w:val="20"/>
              </w:rPr>
            </w:pPr>
            <w:r>
              <w:rPr>
                <w:rFonts w:ascii="Times New Roman" w:eastAsia="Times New Roman" w:hAnsi="Times New Roman" w:cs="Times New Roman"/>
                <w:color w:val="000000"/>
                <w:sz w:val="20"/>
                <w:szCs w:val="20"/>
              </w:rPr>
              <w:t>61 179,3</w:t>
            </w:r>
          </w:p>
        </w:tc>
      </w:tr>
      <w:tr w:rsidR="00D602D4">
        <w:trPr>
          <w:trHeight w:val="170"/>
          <w:jc w:val="center"/>
        </w:trPr>
        <w:tc>
          <w:tcPr>
            <w:tcW w:w="56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D602D4">
            <w:pPr>
              <w:spacing w:after="0" w:line="240" w:lineRule="auto"/>
              <w:jc w:val="both"/>
              <w:rPr>
                <w:rFonts w:ascii="Times New Roman" w:hAnsi="Times New Roman" w:cs="Times New Roman"/>
                <w:sz w:val="20"/>
                <w:szCs w:val="20"/>
              </w:rPr>
            </w:pPr>
          </w:p>
        </w:tc>
        <w:tc>
          <w:tcPr>
            <w:tcW w:w="709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hAnsi="Times New Roman" w:cs="Times New Roman"/>
                <w:b/>
                <w:bCs/>
                <w:sz w:val="20"/>
                <w:szCs w:val="20"/>
              </w:rPr>
            </w:pPr>
            <w:r>
              <w:rPr>
                <w:rFonts w:ascii="Times New Roman" w:eastAsia="Times New Roman" w:hAnsi="Times New Roman" w:cs="Times New Roman"/>
                <w:b/>
                <w:bCs/>
                <w:sz w:val="20"/>
                <w:szCs w:val="20"/>
                <w:lang w:eastAsia="ru-RU"/>
              </w:rPr>
              <w:t>ИТОГО</w:t>
            </w:r>
          </w:p>
        </w:tc>
        <w:tc>
          <w:tcPr>
            <w:tcW w:w="1843" w:type="dxa"/>
            <w:tcBorders>
              <w:top w:val="none" w:sz="4" w:space="0" w:color="000000"/>
              <w:left w:val="none" w:sz="4" w:space="0" w:color="000000"/>
              <w:bottom w:val="single" w:sz="4" w:space="0" w:color="000000"/>
              <w:right w:val="single" w:sz="4" w:space="0" w:color="000000"/>
            </w:tcBorders>
            <w:shd w:val="clear" w:color="FFFFFF" w:fill="FFFFFF"/>
          </w:tcPr>
          <w:p w:rsidR="00D602D4" w:rsidRDefault="000B4C86">
            <w:pPr>
              <w:spacing w:after="0" w:line="240" w:lineRule="auto"/>
              <w:jc w:val="right"/>
              <w:rPr>
                <w:sz w:val="20"/>
                <w:szCs w:val="20"/>
              </w:rPr>
            </w:pPr>
            <w:r>
              <w:rPr>
                <w:rFonts w:ascii="Times New Roman" w:eastAsia="Times New Roman" w:hAnsi="Times New Roman" w:cs="Times New Roman"/>
                <w:b/>
                <w:color w:val="000000"/>
                <w:sz w:val="20"/>
                <w:szCs w:val="20"/>
              </w:rPr>
              <w:t>158 434,8</w:t>
            </w:r>
          </w:p>
        </w:tc>
      </w:tr>
    </w:tbl>
    <w:p w:rsidR="00D602D4" w:rsidRDefault="00D602D4">
      <w:pPr>
        <w:spacing w:after="0" w:line="240" w:lineRule="auto"/>
        <w:ind w:firstLine="709"/>
        <w:jc w:val="both"/>
        <w:rPr>
          <w:rFonts w:ascii="Times New Roman" w:hAnsi="Times New Roman" w:cs="Times New Roman"/>
        </w:rPr>
      </w:pPr>
    </w:p>
    <w:p w:rsidR="00D602D4" w:rsidRDefault="000B4C86">
      <w:pPr>
        <w:pStyle w:val="a1"/>
        <w:numPr>
          <w:ilvl w:val="0"/>
          <w:numId w:val="0"/>
        </w:numPr>
        <w:spacing w:after="0"/>
        <w:ind w:firstLine="709"/>
        <w:jc w:val="both"/>
        <w:rPr>
          <w:sz w:val="24"/>
          <w:szCs w:val="24"/>
        </w:rPr>
      </w:pPr>
      <w:bookmarkStart w:id="119" w:name="undefined"/>
      <w:r>
        <w:rPr>
          <w:sz w:val="24"/>
          <w:szCs w:val="24"/>
        </w:rPr>
        <w:t>Система вознаграждения Генерального директора</w:t>
      </w:r>
      <w:bookmarkEnd w:id="119"/>
    </w:p>
    <w:p w:rsidR="00D602D4" w:rsidRDefault="000B4C86">
      <w:pPr>
        <w:spacing w:after="0" w:line="240" w:lineRule="auto"/>
        <w:ind w:firstLine="709"/>
        <w:jc w:val="both"/>
        <w:rPr>
          <w:rFonts w:ascii="Times New Roman" w:hAnsi="Times New Roman" w:cs="Times New Roman"/>
        </w:rPr>
      </w:pPr>
      <w:r>
        <w:rPr>
          <w:rFonts w:ascii="Times New Roman" w:eastAsia="Times New Roman" w:hAnsi="Times New Roman" w:cs="Times New Roman"/>
          <w:sz w:val="24"/>
          <w:szCs w:val="24"/>
        </w:rPr>
        <w:t>Вознаграждение Генеральному директору выплачивалось в соответствии с заключенным трудовым договором.</w:t>
      </w:r>
    </w:p>
    <w:p w:rsidR="00D602D4" w:rsidRDefault="00D602D4">
      <w:pPr>
        <w:spacing w:after="0" w:line="240" w:lineRule="auto"/>
        <w:ind w:firstLine="709"/>
        <w:jc w:val="both"/>
        <w:rPr>
          <w:rFonts w:ascii="Times New Roman" w:hAnsi="Times New Roman" w:cs="Times New Roman"/>
        </w:rPr>
      </w:pPr>
    </w:p>
    <w:p w:rsidR="00D602D4" w:rsidRDefault="00D602D4">
      <w:pPr>
        <w:pStyle w:val="13"/>
        <w:spacing w:before="0" w:line="240" w:lineRule="auto"/>
        <w:rPr>
          <w:rFonts w:ascii="Times New Roman" w:hAnsi="Times New Roman" w:cs="Times New Roman"/>
          <w:b/>
          <w:color w:val="auto"/>
          <w:sz w:val="26"/>
          <w:szCs w:val="26"/>
        </w:rPr>
      </w:pPr>
    </w:p>
    <w:p w:rsidR="00D602D4" w:rsidRDefault="000B4C86">
      <w:pPr>
        <w:pStyle w:val="13"/>
        <w:spacing w:before="0" w:line="240" w:lineRule="auto"/>
        <w:rPr>
          <w:rFonts w:ascii="Times New Roman" w:hAnsi="Times New Roman" w:cs="Times New Roman"/>
          <w:b/>
          <w:color w:val="auto"/>
          <w:sz w:val="26"/>
          <w:szCs w:val="26"/>
        </w:rPr>
      </w:pPr>
      <w:bookmarkStart w:id="120" w:name="_Toc157"/>
      <w:r>
        <w:rPr>
          <w:rFonts w:ascii="Times New Roman" w:eastAsia="Times New Roman" w:hAnsi="Times New Roman" w:cs="Times New Roman"/>
          <w:b/>
          <w:color w:val="auto"/>
          <w:sz w:val="26"/>
          <w:szCs w:val="26"/>
        </w:rPr>
        <w:t>5.9. Предотвращение конфликта интересов</w:t>
      </w:r>
      <w:bookmarkEnd w:id="120"/>
    </w:p>
    <w:p w:rsidR="00D602D4" w:rsidRDefault="00D602D4">
      <w:pPr>
        <w:pStyle w:val="aff1"/>
        <w:ind w:firstLine="709"/>
        <w:rPr>
          <w:sz w:val="24"/>
        </w:rPr>
      </w:pPr>
    </w:p>
    <w:p w:rsidR="00D602D4" w:rsidRDefault="000B4C86">
      <w:pPr>
        <w:pStyle w:val="aff1"/>
        <w:ind w:firstLine="709"/>
        <w:rPr>
          <w:sz w:val="24"/>
        </w:rPr>
      </w:pPr>
      <w:r>
        <w:rPr>
          <w:sz w:val="24"/>
        </w:rPr>
        <w:t>В соответствии с Положением о Совете директоров ПАО «Россети Сибирь»</w:t>
      </w:r>
      <w:r>
        <w:rPr>
          <w:rStyle w:val="af1"/>
          <w:sz w:val="24"/>
        </w:rPr>
        <w:footnoteReference w:id="35"/>
      </w:r>
      <w:r>
        <w:rPr>
          <w:sz w:val="24"/>
        </w:rPr>
        <w:t xml:space="preserve"> член Совета директоров обязан уведомлять Совет директоров Общества о возникновении потенциального конфликта интересов, в том числе при наличии заинтересованности в совершении обществом сделки, и в любом случае ставить интересы Общества выше собственных интересов. Такое сообщение должно быть в любом случае сделано до начала обсуждения вопроса, по которому у такого члена Совета директоров имеется конфликт интересов, на заседании Совета директоров.</w:t>
      </w:r>
    </w:p>
    <w:p w:rsidR="00D602D4" w:rsidRDefault="000B4C86">
      <w:pPr>
        <w:pStyle w:val="aff1"/>
        <w:ind w:firstLine="709"/>
        <w:rPr>
          <w:spacing w:val="-2"/>
          <w:sz w:val="24"/>
        </w:rPr>
      </w:pPr>
      <w:r>
        <w:rPr>
          <w:sz w:val="24"/>
        </w:rPr>
        <w:t>Кроме того, члены Совета директоров в течение двух месяцев со дня, когда они узнали</w:t>
      </w:r>
      <w:r>
        <w:rPr>
          <w:spacing w:val="-2"/>
          <w:sz w:val="24"/>
        </w:rPr>
        <w:t xml:space="preserve"> или должны были узнать о наступлении обстоятельств, в силу которых они могут быть признаны заинтересованными в совершении Обществом сделок, обязаны уведомить Общество:</w:t>
      </w:r>
    </w:p>
    <w:p w:rsidR="00D602D4" w:rsidRDefault="000B4C86">
      <w:pPr>
        <w:pStyle w:val="aff1"/>
        <w:ind w:firstLine="709"/>
        <w:rPr>
          <w:spacing w:val="-2"/>
          <w:sz w:val="24"/>
        </w:rPr>
      </w:pPr>
      <w:r>
        <w:rPr>
          <w:spacing w:val="-2"/>
          <w:sz w:val="24"/>
        </w:rPr>
        <w:lastRenderedPageBreak/>
        <w:t>- о юридических лицах, в отношении которых они, их супруги, родители, дети, полнородные и неполнородные братья и сестры, усыновители и усыновленные и (или) их подконтрольные организации являются контролирующими лицами или имеют право давать обязательные указания;</w:t>
      </w:r>
    </w:p>
    <w:p w:rsidR="00D602D4" w:rsidRDefault="000B4C86">
      <w:pPr>
        <w:pStyle w:val="aff1"/>
        <w:ind w:firstLine="709"/>
        <w:rPr>
          <w:spacing w:val="-2"/>
          <w:sz w:val="24"/>
        </w:rPr>
      </w:pPr>
      <w:r>
        <w:rPr>
          <w:spacing w:val="-2"/>
          <w:sz w:val="24"/>
        </w:rPr>
        <w:t>- о юридических лицах, в органах управления которых они, их супруги, родители, дети, полнородные и неполнородные братья и сестры, усыновители и усыновленные и (или) их подконтрольные лица занимают должности;</w:t>
      </w:r>
    </w:p>
    <w:p w:rsidR="00D602D4" w:rsidRDefault="000B4C86">
      <w:pPr>
        <w:pStyle w:val="aff1"/>
        <w:ind w:firstLine="709"/>
        <w:rPr>
          <w:spacing w:val="-2"/>
          <w:sz w:val="24"/>
        </w:rPr>
      </w:pPr>
      <w:r>
        <w:rPr>
          <w:spacing w:val="-2"/>
          <w:sz w:val="24"/>
        </w:rPr>
        <w:t>- об известных им совершаемых или предполагаемых сделках, в которых они могут быть признаны заинтересованными лицами.</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pacing w:val="-2"/>
          <w:sz w:val="24"/>
          <w:szCs w:val="24"/>
        </w:rPr>
        <w:t>В случае изменения указанных сведений члены Совета директоров Общества обязаны уведомить общество об изменении таких сведений в течение 14 дней со дня, когда они узнали или должны были узнать об их изменении.</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Компания также уделяет повышенное внимание вопросам предотвращения и минимизации последствий возможного конфликта интересов членов исполнительных органов. В Обществе действует система комплексного урегулирования конфликта интересов исполнительных органов, призванная предотвратить возможные ситуации конфликта интересов и минимизировать негативные последствия для интересов ПАО «Россети Сибирь».</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В соответствии с Положением о Правлении</w:t>
      </w:r>
      <w:r>
        <w:rPr>
          <w:rStyle w:val="af1"/>
          <w:rFonts w:ascii="Times New Roman" w:eastAsia="Times New Roman" w:hAnsi="Times New Roman" w:cs="Times New Roman"/>
          <w:sz w:val="24"/>
          <w:szCs w:val="24"/>
        </w:rPr>
        <w:footnoteReference w:id="36"/>
      </w:r>
      <w:r>
        <w:rPr>
          <w:rFonts w:ascii="Times New Roman" w:eastAsia="Times New Roman" w:hAnsi="Times New Roman" w:cs="Times New Roman"/>
          <w:sz w:val="24"/>
          <w:szCs w:val="24"/>
        </w:rPr>
        <w:t xml:space="preserve"> ПАО «Россети Сибирь» члены Правления Общества обязаны:</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 в течение 2 (Двух) месяцев со дня, когда они узнали или должны были узнать о наступлении обстоятельств, в силу которых они могут быть признаны заинтересованными в совершении Обществом сделок, уведомить Общество: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а) о юридических лицах, в отношении которых они, их супруги, родители, дети, полнородные или неполнородные братья и сестры, усыновители и усыновленные и (или) их подконтрольные организации являются контролирующими лицами или имеют право давать обязательные указания;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xml:space="preserve">б) о юридических лицах, в органах управления которых они, их супруги, родители, дети, полнородные или неполнородные братья и сестры, усыновители и усыновленные и (или) их подконтрольные лица занимают должности; </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в) об известных им совершаемых или предполагаемых сделках, в которых они могут быть признаны заинтересованными лицами</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 в случае изменения указанных сведений, уведомление о которых ранее предоставлено Обществу, члены Правления обязаны уведомить Общество об изменении таких сведений в течение 14 (Четырнадцати) дней со дня, когда они узнали или должны были узнать об их изменении.</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sz w:val="24"/>
          <w:szCs w:val="24"/>
        </w:rPr>
        <w:t>Кроме того, совмещение членами и Председателем (Генеральным директором) Правления должностей в органах управления других организаций, а также иных оплачиваемых должностей в других организациях, допускается только с согласия Совета директоров Общества.</w:t>
      </w:r>
    </w:p>
    <w:p w:rsidR="00D602D4" w:rsidRDefault="00D602D4">
      <w:pPr>
        <w:spacing w:after="0" w:line="240" w:lineRule="auto"/>
        <w:ind w:firstLine="709"/>
        <w:jc w:val="both"/>
        <w:rPr>
          <w:rFonts w:ascii="Times New Roman" w:hAnsi="Times New Roman" w:cs="Times New Roman"/>
          <w:sz w:val="24"/>
          <w:szCs w:val="24"/>
          <w:highlight w:val="yellow"/>
        </w:rPr>
      </w:pPr>
    </w:p>
    <w:p w:rsidR="00D602D4" w:rsidRDefault="000B4C86">
      <w:pPr>
        <w:pStyle w:val="13"/>
        <w:spacing w:before="0" w:line="240" w:lineRule="auto"/>
        <w:rPr>
          <w:rFonts w:ascii="Times New Roman" w:hAnsi="Times New Roman" w:cs="Times New Roman"/>
          <w:b/>
          <w:bCs/>
          <w:color w:val="auto"/>
          <w:sz w:val="26"/>
          <w:szCs w:val="26"/>
        </w:rPr>
      </w:pPr>
      <w:bookmarkStart w:id="121" w:name="_Toc158"/>
      <w:r>
        <w:rPr>
          <w:rFonts w:ascii="Times New Roman" w:eastAsia="Times New Roman" w:hAnsi="Times New Roman" w:cs="Times New Roman"/>
          <w:b/>
          <w:color w:val="auto"/>
          <w:sz w:val="26"/>
          <w:szCs w:val="26"/>
        </w:rPr>
        <w:t>5.10. Управление рисками, внутренний контроль и внутренний аудит</w:t>
      </w:r>
      <w:bookmarkEnd w:id="121"/>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pStyle w:val="31"/>
        <w:tabs>
          <w:tab w:val="left" w:pos="3933"/>
        </w:tabs>
        <w:rPr>
          <w:rFonts w:ascii="Times New Roman" w:hAnsi="Times New Roman" w:cs="Times New Roman"/>
          <w:b/>
          <w:bCs/>
          <w:color w:val="auto"/>
        </w:rPr>
      </w:pPr>
      <w:bookmarkStart w:id="122" w:name="_Toc159"/>
      <w:r>
        <w:rPr>
          <w:rFonts w:ascii="Times New Roman" w:hAnsi="Times New Roman" w:cs="Times New Roman"/>
          <w:b/>
          <w:bCs/>
          <w:color w:val="auto"/>
        </w:rPr>
        <w:t>Цель СУРиВК</w:t>
      </w:r>
      <w:bookmarkEnd w:id="122"/>
    </w:p>
    <w:p w:rsidR="00D602D4" w:rsidRDefault="000B4C86">
      <w:pPr>
        <w:tabs>
          <w:tab w:val="left" w:pos="1276"/>
          <w:tab w:val="left" w:pos="1418"/>
        </w:tabs>
        <w:spacing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Целью системы управления рисками и внутреннего контроля является обеспечение разумной уверенности в достижении стоящих перед Обществом целей, включая обеспечение надежного, качественного и доступного энергоснабжения потребителей, а также операционных целей финансово-хозяйственной деятельности. </w:t>
      </w:r>
    </w:p>
    <w:p w:rsidR="00D602D4" w:rsidRDefault="000B4C86">
      <w:pPr>
        <w:pStyle w:val="31"/>
        <w:tabs>
          <w:tab w:val="left" w:pos="3933"/>
        </w:tabs>
        <w:rPr>
          <w:rFonts w:ascii="Times New Roman" w:hAnsi="Times New Roman" w:cs="Times New Roman"/>
          <w:b/>
          <w:bCs/>
          <w:color w:val="auto"/>
        </w:rPr>
      </w:pPr>
      <w:bookmarkStart w:id="123" w:name="_Toc160"/>
      <w:r>
        <w:rPr>
          <w:rFonts w:ascii="Times New Roman" w:hAnsi="Times New Roman" w:cs="Times New Roman"/>
          <w:b/>
          <w:color w:val="auto"/>
        </w:rPr>
        <w:t>Функционирование СУРиВК</w:t>
      </w:r>
      <w:r>
        <w:rPr>
          <w:rFonts w:ascii="Times New Roman" w:hAnsi="Times New Roman" w:cs="Times New Roman"/>
          <w:b/>
          <w:color w:val="auto"/>
        </w:rPr>
        <w:tab/>
      </w:r>
      <w:bookmarkEnd w:id="123"/>
    </w:p>
    <w:p w:rsidR="00D602D4" w:rsidRDefault="000B4C86">
      <w:pPr>
        <w:tabs>
          <w:tab w:val="left" w:pos="1276"/>
          <w:tab w:val="left" w:pos="1418"/>
        </w:tabs>
        <w:spacing w:line="240" w:lineRule="auto"/>
        <w:ind w:firstLine="709"/>
        <w:jc w:val="both"/>
      </w:pPr>
      <w:r>
        <w:rPr>
          <w:rFonts w:ascii="Times New Roman" w:hAnsi="Times New Roman" w:cs="Times New Roman"/>
          <w:color w:val="000000" w:themeColor="text1"/>
          <w:sz w:val="24"/>
          <w:szCs w:val="24"/>
        </w:rPr>
        <w:t xml:space="preserve">Политикой управления рисками и внутреннего контроля </w:t>
      </w:r>
      <w:r>
        <w:rPr>
          <w:rFonts w:ascii="Times New Roman" w:hAnsi="Times New Roman" w:cs="Times New Roman"/>
          <w:sz w:val="24"/>
          <w:szCs w:val="24"/>
          <w:lang w:eastAsia="ru-RU"/>
        </w:rPr>
        <w:t>процессы</w:t>
      </w:r>
      <w:r>
        <w:rPr>
          <w:rFonts w:ascii="Times New Roman" w:hAnsi="Times New Roman" w:cs="Times New Roman"/>
          <w:color w:val="000000" w:themeColor="text1"/>
          <w:sz w:val="24"/>
          <w:szCs w:val="24"/>
        </w:rPr>
        <w:t xml:space="preserve"> у</w:t>
      </w:r>
      <w:r>
        <w:rPr>
          <w:rFonts w:ascii="Times New Roman" w:eastAsia="Calibri" w:hAnsi="Times New Roman" w:cs="Times New Roman"/>
          <w:color w:val="000000" w:themeColor="text1"/>
          <w:sz w:val="24"/>
          <w:szCs w:val="24"/>
        </w:rPr>
        <w:t>правления рисками и внутреннего контроля рассматриваются в контексте единой интегрированной в бизнес-</w:t>
      </w:r>
      <w:r>
        <w:rPr>
          <w:rFonts w:ascii="Times New Roman" w:eastAsia="Calibri" w:hAnsi="Times New Roman" w:cs="Times New Roman"/>
          <w:color w:val="000000" w:themeColor="text1"/>
          <w:sz w:val="24"/>
          <w:szCs w:val="24"/>
        </w:rPr>
        <w:lastRenderedPageBreak/>
        <w:t xml:space="preserve">процессы Общества системы, не являются обособленными процессами и (или) деятельностью, отдельной от основной деятельности и бизнес-процессов Общества. </w:t>
      </w:r>
    </w:p>
    <w:p w:rsidR="00D602D4" w:rsidRDefault="000B4C86">
      <w:pPr>
        <w:pStyle w:val="31"/>
        <w:rPr>
          <w:rFonts w:ascii="Times New Roman" w:hAnsi="Times New Roman" w:cs="Times New Roman"/>
          <w:b/>
          <w:bCs/>
          <w:color w:val="auto"/>
        </w:rPr>
      </w:pPr>
      <w:bookmarkStart w:id="124" w:name="_Toc161"/>
      <w:r>
        <w:rPr>
          <w:rFonts w:ascii="Times New Roman" w:hAnsi="Times New Roman" w:cs="Times New Roman"/>
          <w:b/>
          <w:color w:val="auto"/>
        </w:rPr>
        <w:t>Основные участники СУРиВК</w:t>
      </w:r>
      <w:bookmarkEnd w:id="124"/>
    </w:p>
    <w:p w:rsidR="00D602D4" w:rsidRDefault="00D602D4">
      <w:pPr>
        <w:widowControl w:val="0"/>
        <w:ind w:firstLine="709"/>
        <w:jc w:val="both"/>
        <w:rPr>
          <w:sz w:val="10"/>
          <w:szCs w:val="10"/>
        </w:rPr>
      </w:pPr>
    </w:p>
    <w:p w:rsidR="00D602D4" w:rsidRDefault="000B4C86">
      <w:pPr>
        <w:tabs>
          <w:tab w:val="left" w:pos="1276"/>
          <w:tab w:val="left" w:pos="9922"/>
        </w:tabs>
        <w:spacing w:after="0" w:line="240" w:lineRule="auto"/>
        <w:ind w:firstLine="709"/>
        <w:contextualSpacing/>
        <w:jc w:val="both"/>
        <w:rPr>
          <w:rFonts w:ascii="Times New Roman" w:hAnsi="Times New Roman" w:cs="Times New Roman"/>
          <w:sz w:val="26"/>
          <w:szCs w:val="26"/>
          <w:lang w:eastAsia="ru-RU"/>
        </w:rPr>
      </w:pPr>
      <w:r>
        <w:rPr>
          <w:rFonts w:ascii="Times New Roman" w:hAnsi="Times New Roman" w:cs="Times New Roman"/>
          <w:sz w:val="26"/>
          <w:szCs w:val="26"/>
          <w:lang w:eastAsia="ru-RU"/>
        </w:rPr>
        <w:t>Взаимодействие участников СУРиВК Общества отражено на схеме:</w:t>
      </w:r>
    </w:p>
    <w:p w:rsidR="00D602D4" w:rsidRDefault="00D602D4">
      <w:pPr>
        <w:widowControl w:val="0"/>
        <w:ind w:firstLine="709"/>
        <w:jc w:val="both"/>
        <w:rPr>
          <w:sz w:val="10"/>
          <w:szCs w:val="10"/>
        </w:rPr>
      </w:pPr>
    </w:p>
    <w:p w:rsidR="00D602D4" w:rsidRDefault="000B4C86">
      <w:pPr>
        <w:widowControl w:val="0"/>
        <w:tabs>
          <w:tab w:val="left" w:pos="1134"/>
        </w:tabs>
        <w:jc w:val="center"/>
        <w:rPr>
          <w:sz w:val="26"/>
          <w:szCs w:val="26"/>
        </w:rPr>
      </w:pPr>
      <w:r>
        <w:rPr>
          <w:noProof/>
          <w:color w:val="000000"/>
          <w:sz w:val="28"/>
          <w:szCs w:val="28"/>
          <w:lang w:eastAsia="ru-RU"/>
        </w:rPr>
        <w:drawing>
          <wp:inline distT="0" distB="0" distL="0" distR="0">
            <wp:extent cx="5328608" cy="3243533"/>
            <wp:effectExtent l="0" t="0" r="5715" b="0"/>
            <wp:docPr id="14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768384" name="Рисунок 56"/>
                    <pic:cNvPicPr>
                      <a:picLocks noChangeAspect="1"/>
                    </pic:cNvPicPr>
                  </pic:nvPicPr>
                  <pic:blipFill>
                    <a:blip r:embed="rId107"/>
                    <a:stretch/>
                  </pic:blipFill>
                  <pic:spPr bwMode="auto">
                    <a:xfrm>
                      <a:off x="0" y="0"/>
                      <a:ext cx="5443153" cy="3313257"/>
                    </a:xfrm>
                    <a:prstGeom prst="rect">
                      <a:avLst/>
                    </a:prstGeom>
                  </pic:spPr>
                </pic:pic>
              </a:graphicData>
            </a:graphic>
          </wp:inline>
        </w:drawing>
      </w:r>
    </w:p>
    <w:p w:rsidR="00D602D4" w:rsidRDefault="000B4C86">
      <w:pPr>
        <w:tabs>
          <w:tab w:val="left" w:pos="0"/>
          <w:tab w:val="left" w:pos="1276"/>
        </w:tabs>
        <w:spacing w:line="240" w:lineRule="auto"/>
        <w:ind w:left="-142" w:firstLine="709"/>
        <w:contextualSpacing/>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Рис. 30 - Схема взаимодействия участников СУРиВК</w:t>
      </w:r>
    </w:p>
    <w:p w:rsidR="00D602D4" w:rsidRDefault="00D602D4">
      <w:pPr>
        <w:widowControl w:val="0"/>
        <w:tabs>
          <w:tab w:val="left" w:pos="1363"/>
          <w:tab w:val="left" w:pos="1701"/>
        </w:tabs>
        <w:ind w:firstLine="709"/>
        <w:jc w:val="both"/>
        <w:rPr>
          <w:sz w:val="10"/>
          <w:szCs w:val="10"/>
        </w:rPr>
      </w:pPr>
    </w:p>
    <w:p w:rsidR="00D602D4" w:rsidRDefault="000B4C86">
      <w:pPr>
        <w:pStyle w:val="31"/>
        <w:ind w:firstLine="709"/>
        <w:jc w:val="both"/>
        <w:rPr>
          <w:rFonts w:ascii="Times New Roman" w:hAnsi="Times New Roman" w:cs="Times New Roman"/>
          <w:b/>
          <w:color w:val="auto"/>
        </w:rPr>
      </w:pPr>
      <w:bookmarkStart w:id="125" w:name="_Toc162"/>
      <w:r>
        <w:rPr>
          <w:rFonts w:ascii="Times New Roman" w:hAnsi="Times New Roman" w:cs="Times New Roman"/>
          <w:b/>
          <w:color w:val="auto"/>
        </w:rPr>
        <w:t>Перечень внутренних документов, регламентирующих организацию и функционирование системы управления рисками и внутреннего контроля</w:t>
      </w:r>
      <w:bookmarkEnd w:id="125"/>
    </w:p>
    <w:p w:rsidR="00D602D4" w:rsidRDefault="000B4C86">
      <w:pPr>
        <w:tabs>
          <w:tab w:val="left" w:pos="0"/>
          <w:tab w:val="left" w:pos="1276"/>
        </w:tabs>
        <w:spacing w:line="240" w:lineRule="auto"/>
        <w:ind w:firstLine="709"/>
        <w:contextualSpacing/>
        <w:jc w:val="both"/>
        <w:rPr>
          <w:rFonts w:ascii="Times New Roman" w:eastAsiaTheme="minorEastAsia" w:hAnsi="Times New Roman"/>
          <w:sz w:val="24"/>
          <w:szCs w:val="24"/>
          <w:lang w:eastAsia="ru-RU"/>
        </w:rPr>
      </w:pPr>
      <w:r>
        <w:rPr>
          <w:rFonts w:ascii="Times New Roman" w:eastAsiaTheme="minorEastAsia" w:hAnsi="Times New Roman"/>
          <w:sz w:val="24"/>
          <w:szCs w:val="24"/>
          <w:lang w:eastAsia="ru-RU"/>
        </w:rPr>
        <w:t xml:space="preserve">В Обществе поддерживается следующая иерархическая трехуровневая структура документации СУРиВК по уровням принятия решений: </w:t>
      </w:r>
    </w:p>
    <w:p w:rsidR="00D602D4" w:rsidRDefault="00D602D4">
      <w:pPr>
        <w:widowControl w:val="0"/>
        <w:tabs>
          <w:tab w:val="left" w:pos="1363"/>
          <w:tab w:val="left" w:pos="1701"/>
        </w:tabs>
        <w:ind w:firstLine="709"/>
        <w:jc w:val="both"/>
        <w:rPr>
          <w:sz w:val="10"/>
          <w:szCs w:val="10"/>
        </w:rPr>
      </w:pPr>
    </w:p>
    <w:tbl>
      <w:tblPr>
        <w:tblStyle w:val="54"/>
        <w:tblW w:w="9351" w:type="dxa"/>
        <w:tblLook w:val="04A0" w:firstRow="1" w:lastRow="0" w:firstColumn="1" w:lastColumn="0" w:noHBand="0" w:noVBand="1"/>
      </w:tblPr>
      <w:tblGrid>
        <w:gridCol w:w="2350"/>
        <w:gridCol w:w="240"/>
        <w:gridCol w:w="1174"/>
        <w:gridCol w:w="900"/>
        <w:gridCol w:w="390"/>
        <w:gridCol w:w="157"/>
        <w:gridCol w:w="647"/>
        <w:gridCol w:w="205"/>
        <w:gridCol w:w="111"/>
        <w:gridCol w:w="738"/>
        <w:gridCol w:w="117"/>
        <w:gridCol w:w="221"/>
        <w:gridCol w:w="989"/>
        <w:gridCol w:w="1112"/>
      </w:tblGrid>
      <w:tr w:rsidR="00D602D4">
        <w:trPr>
          <w:trHeight w:val="697"/>
        </w:trPr>
        <w:tc>
          <w:tcPr>
            <w:tcW w:w="2350" w:type="dxa"/>
            <w:tcBorders>
              <w:right w:val="single" w:sz="4" w:space="0" w:color="000000"/>
            </w:tcBorders>
            <w:shd w:val="clear" w:color="FFFFFF" w:fill="DBDBDB"/>
            <w:vAlign w:val="center"/>
          </w:tcPr>
          <w:p w:rsidR="00D602D4" w:rsidRDefault="000B4C86">
            <w:pPr>
              <w:widowControl w:val="0"/>
              <w:tabs>
                <w:tab w:val="left" w:pos="1276"/>
              </w:tabs>
              <w:jc w:val="center"/>
              <w:rPr>
                <w:sz w:val="22"/>
                <w:szCs w:val="22"/>
              </w:rPr>
            </w:pPr>
            <w:r>
              <w:rPr>
                <w:sz w:val="22"/>
                <w:szCs w:val="22"/>
              </w:rPr>
              <w:t xml:space="preserve">ДОКУМЕНТЫ </w:t>
            </w:r>
          </w:p>
          <w:p w:rsidR="00D602D4" w:rsidRDefault="000B4C86">
            <w:pPr>
              <w:widowControl w:val="0"/>
              <w:tabs>
                <w:tab w:val="left" w:pos="1276"/>
              </w:tabs>
              <w:jc w:val="center"/>
            </w:pPr>
            <w:r>
              <w:rPr>
                <w:sz w:val="22"/>
                <w:szCs w:val="22"/>
              </w:rPr>
              <w:t>СТРАТЕГИЧЕСКОГО УРОВНЯ</w:t>
            </w:r>
            <w:r>
              <w:rPr>
                <w:lang w:val="en-US"/>
              </w:rPr>
              <w:t xml:space="preserve"> </w:t>
            </w:r>
          </w:p>
        </w:tc>
        <w:tc>
          <w:tcPr>
            <w:tcW w:w="240" w:type="dxa"/>
            <w:tcBorders>
              <w:top w:val="none" w:sz="4" w:space="0" w:color="000000"/>
              <w:left w:val="single" w:sz="4" w:space="0" w:color="000000"/>
              <w:bottom w:val="none" w:sz="4" w:space="0" w:color="000000"/>
              <w:right w:val="single" w:sz="4" w:space="0" w:color="000000"/>
            </w:tcBorders>
          </w:tcPr>
          <w:p w:rsidR="00D602D4" w:rsidRDefault="00D602D4">
            <w:pPr>
              <w:widowControl w:val="0"/>
              <w:jc w:val="center"/>
            </w:pPr>
          </w:p>
        </w:tc>
        <w:tc>
          <w:tcPr>
            <w:tcW w:w="3473" w:type="dxa"/>
            <w:gridSpan w:val="6"/>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pPr>
            <w:r>
              <w:t xml:space="preserve">Политика </w:t>
            </w:r>
          </w:p>
          <w:p w:rsidR="00D602D4" w:rsidRDefault="000B4C86">
            <w:pPr>
              <w:widowControl w:val="0"/>
              <w:jc w:val="center"/>
            </w:pPr>
            <w:r>
              <w:t xml:space="preserve">УРиВК </w:t>
            </w:r>
          </w:p>
        </w:tc>
        <w:tc>
          <w:tcPr>
            <w:tcW w:w="3288" w:type="dxa"/>
            <w:gridSpan w:val="6"/>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center"/>
            </w:pPr>
            <w:r>
              <w:t>Предпочтительный</w:t>
            </w:r>
          </w:p>
          <w:p w:rsidR="00D602D4" w:rsidRDefault="000B4C86">
            <w:pPr>
              <w:widowControl w:val="0"/>
              <w:jc w:val="center"/>
            </w:pPr>
            <w:r>
              <w:t>риск (риск-аппетит)</w:t>
            </w:r>
          </w:p>
        </w:tc>
      </w:tr>
      <w:tr w:rsidR="00D602D4">
        <w:trPr>
          <w:trHeight w:val="237"/>
        </w:trPr>
        <w:tc>
          <w:tcPr>
            <w:tcW w:w="2350" w:type="dxa"/>
            <w:tcBorders>
              <w:bottom w:val="single" w:sz="4" w:space="0" w:color="000000"/>
              <w:right w:val="single" w:sz="4" w:space="0" w:color="000000"/>
            </w:tcBorders>
            <w:shd w:val="clear" w:color="FFFFFF" w:fill="FFFFFF"/>
            <w:vAlign w:val="center"/>
          </w:tcPr>
          <w:p w:rsidR="00D602D4" w:rsidRDefault="000B4C86">
            <w:pPr>
              <w:widowControl w:val="0"/>
              <w:tabs>
                <w:tab w:val="left" w:pos="1276"/>
              </w:tabs>
              <w:jc w:val="center"/>
              <w:rPr>
                <w:sz w:val="22"/>
                <w:szCs w:val="22"/>
              </w:rPr>
            </w:pPr>
            <w:r>
              <w:rPr>
                <w:lang w:val="en-US"/>
              </w:rPr>
              <w:t>I</w:t>
            </w:r>
            <w:r>
              <w:t xml:space="preserve"> УРОВЕНЬ</w:t>
            </w:r>
          </w:p>
        </w:tc>
        <w:tc>
          <w:tcPr>
            <w:tcW w:w="240" w:type="dxa"/>
            <w:tcBorders>
              <w:top w:val="none" w:sz="4" w:space="0" w:color="000000"/>
              <w:left w:val="single" w:sz="4" w:space="0" w:color="000000"/>
              <w:bottom w:val="none" w:sz="4" w:space="0" w:color="000000"/>
              <w:right w:val="single" w:sz="4" w:space="0" w:color="000000"/>
            </w:tcBorders>
          </w:tcPr>
          <w:p w:rsidR="00D602D4" w:rsidRDefault="000B4C86">
            <w:pPr>
              <w:widowControl w:val="0"/>
              <w:jc w:val="center"/>
            </w:pPr>
            <w:r>
              <w:rPr>
                <w:bCs/>
                <w:i/>
                <w:noProof/>
              </w:rPr>
              <mc:AlternateContent>
                <mc:Choice Requires="wps">
                  <w:drawing>
                    <wp:anchor distT="0" distB="0" distL="114300" distR="114300" simplePos="0" relativeHeight="251610624" behindDoc="0" locked="0" layoutInCell="1" allowOverlap="1">
                      <wp:simplePos x="0" y="0"/>
                      <wp:positionH relativeFrom="column">
                        <wp:posOffset>-35931</wp:posOffset>
                      </wp:positionH>
                      <wp:positionV relativeFrom="paragraph">
                        <wp:posOffset>43815</wp:posOffset>
                      </wp:positionV>
                      <wp:extent cx="223520" cy="308610"/>
                      <wp:effectExtent l="19050" t="0" r="24130" b="15240"/>
                      <wp:wrapNone/>
                      <wp:docPr id="146" name="Стрелка: шеврон 6"/>
                      <wp:cNvGraphicFramePr/>
                      <a:graphic xmlns:a="http://schemas.openxmlformats.org/drawingml/2006/main">
                        <a:graphicData uri="http://schemas.microsoft.com/office/word/2010/wordprocessingShape">
                          <wps:wsp>
                            <wps:cNvSpPr/>
                            <wps:spPr bwMode="auto">
                              <a:xfrm>
                                <a:off x="0" y="0"/>
                                <a:ext cx="223519" cy="308610"/>
                              </a:xfrm>
                              <a:prstGeom prst="chevron">
                                <a:avLst>
                                  <a:gd name="adj" fmla="val 50000"/>
                                </a:avLst>
                              </a:prstGeom>
                              <a:solidFill>
                                <a:sysClr val="window" lastClr="FFFFFF">
                                  <a:lumMod val="85000"/>
                                </a:sysClr>
                              </a:solidFill>
                              <a:ln w="12700" cap="flat" cmpd="sng" algn="ctr">
                                <a:solidFill>
                                  <a:srgbClr val="A5A5A5">
                                    <a:shade val="50000"/>
                                  </a:srgbClr>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466DB2"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Стрелка: шеврон 6" o:spid="_x0000_s1026" type="#_x0000_t55" style="position:absolute;margin-left:-2.85pt;margin-top:3.45pt;width:17.6pt;height:24.3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" adj="10800" fillcolor="#d9d9d9" strokecolor="#787878" strokeweight="1pt"/>
                  </w:pict>
                </mc:Fallback>
              </mc:AlternateContent>
            </w:r>
          </w:p>
        </w:tc>
        <w:tc>
          <w:tcPr>
            <w:tcW w:w="3473" w:type="dxa"/>
            <w:gridSpan w:val="6"/>
            <w:vMerge/>
            <w:tcBorders>
              <w:top w:val="single" w:sz="4" w:space="0" w:color="000000"/>
              <w:left w:val="single" w:sz="4" w:space="0" w:color="000000"/>
              <w:bottom w:val="single" w:sz="4" w:space="0" w:color="000000"/>
              <w:right w:val="single" w:sz="4" w:space="0" w:color="000000"/>
            </w:tcBorders>
            <w:vAlign w:val="center"/>
          </w:tcPr>
          <w:p w:rsidR="00D602D4" w:rsidRDefault="00D602D4">
            <w:pPr>
              <w:widowControl w:val="0"/>
              <w:jc w:val="center"/>
            </w:pPr>
          </w:p>
        </w:tc>
        <w:tc>
          <w:tcPr>
            <w:tcW w:w="3288" w:type="dxa"/>
            <w:gridSpan w:val="6"/>
            <w:vMerge/>
            <w:tcBorders>
              <w:top w:val="single" w:sz="4" w:space="0" w:color="000000"/>
              <w:left w:val="single" w:sz="4" w:space="0" w:color="000000"/>
              <w:bottom w:val="single" w:sz="4" w:space="0" w:color="000000"/>
              <w:right w:val="single" w:sz="4" w:space="0" w:color="000000"/>
            </w:tcBorders>
            <w:vAlign w:val="center"/>
          </w:tcPr>
          <w:p w:rsidR="00D602D4" w:rsidRDefault="00D602D4">
            <w:pPr>
              <w:widowControl w:val="0"/>
              <w:jc w:val="center"/>
            </w:pPr>
          </w:p>
        </w:tc>
      </w:tr>
      <w:tr w:rsidR="00D602D4">
        <w:tc>
          <w:tcPr>
            <w:tcW w:w="2350" w:type="dxa"/>
            <w:tcBorders>
              <w:bottom w:val="single" w:sz="4" w:space="0" w:color="000000"/>
              <w:right w:val="single" w:sz="4" w:space="0" w:color="000000"/>
            </w:tcBorders>
          </w:tcPr>
          <w:p w:rsidR="00D602D4" w:rsidRDefault="000B4C86">
            <w:pPr>
              <w:widowControl w:val="0"/>
              <w:jc w:val="center"/>
              <w:rPr>
                <w:i/>
              </w:rPr>
            </w:pPr>
            <w:r>
              <w:rPr>
                <w:i/>
                <w:sz w:val="18"/>
                <w:szCs w:val="18"/>
              </w:rPr>
              <w:t>Определяют общие принципы организации и функционирования</w:t>
            </w:r>
            <w:r>
              <w:rPr>
                <w:sz w:val="26"/>
                <w:szCs w:val="26"/>
              </w:rPr>
              <w:t xml:space="preserve"> </w:t>
            </w:r>
            <w:r>
              <w:rPr>
                <w:i/>
                <w:sz w:val="18"/>
                <w:szCs w:val="18"/>
              </w:rPr>
              <w:t>СУРиВК,</w:t>
            </w:r>
            <w:r>
              <w:rPr>
                <w:sz w:val="26"/>
                <w:szCs w:val="26"/>
              </w:rPr>
              <w:t xml:space="preserve"> </w:t>
            </w:r>
            <w:r>
              <w:rPr>
                <w:i/>
                <w:sz w:val="18"/>
                <w:szCs w:val="18"/>
              </w:rPr>
              <w:t xml:space="preserve">устанавливаются решениями Совета директоров </w:t>
            </w:r>
          </w:p>
        </w:tc>
        <w:tc>
          <w:tcPr>
            <w:tcW w:w="240" w:type="dxa"/>
            <w:tcBorders>
              <w:top w:val="none" w:sz="4" w:space="0" w:color="000000"/>
              <w:left w:val="single" w:sz="4" w:space="0" w:color="000000"/>
              <w:bottom w:val="none" w:sz="4" w:space="0" w:color="000000"/>
              <w:right w:val="single" w:sz="4" w:space="0" w:color="000000"/>
            </w:tcBorders>
          </w:tcPr>
          <w:p w:rsidR="00D602D4" w:rsidRDefault="00D602D4">
            <w:pPr>
              <w:widowControl w:val="0"/>
              <w:jc w:val="center"/>
            </w:pPr>
          </w:p>
        </w:tc>
        <w:tc>
          <w:tcPr>
            <w:tcW w:w="3473" w:type="dxa"/>
            <w:gridSpan w:val="6"/>
            <w:vMerge/>
            <w:tcBorders>
              <w:top w:val="single" w:sz="4" w:space="0" w:color="000000"/>
              <w:left w:val="single" w:sz="4" w:space="0" w:color="000000"/>
              <w:bottom w:val="single" w:sz="4" w:space="0" w:color="000000"/>
              <w:right w:val="single" w:sz="4" w:space="0" w:color="000000"/>
            </w:tcBorders>
          </w:tcPr>
          <w:p w:rsidR="00D602D4" w:rsidRDefault="00D602D4">
            <w:pPr>
              <w:widowControl w:val="0"/>
            </w:pPr>
          </w:p>
        </w:tc>
        <w:tc>
          <w:tcPr>
            <w:tcW w:w="3288" w:type="dxa"/>
            <w:gridSpan w:val="6"/>
            <w:vMerge/>
            <w:tcBorders>
              <w:top w:val="single" w:sz="4" w:space="0" w:color="000000"/>
              <w:left w:val="single" w:sz="4" w:space="0" w:color="000000"/>
              <w:bottom w:val="single" w:sz="4" w:space="0" w:color="000000"/>
              <w:right w:val="single" w:sz="4" w:space="0" w:color="000000"/>
            </w:tcBorders>
          </w:tcPr>
          <w:p w:rsidR="00D602D4" w:rsidRDefault="00D602D4">
            <w:pPr>
              <w:widowControl w:val="0"/>
            </w:pPr>
          </w:p>
        </w:tc>
      </w:tr>
      <w:tr w:rsidR="00D602D4">
        <w:tc>
          <w:tcPr>
            <w:tcW w:w="2350" w:type="dxa"/>
            <w:tcBorders>
              <w:top w:val="single" w:sz="4" w:space="0" w:color="000000"/>
              <w:left w:val="none" w:sz="4" w:space="0" w:color="000000"/>
              <w:bottom w:val="single" w:sz="4" w:space="0" w:color="000000"/>
              <w:right w:val="none" w:sz="4" w:space="0" w:color="000000"/>
            </w:tcBorders>
          </w:tcPr>
          <w:p w:rsidR="00D602D4" w:rsidRDefault="00D602D4">
            <w:pPr>
              <w:widowControl w:val="0"/>
              <w:jc w:val="center"/>
              <w:rPr>
                <w:i/>
                <w:sz w:val="18"/>
                <w:szCs w:val="18"/>
              </w:rPr>
            </w:pPr>
          </w:p>
        </w:tc>
        <w:tc>
          <w:tcPr>
            <w:tcW w:w="240" w:type="dxa"/>
            <w:tcBorders>
              <w:top w:val="none" w:sz="4" w:space="0" w:color="000000"/>
              <w:left w:val="none" w:sz="4" w:space="0" w:color="000000"/>
              <w:bottom w:val="none" w:sz="4" w:space="0" w:color="000000"/>
              <w:right w:val="none" w:sz="4" w:space="0" w:color="000000"/>
            </w:tcBorders>
          </w:tcPr>
          <w:p w:rsidR="00D602D4" w:rsidRDefault="00D602D4">
            <w:pPr>
              <w:widowControl w:val="0"/>
              <w:jc w:val="center"/>
            </w:pPr>
          </w:p>
        </w:tc>
        <w:tc>
          <w:tcPr>
            <w:tcW w:w="2074" w:type="dxa"/>
            <w:gridSpan w:val="2"/>
            <w:tcBorders>
              <w:top w:val="single" w:sz="4" w:space="0" w:color="000000"/>
              <w:left w:val="none" w:sz="4" w:space="0" w:color="000000"/>
              <w:bottom w:val="single" w:sz="4" w:space="0" w:color="000000"/>
              <w:right w:val="none" w:sz="4" w:space="0" w:color="000000"/>
            </w:tcBorders>
          </w:tcPr>
          <w:p w:rsidR="00D602D4" w:rsidRDefault="00D602D4">
            <w:pPr>
              <w:widowControl w:val="0"/>
              <w:jc w:val="center"/>
            </w:pPr>
          </w:p>
        </w:tc>
        <w:tc>
          <w:tcPr>
            <w:tcW w:w="2365" w:type="dxa"/>
            <w:gridSpan w:val="7"/>
            <w:tcBorders>
              <w:top w:val="single" w:sz="4" w:space="0" w:color="000000"/>
              <w:left w:val="none" w:sz="4" w:space="0" w:color="000000"/>
              <w:bottom w:val="single" w:sz="4" w:space="0" w:color="000000"/>
              <w:right w:val="none" w:sz="4" w:space="0" w:color="000000"/>
            </w:tcBorders>
          </w:tcPr>
          <w:p w:rsidR="00D602D4" w:rsidRDefault="00D602D4">
            <w:pPr>
              <w:widowControl w:val="0"/>
              <w:jc w:val="center"/>
            </w:pPr>
          </w:p>
        </w:tc>
        <w:tc>
          <w:tcPr>
            <w:tcW w:w="2322" w:type="dxa"/>
            <w:gridSpan w:val="3"/>
            <w:tcBorders>
              <w:top w:val="single" w:sz="4" w:space="0" w:color="000000"/>
              <w:left w:val="none" w:sz="4" w:space="0" w:color="000000"/>
              <w:bottom w:val="single" w:sz="4" w:space="0" w:color="000000"/>
              <w:right w:val="none" w:sz="4" w:space="0" w:color="000000"/>
            </w:tcBorders>
          </w:tcPr>
          <w:p w:rsidR="00D602D4" w:rsidRDefault="00D602D4">
            <w:pPr>
              <w:widowControl w:val="0"/>
              <w:jc w:val="center"/>
            </w:pPr>
          </w:p>
        </w:tc>
      </w:tr>
      <w:tr w:rsidR="00D602D4">
        <w:tc>
          <w:tcPr>
            <w:tcW w:w="2350" w:type="dxa"/>
            <w:tcBorders>
              <w:top w:val="single" w:sz="4" w:space="0" w:color="000000"/>
              <w:right w:val="single" w:sz="4" w:space="0" w:color="000000"/>
            </w:tcBorders>
            <w:shd w:val="clear" w:color="FFFFFF" w:fill="D9D9D9"/>
          </w:tcPr>
          <w:p w:rsidR="00D602D4" w:rsidRDefault="000B4C86">
            <w:pPr>
              <w:widowControl w:val="0"/>
              <w:tabs>
                <w:tab w:val="left" w:pos="1276"/>
              </w:tabs>
              <w:jc w:val="center"/>
              <w:rPr>
                <w:sz w:val="22"/>
                <w:szCs w:val="22"/>
              </w:rPr>
            </w:pPr>
            <w:r>
              <w:rPr>
                <w:sz w:val="22"/>
                <w:szCs w:val="22"/>
              </w:rPr>
              <w:t>ДОКУМЕНТЫ ОПЕРАЦИОННОГО УРОВНЯ</w:t>
            </w:r>
          </w:p>
        </w:tc>
        <w:tc>
          <w:tcPr>
            <w:tcW w:w="240" w:type="dxa"/>
            <w:tcBorders>
              <w:top w:val="none" w:sz="4" w:space="0" w:color="000000"/>
              <w:left w:val="single" w:sz="4" w:space="0" w:color="000000"/>
              <w:bottom w:val="none" w:sz="4" w:space="0" w:color="000000"/>
              <w:right w:val="single" w:sz="4" w:space="0" w:color="000000"/>
            </w:tcBorders>
          </w:tcPr>
          <w:p w:rsidR="00D602D4" w:rsidRDefault="00D602D4">
            <w:pPr>
              <w:widowControl w:val="0"/>
              <w:jc w:val="center"/>
            </w:pPr>
          </w:p>
        </w:tc>
        <w:tc>
          <w:tcPr>
            <w:tcW w:w="1174" w:type="dxa"/>
            <w:vMerge w:val="restart"/>
            <w:tcBorders>
              <w:top w:val="single" w:sz="4" w:space="0" w:color="000000"/>
              <w:left w:val="single" w:sz="4" w:space="0" w:color="000000"/>
              <w:right w:val="single" w:sz="4" w:space="0" w:color="000000"/>
            </w:tcBorders>
            <w:vAlign w:val="center"/>
          </w:tcPr>
          <w:p w:rsidR="00D602D4" w:rsidRDefault="000B4C86">
            <w:pPr>
              <w:widowControl w:val="0"/>
              <w:jc w:val="center"/>
            </w:pPr>
            <w:r>
              <w:t>Программа</w:t>
            </w:r>
          </w:p>
          <w:p w:rsidR="00D602D4" w:rsidRDefault="000B4C86">
            <w:pPr>
              <w:widowControl w:val="0"/>
              <w:jc w:val="center"/>
            </w:pPr>
            <w:r>
              <w:t>развития СУРиВК</w:t>
            </w:r>
          </w:p>
          <w:p w:rsidR="00D602D4" w:rsidRDefault="00D602D4">
            <w:pPr>
              <w:widowControl w:val="0"/>
              <w:jc w:val="center"/>
            </w:pPr>
          </w:p>
        </w:tc>
        <w:tc>
          <w:tcPr>
            <w:tcW w:w="1290" w:type="dxa"/>
            <w:gridSpan w:val="2"/>
            <w:vMerge w:val="restart"/>
            <w:tcBorders>
              <w:top w:val="single" w:sz="4" w:space="0" w:color="000000"/>
              <w:left w:val="single" w:sz="4" w:space="0" w:color="000000"/>
              <w:right w:val="single" w:sz="4" w:space="0" w:color="000000"/>
            </w:tcBorders>
            <w:vAlign w:val="center"/>
          </w:tcPr>
          <w:p w:rsidR="00D602D4" w:rsidRDefault="000B4C86">
            <w:pPr>
              <w:widowControl w:val="0"/>
              <w:jc w:val="center"/>
            </w:pPr>
            <w:r>
              <w:t xml:space="preserve">Порядок организации УРиВК </w:t>
            </w:r>
          </w:p>
          <w:p w:rsidR="00D602D4" w:rsidRDefault="00D602D4">
            <w:pPr>
              <w:widowControl w:val="0"/>
              <w:jc w:val="center"/>
            </w:pPr>
          </w:p>
        </w:tc>
        <w:tc>
          <w:tcPr>
            <w:tcW w:w="804" w:type="dxa"/>
            <w:gridSpan w:val="2"/>
            <w:vMerge w:val="restart"/>
            <w:tcBorders>
              <w:top w:val="single" w:sz="4" w:space="0" w:color="000000"/>
              <w:left w:val="single" w:sz="4" w:space="0" w:color="000000"/>
              <w:right w:val="single" w:sz="4" w:space="0" w:color="000000"/>
            </w:tcBorders>
            <w:vAlign w:val="center"/>
          </w:tcPr>
          <w:p w:rsidR="00D602D4" w:rsidRDefault="000B4C86">
            <w:pPr>
              <w:widowControl w:val="0"/>
              <w:jc w:val="center"/>
            </w:pPr>
            <w:r>
              <w:t>Реестр рисков</w:t>
            </w:r>
          </w:p>
        </w:tc>
        <w:tc>
          <w:tcPr>
            <w:tcW w:w="1392" w:type="dxa"/>
            <w:gridSpan w:val="5"/>
            <w:vMerge w:val="restart"/>
            <w:tcBorders>
              <w:top w:val="single" w:sz="4" w:space="0" w:color="000000"/>
              <w:left w:val="single" w:sz="4" w:space="0" w:color="000000"/>
              <w:right w:val="single" w:sz="4" w:space="0" w:color="000000"/>
            </w:tcBorders>
            <w:vAlign w:val="center"/>
          </w:tcPr>
          <w:p w:rsidR="00D602D4" w:rsidRDefault="000B4C86">
            <w:pPr>
              <w:widowControl w:val="0"/>
              <w:jc w:val="center"/>
            </w:pPr>
            <w:r>
              <w:t>План мероприятий по управлению рисками</w:t>
            </w:r>
          </w:p>
          <w:p w:rsidR="00D602D4" w:rsidRDefault="00D602D4">
            <w:pPr>
              <w:widowControl w:val="0"/>
              <w:jc w:val="center"/>
            </w:pPr>
          </w:p>
        </w:tc>
        <w:tc>
          <w:tcPr>
            <w:tcW w:w="989" w:type="dxa"/>
            <w:vMerge w:val="restart"/>
            <w:tcBorders>
              <w:top w:val="single" w:sz="4" w:space="0" w:color="000000"/>
              <w:left w:val="single" w:sz="4" w:space="0" w:color="000000"/>
              <w:right w:val="single" w:sz="4" w:space="0" w:color="000000"/>
            </w:tcBorders>
            <w:vAlign w:val="center"/>
          </w:tcPr>
          <w:p w:rsidR="00D602D4" w:rsidRDefault="000B4C86">
            <w:pPr>
              <w:widowControl w:val="0"/>
              <w:jc w:val="center"/>
            </w:pPr>
            <w:r>
              <w:t>Типовой</w:t>
            </w:r>
          </w:p>
          <w:p w:rsidR="00D602D4" w:rsidRDefault="000B4C86">
            <w:pPr>
              <w:widowControl w:val="0"/>
              <w:jc w:val="center"/>
            </w:pPr>
            <w:r>
              <w:t>перечень рисков</w:t>
            </w:r>
          </w:p>
        </w:tc>
        <w:tc>
          <w:tcPr>
            <w:tcW w:w="1112" w:type="dxa"/>
            <w:vMerge w:val="restart"/>
            <w:tcBorders>
              <w:top w:val="single" w:sz="4" w:space="0" w:color="000000"/>
              <w:left w:val="single" w:sz="4" w:space="0" w:color="000000"/>
              <w:right w:val="single" w:sz="4" w:space="0" w:color="000000"/>
            </w:tcBorders>
            <w:vAlign w:val="center"/>
          </w:tcPr>
          <w:p w:rsidR="00D602D4" w:rsidRDefault="000B4C86">
            <w:pPr>
              <w:widowControl w:val="0"/>
              <w:jc w:val="center"/>
            </w:pPr>
            <w:r>
              <w:t>Глоссарий в области УРиВК</w:t>
            </w:r>
          </w:p>
        </w:tc>
      </w:tr>
      <w:tr w:rsidR="00D602D4">
        <w:tc>
          <w:tcPr>
            <w:tcW w:w="2350" w:type="dxa"/>
            <w:tcBorders>
              <w:bottom w:val="single" w:sz="4" w:space="0" w:color="000000"/>
              <w:right w:val="single" w:sz="4" w:space="0" w:color="000000"/>
            </w:tcBorders>
          </w:tcPr>
          <w:p w:rsidR="00D602D4" w:rsidRDefault="000B4C86">
            <w:pPr>
              <w:widowControl w:val="0"/>
              <w:jc w:val="center"/>
              <w:rPr>
                <w:i/>
                <w:sz w:val="18"/>
                <w:szCs w:val="18"/>
              </w:rPr>
            </w:pPr>
            <w:r>
              <w:rPr>
                <w:lang w:val="en-US"/>
              </w:rPr>
              <w:t>II</w:t>
            </w:r>
            <w:r>
              <w:t xml:space="preserve"> УРОВЕНЬ</w:t>
            </w:r>
          </w:p>
        </w:tc>
        <w:tc>
          <w:tcPr>
            <w:tcW w:w="240" w:type="dxa"/>
            <w:tcBorders>
              <w:top w:val="none" w:sz="4" w:space="0" w:color="000000"/>
              <w:left w:val="single" w:sz="4" w:space="0" w:color="000000"/>
              <w:bottom w:val="none" w:sz="4" w:space="0" w:color="000000"/>
              <w:right w:val="single" w:sz="4" w:space="0" w:color="000000"/>
            </w:tcBorders>
          </w:tcPr>
          <w:p w:rsidR="00D602D4" w:rsidRDefault="000B4C86">
            <w:pPr>
              <w:widowControl w:val="0"/>
              <w:jc w:val="center"/>
            </w:pPr>
            <w:r>
              <w:rPr>
                <w:bCs/>
                <w:i/>
                <w:noProof/>
              </w:rPr>
              <mc:AlternateContent>
                <mc:Choice Requires="wps">
                  <w:drawing>
                    <wp:anchor distT="0" distB="0" distL="114300" distR="114300" simplePos="0" relativeHeight="251612672" behindDoc="0" locked="0" layoutInCell="1" allowOverlap="1">
                      <wp:simplePos x="0" y="0"/>
                      <wp:positionH relativeFrom="column">
                        <wp:posOffset>-22596</wp:posOffset>
                      </wp:positionH>
                      <wp:positionV relativeFrom="paragraph">
                        <wp:posOffset>34290</wp:posOffset>
                      </wp:positionV>
                      <wp:extent cx="223520" cy="308610"/>
                      <wp:effectExtent l="19050" t="0" r="24130" b="15240"/>
                      <wp:wrapNone/>
                      <wp:docPr id="147" name="Стрелка: шеврон 6"/>
                      <wp:cNvGraphicFramePr/>
                      <a:graphic xmlns:a="http://schemas.openxmlformats.org/drawingml/2006/main">
                        <a:graphicData uri="http://schemas.microsoft.com/office/word/2010/wordprocessingShape">
                          <wps:wsp>
                            <wps:cNvSpPr/>
                            <wps:spPr bwMode="auto">
                              <a:xfrm>
                                <a:off x="0" y="0"/>
                                <a:ext cx="223519" cy="308610"/>
                              </a:xfrm>
                              <a:prstGeom prst="chevron">
                                <a:avLst>
                                  <a:gd name="adj" fmla="val 50000"/>
                                </a:avLst>
                              </a:prstGeom>
                              <a:solidFill>
                                <a:sysClr val="window" lastClr="FFFFFF">
                                  <a:lumMod val="85000"/>
                                </a:sysClr>
                              </a:solidFill>
                              <a:ln w="12700" cap="flat" cmpd="sng" algn="ctr">
                                <a:solidFill>
                                  <a:srgbClr val="A5A5A5">
                                    <a:shade val="50000"/>
                                  </a:srgbClr>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9E189B" id="Стрелка: шеврон 6" o:spid="_x0000_s1026" type="#_x0000_t55" style="position:absolute;margin-left:-1.8pt;margin-top:2.7pt;width:17.6pt;height:24.3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" adj="10800" fillcolor="#d9d9d9" strokecolor="#787878" strokeweight="1pt"/>
                  </w:pict>
                </mc:Fallback>
              </mc:AlternateContent>
            </w:r>
          </w:p>
        </w:tc>
        <w:tc>
          <w:tcPr>
            <w:tcW w:w="1174" w:type="dxa"/>
            <w:vMerge/>
            <w:tcBorders>
              <w:left w:val="single" w:sz="4" w:space="0" w:color="000000"/>
              <w:bottom w:val="single" w:sz="4" w:space="0" w:color="000000"/>
              <w:right w:val="single" w:sz="4" w:space="0" w:color="000000"/>
            </w:tcBorders>
            <w:vAlign w:val="center"/>
          </w:tcPr>
          <w:p w:rsidR="00D602D4" w:rsidRDefault="00D602D4">
            <w:pPr>
              <w:widowControl w:val="0"/>
              <w:jc w:val="center"/>
            </w:pPr>
          </w:p>
        </w:tc>
        <w:tc>
          <w:tcPr>
            <w:tcW w:w="1290" w:type="dxa"/>
            <w:gridSpan w:val="2"/>
            <w:vMerge/>
            <w:tcBorders>
              <w:left w:val="single" w:sz="4" w:space="0" w:color="000000"/>
              <w:bottom w:val="single" w:sz="4" w:space="0" w:color="000000"/>
              <w:right w:val="single" w:sz="4" w:space="0" w:color="000000"/>
            </w:tcBorders>
            <w:vAlign w:val="center"/>
          </w:tcPr>
          <w:p w:rsidR="00D602D4" w:rsidRDefault="00D602D4">
            <w:pPr>
              <w:widowControl w:val="0"/>
              <w:jc w:val="center"/>
            </w:pPr>
          </w:p>
        </w:tc>
        <w:tc>
          <w:tcPr>
            <w:tcW w:w="804" w:type="dxa"/>
            <w:gridSpan w:val="2"/>
            <w:vMerge/>
            <w:tcBorders>
              <w:left w:val="single" w:sz="4" w:space="0" w:color="000000"/>
              <w:bottom w:val="single" w:sz="4" w:space="0" w:color="000000"/>
              <w:right w:val="single" w:sz="4" w:space="0" w:color="000000"/>
            </w:tcBorders>
            <w:vAlign w:val="center"/>
          </w:tcPr>
          <w:p w:rsidR="00D602D4" w:rsidRDefault="00D602D4">
            <w:pPr>
              <w:widowControl w:val="0"/>
              <w:jc w:val="center"/>
            </w:pPr>
          </w:p>
        </w:tc>
        <w:tc>
          <w:tcPr>
            <w:tcW w:w="1392" w:type="dxa"/>
            <w:gridSpan w:val="5"/>
            <w:vMerge/>
            <w:tcBorders>
              <w:left w:val="single" w:sz="4" w:space="0" w:color="000000"/>
              <w:bottom w:val="single" w:sz="4" w:space="0" w:color="000000"/>
              <w:right w:val="single" w:sz="4" w:space="0" w:color="000000"/>
            </w:tcBorders>
            <w:vAlign w:val="center"/>
          </w:tcPr>
          <w:p w:rsidR="00D602D4" w:rsidRDefault="00D602D4">
            <w:pPr>
              <w:widowControl w:val="0"/>
              <w:jc w:val="center"/>
            </w:pPr>
          </w:p>
        </w:tc>
        <w:tc>
          <w:tcPr>
            <w:tcW w:w="989" w:type="dxa"/>
            <w:vMerge/>
            <w:tcBorders>
              <w:left w:val="single" w:sz="4" w:space="0" w:color="000000"/>
              <w:bottom w:val="single" w:sz="4" w:space="0" w:color="000000"/>
              <w:right w:val="single" w:sz="4" w:space="0" w:color="000000"/>
            </w:tcBorders>
            <w:vAlign w:val="center"/>
          </w:tcPr>
          <w:p w:rsidR="00D602D4" w:rsidRDefault="00D602D4">
            <w:pPr>
              <w:widowControl w:val="0"/>
              <w:jc w:val="center"/>
            </w:pPr>
          </w:p>
        </w:tc>
        <w:tc>
          <w:tcPr>
            <w:tcW w:w="1112" w:type="dxa"/>
            <w:vMerge/>
            <w:tcBorders>
              <w:left w:val="single" w:sz="4" w:space="0" w:color="000000"/>
              <w:bottom w:val="single" w:sz="4" w:space="0" w:color="000000"/>
              <w:right w:val="single" w:sz="4" w:space="0" w:color="000000"/>
            </w:tcBorders>
            <w:vAlign w:val="center"/>
          </w:tcPr>
          <w:p w:rsidR="00D602D4" w:rsidRDefault="00D602D4">
            <w:pPr>
              <w:widowControl w:val="0"/>
              <w:jc w:val="center"/>
            </w:pPr>
          </w:p>
        </w:tc>
      </w:tr>
      <w:tr w:rsidR="00D602D4">
        <w:trPr>
          <w:trHeight w:val="298"/>
        </w:trPr>
        <w:tc>
          <w:tcPr>
            <w:tcW w:w="2350" w:type="dxa"/>
            <w:tcBorders>
              <w:right w:val="single" w:sz="4" w:space="0" w:color="000000"/>
            </w:tcBorders>
            <w:vAlign w:val="center"/>
          </w:tcPr>
          <w:p w:rsidR="00D602D4" w:rsidRDefault="000B4C86">
            <w:pPr>
              <w:widowControl w:val="0"/>
              <w:jc w:val="center"/>
              <w:rPr>
                <w:i/>
                <w:sz w:val="18"/>
                <w:szCs w:val="18"/>
              </w:rPr>
            </w:pPr>
            <w:r>
              <w:rPr>
                <w:i/>
                <w:sz w:val="18"/>
                <w:szCs w:val="18"/>
              </w:rPr>
              <w:t xml:space="preserve">описывают взаимосвязанные </w:t>
            </w:r>
          </w:p>
          <w:p w:rsidR="00D602D4" w:rsidRDefault="000B4C86">
            <w:pPr>
              <w:widowControl w:val="0"/>
              <w:jc w:val="center"/>
              <w:rPr>
                <w:i/>
                <w:sz w:val="18"/>
                <w:szCs w:val="18"/>
              </w:rPr>
            </w:pPr>
            <w:r>
              <w:rPr>
                <w:i/>
                <w:sz w:val="18"/>
                <w:szCs w:val="18"/>
              </w:rPr>
              <w:t>процессы и деятельность, необходимые для внедрения СУРиВК</w:t>
            </w:r>
          </w:p>
        </w:tc>
        <w:tc>
          <w:tcPr>
            <w:tcW w:w="240" w:type="dxa"/>
            <w:tcBorders>
              <w:top w:val="none" w:sz="4" w:space="0" w:color="000000"/>
              <w:left w:val="single" w:sz="4" w:space="0" w:color="000000"/>
              <w:bottom w:val="none" w:sz="4" w:space="0" w:color="000000"/>
              <w:right w:val="single" w:sz="4" w:space="0" w:color="000000"/>
            </w:tcBorders>
          </w:tcPr>
          <w:p w:rsidR="00D602D4" w:rsidRDefault="00D602D4">
            <w:pPr>
              <w:widowControl w:val="0"/>
              <w:jc w:val="center"/>
            </w:pPr>
          </w:p>
        </w:tc>
        <w:tc>
          <w:tcPr>
            <w:tcW w:w="2621" w:type="dxa"/>
            <w:gridSpan w:val="4"/>
            <w:tcBorders>
              <w:left w:val="single" w:sz="4" w:space="0" w:color="000000"/>
              <w:bottom w:val="single" w:sz="4" w:space="0" w:color="000000"/>
              <w:right w:val="single" w:sz="4" w:space="0" w:color="000000"/>
            </w:tcBorders>
            <w:vAlign w:val="center"/>
          </w:tcPr>
          <w:p w:rsidR="00D602D4" w:rsidRDefault="000B4C86">
            <w:pPr>
              <w:widowControl w:val="0"/>
              <w:jc w:val="center"/>
            </w:pPr>
            <w:r>
              <w:t>Порядок определения предпочтительного риска (риск-аппетита)</w:t>
            </w:r>
          </w:p>
          <w:p w:rsidR="00D602D4" w:rsidRDefault="00D602D4">
            <w:pPr>
              <w:widowControl w:val="0"/>
              <w:jc w:val="center"/>
            </w:pPr>
          </w:p>
        </w:tc>
        <w:tc>
          <w:tcPr>
            <w:tcW w:w="1701" w:type="dxa"/>
            <w:gridSpan w:val="4"/>
            <w:tcBorders>
              <w:left w:val="single" w:sz="4" w:space="0" w:color="000000"/>
              <w:bottom w:val="single" w:sz="4" w:space="0" w:color="000000"/>
              <w:right w:val="single" w:sz="4" w:space="0" w:color="000000"/>
            </w:tcBorders>
            <w:vAlign w:val="center"/>
          </w:tcPr>
          <w:p w:rsidR="00D602D4" w:rsidRDefault="000B4C86">
            <w:pPr>
              <w:widowControl w:val="0"/>
              <w:jc w:val="center"/>
            </w:pPr>
            <w:r>
              <w:t>Методика оценки и мониторинга рисков</w:t>
            </w:r>
          </w:p>
          <w:p w:rsidR="00D602D4" w:rsidRDefault="00D602D4">
            <w:pPr>
              <w:widowControl w:val="0"/>
              <w:jc w:val="center"/>
            </w:pPr>
          </w:p>
        </w:tc>
        <w:tc>
          <w:tcPr>
            <w:tcW w:w="2439" w:type="dxa"/>
            <w:gridSpan w:val="4"/>
            <w:tcBorders>
              <w:left w:val="single" w:sz="4" w:space="0" w:color="000000"/>
              <w:bottom w:val="single" w:sz="4" w:space="0" w:color="000000"/>
              <w:right w:val="single" w:sz="4" w:space="0" w:color="000000"/>
            </w:tcBorders>
            <w:vAlign w:val="center"/>
          </w:tcPr>
          <w:p w:rsidR="00D602D4" w:rsidRDefault="000B4C86">
            <w:pPr>
              <w:widowControl w:val="0"/>
              <w:jc w:val="center"/>
            </w:pPr>
            <w:r>
              <w:t xml:space="preserve">Руководство по подготовке отчета </w:t>
            </w:r>
          </w:p>
          <w:p w:rsidR="00D602D4" w:rsidRDefault="000B4C86">
            <w:pPr>
              <w:widowControl w:val="0"/>
              <w:jc w:val="center"/>
            </w:pPr>
            <w:r>
              <w:t>об организации, функционировании и эффективности СУРиВК</w:t>
            </w:r>
          </w:p>
          <w:p w:rsidR="00D602D4" w:rsidRDefault="00D602D4">
            <w:pPr>
              <w:widowControl w:val="0"/>
              <w:jc w:val="center"/>
            </w:pPr>
          </w:p>
        </w:tc>
      </w:tr>
      <w:tr w:rsidR="00D602D4">
        <w:tc>
          <w:tcPr>
            <w:tcW w:w="2350" w:type="dxa"/>
            <w:tcBorders>
              <w:top w:val="single" w:sz="4" w:space="0" w:color="000000"/>
              <w:left w:val="none" w:sz="4" w:space="0" w:color="000000"/>
              <w:bottom w:val="single" w:sz="4" w:space="0" w:color="000000"/>
              <w:right w:val="none" w:sz="4" w:space="0" w:color="000000"/>
            </w:tcBorders>
          </w:tcPr>
          <w:p w:rsidR="00D602D4" w:rsidRDefault="00D602D4">
            <w:pPr>
              <w:widowControl w:val="0"/>
              <w:jc w:val="center"/>
              <w:rPr>
                <w:i/>
                <w:sz w:val="18"/>
                <w:szCs w:val="18"/>
              </w:rPr>
            </w:pPr>
          </w:p>
        </w:tc>
        <w:tc>
          <w:tcPr>
            <w:tcW w:w="240" w:type="dxa"/>
            <w:tcBorders>
              <w:top w:val="none" w:sz="4" w:space="0" w:color="000000"/>
              <w:left w:val="none" w:sz="4" w:space="0" w:color="000000"/>
              <w:bottom w:val="none" w:sz="4" w:space="0" w:color="000000"/>
              <w:right w:val="none" w:sz="4" w:space="0" w:color="000000"/>
            </w:tcBorders>
          </w:tcPr>
          <w:p w:rsidR="00D602D4" w:rsidRDefault="00D602D4">
            <w:pPr>
              <w:widowControl w:val="0"/>
              <w:jc w:val="center"/>
            </w:pPr>
          </w:p>
        </w:tc>
        <w:tc>
          <w:tcPr>
            <w:tcW w:w="2074" w:type="dxa"/>
            <w:gridSpan w:val="2"/>
            <w:tcBorders>
              <w:top w:val="single" w:sz="4" w:space="0" w:color="000000"/>
              <w:left w:val="none" w:sz="4" w:space="0" w:color="000000"/>
              <w:bottom w:val="single" w:sz="4" w:space="0" w:color="000000"/>
              <w:right w:val="none" w:sz="4" w:space="0" w:color="000000"/>
            </w:tcBorders>
          </w:tcPr>
          <w:p w:rsidR="00D602D4" w:rsidRDefault="00D602D4">
            <w:pPr>
              <w:widowControl w:val="0"/>
              <w:jc w:val="center"/>
            </w:pPr>
          </w:p>
        </w:tc>
        <w:tc>
          <w:tcPr>
            <w:tcW w:w="2248" w:type="dxa"/>
            <w:gridSpan w:val="6"/>
            <w:tcBorders>
              <w:top w:val="single" w:sz="4" w:space="0" w:color="000000"/>
              <w:left w:val="none" w:sz="4" w:space="0" w:color="000000"/>
              <w:bottom w:val="single" w:sz="4" w:space="0" w:color="000000"/>
              <w:right w:val="none" w:sz="4" w:space="0" w:color="000000"/>
            </w:tcBorders>
          </w:tcPr>
          <w:p w:rsidR="00D602D4" w:rsidRDefault="00D602D4">
            <w:pPr>
              <w:widowControl w:val="0"/>
              <w:jc w:val="center"/>
            </w:pPr>
          </w:p>
        </w:tc>
        <w:tc>
          <w:tcPr>
            <w:tcW w:w="2439" w:type="dxa"/>
            <w:gridSpan w:val="4"/>
            <w:tcBorders>
              <w:top w:val="single" w:sz="4" w:space="0" w:color="000000"/>
              <w:left w:val="none" w:sz="4" w:space="0" w:color="000000"/>
              <w:bottom w:val="single" w:sz="4" w:space="0" w:color="000000"/>
              <w:right w:val="none" w:sz="4" w:space="0" w:color="000000"/>
            </w:tcBorders>
          </w:tcPr>
          <w:p w:rsidR="00D602D4" w:rsidRDefault="00D602D4">
            <w:pPr>
              <w:widowControl w:val="0"/>
              <w:jc w:val="center"/>
            </w:pPr>
          </w:p>
        </w:tc>
      </w:tr>
      <w:tr w:rsidR="00D602D4">
        <w:tc>
          <w:tcPr>
            <w:tcW w:w="2350" w:type="dxa"/>
            <w:tcBorders>
              <w:top w:val="single" w:sz="4" w:space="0" w:color="000000"/>
              <w:left w:val="single" w:sz="4" w:space="0" w:color="000000"/>
              <w:bottom w:val="single" w:sz="4" w:space="0" w:color="000000"/>
              <w:right w:val="single" w:sz="4" w:space="0" w:color="000000"/>
            </w:tcBorders>
          </w:tcPr>
          <w:p w:rsidR="00D602D4" w:rsidRDefault="000B4C86">
            <w:pPr>
              <w:widowControl w:val="0"/>
              <w:jc w:val="center"/>
              <w:rPr>
                <w:i/>
                <w:sz w:val="18"/>
                <w:szCs w:val="18"/>
              </w:rPr>
            </w:pPr>
            <w:r>
              <w:rPr>
                <w:lang w:val="en-US"/>
              </w:rPr>
              <w:t>III</w:t>
            </w:r>
            <w:r>
              <w:t xml:space="preserve"> УРОВЕНЬ</w:t>
            </w:r>
          </w:p>
        </w:tc>
        <w:tc>
          <w:tcPr>
            <w:tcW w:w="240" w:type="dxa"/>
            <w:tcBorders>
              <w:top w:val="none" w:sz="4" w:space="0" w:color="000000"/>
              <w:left w:val="single" w:sz="4" w:space="0" w:color="000000"/>
              <w:bottom w:val="none" w:sz="4" w:space="0" w:color="000000"/>
              <w:right w:val="single" w:sz="4" w:space="0" w:color="000000"/>
            </w:tcBorders>
          </w:tcPr>
          <w:p w:rsidR="00D602D4" w:rsidRDefault="000B4C86">
            <w:pPr>
              <w:widowControl w:val="0"/>
              <w:jc w:val="center"/>
            </w:pPr>
            <w:r>
              <w:rPr>
                <w:bCs/>
                <w:i/>
                <w:noProof/>
              </w:rPr>
              <mc:AlternateContent>
                <mc:Choice Requires="wps">
                  <w:drawing>
                    <wp:anchor distT="0" distB="0" distL="114300" distR="114300" simplePos="0" relativeHeight="251611648" behindDoc="0" locked="0" layoutInCell="1" allowOverlap="1">
                      <wp:simplePos x="0" y="0"/>
                      <wp:positionH relativeFrom="column">
                        <wp:posOffset>-40376</wp:posOffset>
                      </wp:positionH>
                      <wp:positionV relativeFrom="paragraph">
                        <wp:posOffset>100965</wp:posOffset>
                      </wp:positionV>
                      <wp:extent cx="223520" cy="308610"/>
                      <wp:effectExtent l="19050" t="0" r="24130" b="15240"/>
                      <wp:wrapNone/>
                      <wp:docPr id="148" name="Стрелка: шеврон 6"/>
                      <wp:cNvGraphicFramePr/>
                      <a:graphic xmlns:a="http://schemas.openxmlformats.org/drawingml/2006/main">
                        <a:graphicData uri="http://schemas.microsoft.com/office/word/2010/wordprocessingShape">
                          <wps:wsp>
                            <wps:cNvSpPr/>
                            <wps:spPr bwMode="auto">
                              <a:xfrm>
                                <a:off x="0" y="0"/>
                                <a:ext cx="223519" cy="308610"/>
                              </a:xfrm>
                              <a:prstGeom prst="chevron">
                                <a:avLst>
                                  <a:gd name="adj" fmla="val 50000"/>
                                </a:avLst>
                              </a:prstGeom>
                              <a:solidFill>
                                <a:sysClr val="window" lastClr="FFFFFF">
                                  <a:lumMod val="85000"/>
                                </a:sysClr>
                              </a:solidFill>
                              <a:ln w="12700" cap="flat" cmpd="sng" algn="ctr">
                                <a:solidFill>
                                  <a:srgbClr val="A5A5A5">
                                    <a:shade val="50000"/>
                                  </a:srgbClr>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68E96F" id="Стрелка: шеврон 6" o:spid="_x0000_s1026" type="#_x0000_t55" style="position:absolute;margin-left:-3.2pt;margin-top:7.95pt;width:17.6pt;height:24.3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" adj="10800" fillcolor="#d9d9d9" strokecolor="#787878" strokeweight="1pt"/>
                  </w:pict>
                </mc:Fallback>
              </mc:AlternateContent>
            </w:r>
          </w:p>
        </w:tc>
        <w:tc>
          <w:tcPr>
            <w:tcW w:w="3584" w:type="dxa"/>
            <w:gridSpan w:val="7"/>
            <w:vMerge w:val="restart"/>
            <w:tcBorders>
              <w:top w:val="single" w:sz="4" w:space="0" w:color="000000"/>
              <w:left w:val="single" w:sz="4" w:space="0" w:color="000000"/>
              <w:right w:val="single" w:sz="4" w:space="0" w:color="000000"/>
            </w:tcBorders>
            <w:vAlign w:val="center"/>
          </w:tcPr>
          <w:p w:rsidR="00D602D4" w:rsidRDefault="000B4C86">
            <w:pPr>
              <w:widowControl w:val="0"/>
              <w:jc w:val="center"/>
            </w:pPr>
            <w:r>
              <w:t xml:space="preserve">Регламенты процессов / </w:t>
            </w:r>
          </w:p>
          <w:p w:rsidR="00D602D4" w:rsidRDefault="000B4C86">
            <w:pPr>
              <w:widowControl w:val="0"/>
              <w:jc w:val="center"/>
            </w:pPr>
            <w:r>
              <w:t>матрицы рисков и контрольных процедур процессов</w:t>
            </w:r>
          </w:p>
        </w:tc>
        <w:tc>
          <w:tcPr>
            <w:tcW w:w="3177" w:type="dxa"/>
            <w:gridSpan w:val="5"/>
            <w:vMerge w:val="restart"/>
            <w:tcBorders>
              <w:top w:val="single" w:sz="4" w:space="0" w:color="000000"/>
              <w:left w:val="single" w:sz="4" w:space="0" w:color="000000"/>
              <w:right w:val="single" w:sz="4" w:space="0" w:color="000000"/>
            </w:tcBorders>
            <w:vAlign w:val="center"/>
          </w:tcPr>
          <w:p w:rsidR="00D602D4" w:rsidRDefault="00D602D4">
            <w:pPr>
              <w:widowControl w:val="0"/>
              <w:jc w:val="center"/>
              <w:rPr>
                <w:sz w:val="6"/>
                <w:szCs w:val="6"/>
              </w:rPr>
            </w:pPr>
          </w:p>
          <w:p w:rsidR="00D602D4" w:rsidRDefault="000B4C86">
            <w:pPr>
              <w:widowControl w:val="0"/>
              <w:jc w:val="center"/>
            </w:pPr>
            <w:r>
              <w:t xml:space="preserve">Паспорта рисков </w:t>
            </w:r>
          </w:p>
        </w:tc>
      </w:tr>
      <w:tr w:rsidR="00D602D4">
        <w:tc>
          <w:tcPr>
            <w:tcW w:w="2350" w:type="dxa"/>
            <w:tcBorders>
              <w:top w:val="single" w:sz="4" w:space="0" w:color="000000"/>
              <w:left w:val="single" w:sz="4" w:space="0" w:color="000000"/>
              <w:bottom w:val="single" w:sz="4" w:space="0" w:color="000000"/>
              <w:right w:val="single" w:sz="4" w:space="0" w:color="000000"/>
            </w:tcBorders>
          </w:tcPr>
          <w:p w:rsidR="00D602D4" w:rsidRDefault="000B4C86">
            <w:pPr>
              <w:widowControl w:val="0"/>
              <w:jc w:val="center"/>
              <w:rPr>
                <w:i/>
                <w:sz w:val="18"/>
                <w:szCs w:val="18"/>
              </w:rPr>
            </w:pPr>
            <w:r>
              <w:rPr>
                <w:i/>
                <w:sz w:val="18"/>
                <w:szCs w:val="18"/>
              </w:rPr>
              <w:t>детально описывают конкретные действия отдельных работников</w:t>
            </w:r>
          </w:p>
        </w:tc>
        <w:tc>
          <w:tcPr>
            <w:tcW w:w="240" w:type="dxa"/>
            <w:tcBorders>
              <w:top w:val="none" w:sz="4" w:space="0" w:color="000000"/>
              <w:left w:val="single" w:sz="4" w:space="0" w:color="000000"/>
              <w:bottom w:val="none" w:sz="4" w:space="0" w:color="000000"/>
              <w:right w:val="single" w:sz="4" w:space="0" w:color="000000"/>
            </w:tcBorders>
          </w:tcPr>
          <w:p w:rsidR="00D602D4" w:rsidRDefault="00D602D4">
            <w:pPr>
              <w:widowControl w:val="0"/>
              <w:jc w:val="center"/>
            </w:pPr>
          </w:p>
        </w:tc>
        <w:tc>
          <w:tcPr>
            <w:tcW w:w="3584" w:type="dxa"/>
            <w:gridSpan w:val="7"/>
            <w:vMerge/>
            <w:tcBorders>
              <w:left w:val="single" w:sz="4" w:space="0" w:color="000000"/>
              <w:bottom w:val="single" w:sz="4" w:space="0" w:color="000000"/>
              <w:right w:val="single" w:sz="4" w:space="0" w:color="000000"/>
            </w:tcBorders>
          </w:tcPr>
          <w:p w:rsidR="00D602D4" w:rsidRDefault="00D602D4">
            <w:pPr>
              <w:widowControl w:val="0"/>
            </w:pPr>
          </w:p>
        </w:tc>
        <w:tc>
          <w:tcPr>
            <w:tcW w:w="3177" w:type="dxa"/>
            <w:gridSpan w:val="5"/>
            <w:vMerge/>
            <w:tcBorders>
              <w:left w:val="single" w:sz="4" w:space="0" w:color="000000"/>
              <w:bottom w:val="single" w:sz="4" w:space="0" w:color="000000"/>
              <w:right w:val="single" w:sz="4" w:space="0" w:color="000000"/>
            </w:tcBorders>
          </w:tcPr>
          <w:p w:rsidR="00D602D4" w:rsidRDefault="00D602D4">
            <w:pPr>
              <w:widowControl w:val="0"/>
            </w:pPr>
          </w:p>
        </w:tc>
      </w:tr>
    </w:tbl>
    <w:p w:rsidR="00D602D4" w:rsidRDefault="000B4C86">
      <w:pPr>
        <w:tabs>
          <w:tab w:val="left" w:pos="0"/>
          <w:tab w:val="left" w:pos="1276"/>
        </w:tabs>
        <w:spacing w:line="240" w:lineRule="auto"/>
        <w:ind w:left="-142" w:firstLine="709"/>
        <w:contextualSpacing/>
        <w:jc w:val="center"/>
        <w:rPr>
          <w:rFonts w:ascii="Times New Roman" w:eastAsiaTheme="minorEastAsia" w:hAnsi="Times New Roman"/>
          <w:sz w:val="24"/>
          <w:szCs w:val="24"/>
          <w:lang w:eastAsia="ru-RU"/>
        </w:rPr>
      </w:pPr>
      <w:r>
        <w:rPr>
          <w:rFonts w:ascii="Times New Roman" w:eastAsiaTheme="minorEastAsia" w:hAnsi="Times New Roman"/>
          <w:sz w:val="24"/>
          <w:szCs w:val="24"/>
          <w:lang w:eastAsia="ru-RU"/>
        </w:rPr>
        <w:t>Рис. 31 - Структура документации СУРиВК</w:t>
      </w:r>
    </w:p>
    <w:p w:rsidR="00D602D4" w:rsidRDefault="00D602D4">
      <w:pPr>
        <w:widowControl w:val="0"/>
        <w:tabs>
          <w:tab w:val="left" w:pos="1276"/>
          <w:tab w:val="left" w:pos="9922"/>
        </w:tabs>
        <w:ind w:firstLine="709"/>
        <w:contextualSpacing/>
        <w:jc w:val="both"/>
        <w:rPr>
          <w:sz w:val="26"/>
          <w:szCs w:val="26"/>
        </w:rPr>
      </w:pPr>
    </w:p>
    <w:p w:rsidR="00D602D4" w:rsidRDefault="000B4C86">
      <w:pPr>
        <w:tabs>
          <w:tab w:val="left" w:pos="0"/>
          <w:tab w:val="left" w:pos="1276"/>
        </w:tabs>
        <w:spacing w:after="0" w:line="240" w:lineRule="auto"/>
        <w:ind w:firstLine="709"/>
        <w:contextualSpacing/>
        <w:jc w:val="both"/>
        <w:rPr>
          <w:rFonts w:ascii="Times New Roman" w:eastAsiaTheme="minorEastAsia" w:hAnsi="Times New Roman"/>
          <w:sz w:val="24"/>
          <w:szCs w:val="24"/>
          <w:lang w:eastAsia="ru-RU"/>
        </w:rPr>
      </w:pPr>
      <w:r>
        <w:rPr>
          <w:rFonts w:ascii="Times New Roman" w:eastAsiaTheme="minorEastAsia" w:hAnsi="Times New Roman"/>
          <w:sz w:val="24"/>
          <w:szCs w:val="24"/>
          <w:lang w:eastAsia="ru-RU"/>
        </w:rPr>
        <w:t>В Обществе организовано подразделение по управлению рисками и внутреннему контролю – отдел внутреннего контроля, управления рисками и менеджмента качества (далее - ОВКУРиМК), на которое в соответствии с Положением об ОВКУРиМК возложены следующие задачи:</w:t>
      </w:r>
    </w:p>
    <w:p w:rsidR="00D602D4" w:rsidRDefault="000B4C86">
      <w:pPr>
        <w:numPr>
          <w:ilvl w:val="0"/>
          <w:numId w:val="23"/>
        </w:numPr>
        <w:tabs>
          <w:tab w:val="left" w:pos="567"/>
          <w:tab w:val="left" w:pos="992"/>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обеспечение внедрения основных и методологических документов по построению и совершенствованию системы управления рисками внутреннего контроля;</w:t>
      </w:r>
    </w:p>
    <w:p w:rsidR="00D602D4" w:rsidRDefault="000B4C86">
      <w:pPr>
        <w:numPr>
          <w:ilvl w:val="0"/>
          <w:numId w:val="23"/>
        </w:numPr>
        <w:tabs>
          <w:tab w:val="left" w:pos="567"/>
          <w:tab w:val="left" w:pos="992"/>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содействие менеджменту в построении системы внутреннего контроля бизнес-процессов, выработка рекомендаций по описанию и внедрению в процессы (направления деятельности) контрольных процедур и закреплению ответственности за должностными лицами;</w:t>
      </w:r>
    </w:p>
    <w:p w:rsidR="00D602D4" w:rsidRDefault="000B4C86">
      <w:pPr>
        <w:numPr>
          <w:ilvl w:val="0"/>
          <w:numId w:val="23"/>
        </w:numPr>
        <w:tabs>
          <w:tab w:val="left" w:pos="567"/>
          <w:tab w:val="left" w:pos="992"/>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осуществления оперативного контроля за процессом управления рисками структурными подразделениями Общества, осуществление функции по общей координации процессов управления рисками; </w:t>
      </w:r>
    </w:p>
    <w:p w:rsidR="00D602D4" w:rsidRDefault="000B4C86">
      <w:pPr>
        <w:numPr>
          <w:ilvl w:val="0"/>
          <w:numId w:val="23"/>
        </w:numPr>
        <w:tabs>
          <w:tab w:val="left" w:pos="567"/>
          <w:tab w:val="left" w:pos="992"/>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подготовки информации о состоянии системы управления рисками и внутреннего контроля для заинтересованных сторон;</w:t>
      </w:r>
    </w:p>
    <w:p w:rsidR="00D602D4" w:rsidRDefault="000B4C86">
      <w:pPr>
        <w:numPr>
          <w:ilvl w:val="0"/>
          <w:numId w:val="23"/>
        </w:numPr>
        <w:tabs>
          <w:tab w:val="left" w:pos="567"/>
          <w:tab w:val="left" w:pos="992"/>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взаимодействие с государственными контрольно-надзорными органами по вопросам внутреннего контроля;</w:t>
      </w:r>
    </w:p>
    <w:p w:rsidR="00D602D4" w:rsidRDefault="000B4C86">
      <w:pPr>
        <w:numPr>
          <w:ilvl w:val="0"/>
          <w:numId w:val="23"/>
        </w:numPr>
        <w:tabs>
          <w:tab w:val="left" w:pos="567"/>
          <w:tab w:val="left" w:pos="992"/>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отчетности СУРиВК.</w:t>
      </w:r>
    </w:p>
    <w:p w:rsidR="00D602D4" w:rsidRDefault="00D602D4">
      <w:pPr>
        <w:tabs>
          <w:tab w:val="left" w:pos="1276"/>
        </w:tabs>
        <w:spacing w:after="0" w:line="240" w:lineRule="auto"/>
        <w:ind w:firstLine="709"/>
        <w:contextualSpacing/>
        <w:jc w:val="both"/>
        <w:rPr>
          <w:rFonts w:ascii="Times New Roman" w:hAnsi="Times New Roman" w:cs="Times New Roman"/>
          <w:bCs/>
          <w:color w:val="000000"/>
          <w:sz w:val="24"/>
          <w:szCs w:val="24"/>
        </w:rPr>
      </w:pPr>
    </w:p>
    <w:p w:rsidR="00D602D4" w:rsidRDefault="000B4C86">
      <w:pPr>
        <w:pStyle w:val="31"/>
        <w:spacing w:before="0" w:line="240" w:lineRule="auto"/>
        <w:ind w:firstLine="709"/>
        <w:rPr>
          <w:rFonts w:ascii="Times New Roman" w:eastAsiaTheme="minorEastAsia" w:hAnsi="Times New Roman" w:cstheme="minorBidi"/>
          <w:b/>
          <w:color w:val="auto"/>
          <w:lang w:eastAsia="ru-RU"/>
        </w:rPr>
      </w:pPr>
      <w:bookmarkStart w:id="126" w:name="_Toc163"/>
      <w:r>
        <w:rPr>
          <w:rFonts w:ascii="Times New Roman" w:eastAsiaTheme="minorEastAsia" w:hAnsi="Times New Roman" w:cstheme="minorBidi"/>
          <w:b/>
          <w:color w:val="auto"/>
          <w:lang w:eastAsia="ru-RU"/>
        </w:rPr>
        <w:t>Оценка эффективности и совершенствование СУРиВК</w:t>
      </w:r>
      <w:bookmarkEnd w:id="126"/>
    </w:p>
    <w:p w:rsidR="00D602D4" w:rsidRDefault="000B4C86">
      <w:pPr>
        <w:tabs>
          <w:tab w:val="left" w:pos="0"/>
          <w:tab w:val="left" w:pos="1276"/>
        </w:tabs>
        <w:spacing w:after="0" w:line="240" w:lineRule="auto"/>
        <w:ind w:firstLine="709"/>
        <w:contextualSpacing/>
        <w:jc w:val="both"/>
        <w:rPr>
          <w:rFonts w:ascii="Times New Roman" w:eastAsiaTheme="minorEastAsia" w:hAnsi="Times New Roman"/>
          <w:sz w:val="24"/>
          <w:szCs w:val="24"/>
          <w:lang w:eastAsia="ru-RU"/>
        </w:rPr>
      </w:pPr>
      <w:r>
        <w:rPr>
          <w:rFonts w:ascii="Times New Roman" w:eastAsiaTheme="minorEastAsia" w:hAnsi="Times New Roman"/>
          <w:sz w:val="24"/>
          <w:szCs w:val="24"/>
          <w:lang w:eastAsia="ru-RU"/>
        </w:rPr>
        <w:t xml:space="preserve">Для гарантии того, что СУРиВК эффективна и соответствуют объективно изменяющимся требованиям и условиям, в Обществе ежегодно проводится </w:t>
      </w:r>
      <w:r>
        <w:rPr>
          <w:rFonts w:ascii="Times New Roman" w:eastAsia="Times New Roman" w:hAnsi="Times New Roman" w:cs="Times New Roman"/>
          <w:sz w:val="24"/>
          <w:szCs w:val="24"/>
        </w:rPr>
        <w:t>внутренняя независимая оценка надежности и эффективности СУРиВК (проводится внутренним аудитом).</w:t>
      </w:r>
    </w:p>
    <w:p w:rsidR="00D602D4" w:rsidRDefault="000B4C86">
      <w:pPr>
        <w:tabs>
          <w:tab w:val="left" w:pos="993"/>
        </w:tabs>
        <w:spacing w:after="0" w:line="240" w:lineRule="auto"/>
        <w:ind w:firstLine="709"/>
        <w:jc w:val="both"/>
        <w:rPr>
          <w:rFonts w:ascii="Times New Roman" w:hAnsi="Times New Roman" w:cs="Times New Roman"/>
          <w:bCs/>
          <w:color w:val="000000"/>
          <w:sz w:val="24"/>
          <w:szCs w:val="24"/>
          <w:highlight w:val="red"/>
        </w:rPr>
      </w:pPr>
      <w:r>
        <w:rPr>
          <w:rFonts w:ascii="Times New Roman" w:hAnsi="Times New Roman" w:cs="Times New Roman"/>
          <w:bCs/>
          <w:color w:val="000000"/>
          <w:sz w:val="24"/>
          <w:szCs w:val="24"/>
        </w:rPr>
        <w:t>Результаты внутренней независимой оценки надежности и эффективности СУРиВК Общества по итогам 2024 года и рекомендации, направленные на повышение эффективности ее эффективности, отражены в отчете внутреннего аудитора и рассмотрены на заседании Совета директоров Общества (протокол от 13.05.2025 № 552/25).</w:t>
      </w:r>
    </w:p>
    <w:p w:rsidR="00D602D4" w:rsidRDefault="000B4C86">
      <w:pPr>
        <w:shd w:val="clear" w:color="FFFFFF" w:themeColor="background1" w:fill="FFFFFF" w:themeFill="background1"/>
        <w:tabs>
          <w:tab w:val="left" w:pos="993"/>
        </w:tabs>
        <w:spacing w:after="0" w:line="240" w:lineRule="auto"/>
        <w:ind w:firstLine="709"/>
        <w:jc w:val="both"/>
        <w:rPr>
          <w:rFonts w:ascii="Times New Roman" w:hAnsi="Times New Roman" w:cs="Times New Roman"/>
          <w:bCs/>
          <w:color w:val="000000"/>
          <w:sz w:val="24"/>
          <w:szCs w:val="24"/>
          <w:highlight w:val="white"/>
        </w:rPr>
      </w:pPr>
      <w:r>
        <w:rPr>
          <w:rFonts w:ascii="Times New Roman" w:hAnsi="Times New Roman" w:cs="Times New Roman"/>
          <w:bCs/>
          <w:color w:val="000000"/>
          <w:sz w:val="24"/>
          <w:szCs w:val="24"/>
          <w:highlight w:val="white"/>
        </w:rPr>
        <w:t xml:space="preserve">Оценка надежности и эффективности СУРиВК за 2024 год составила - 5,1 балл, что соответствует «Оптимальному» уровню зрелости.  </w:t>
      </w:r>
    </w:p>
    <w:p w:rsidR="00D602D4" w:rsidRDefault="000B4C86">
      <w:pPr>
        <w:tabs>
          <w:tab w:val="left" w:pos="993"/>
        </w:tabs>
        <w:spacing w:after="0" w:line="240" w:lineRule="auto"/>
        <w:ind w:firstLine="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Оценка надежности и эффективности СУРиВК по итогам 2023 года составляла 5 баллов, что также соответствует «Оптимальному» уровню зрелости.</w:t>
      </w:r>
    </w:p>
    <w:p w:rsidR="00D602D4" w:rsidRDefault="00D602D4">
      <w:pPr>
        <w:tabs>
          <w:tab w:val="left" w:pos="993"/>
        </w:tabs>
        <w:spacing w:after="0" w:line="240" w:lineRule="auto"/>
        <w:ind w:firstLine="709"/>
        <w:jc w:val="both"/>
        <w:rPr>
          <w:rFonts w:ascii="Times New Roman" w:hAnsi="Times New Roman" w:cs="Times New Roman"/>
          <w:bCs/>
          <w:color w:val="000000"/>
          <w:sz w:val="24"/>
          <w:szCs w:val="24"/>
        </w:rPr>
      </w:pPr>
    </w:p>
    <w:p w:rsidR="00D602D4" w:rsidRDefault="000B4C86">
      <w:pPr>
        <w:pStyle w:val="31"/>
        <w:spacing w:before="0" w:line="240" w:lineRule="auto"/>
        <w:ind w:firstLine="709"/>
        <w:rPr>
          <w:rFonts w:ascii="Times New Roman" w:hAnsi="Times New Roman" w:cs="Times New Roman"/>
          <w:b/>
          <w:color w:val="auto"/>
          <w:highlight w:val="white"/>
        </w:rPr>
      </w:pPr>
      <w:bookmarkStart w:id="127" w:name="_Toc164"/>
      <w:r>
        <w:rPr>
          <w:rFonts w:ascii="Times New Roman" w:hAnsi="Times New Roman" w:cs="Times New Roman"/>
          <w:b/>
          <w:color w:val="auto"/>
          <w:highlight w:val="white"/>
        </w:rPr>
        <w:t>Мероприятия СУРиВК, реализованные в 2024 году</w:t>
      </w:r>
      <w:bookmarkEnd w:id="127"/>
    </w:p>
    <w:p w:rsidR="00D602D4" w:rsidRDefault="000B4C86">
      <w:pPr>
        <w:tabs>
          <w:tab w:val="left" w:pos="851"/>
          <w:tab w:val="left" w:pos="993"/>
          <w:tab w:val="left" w:pos="1276"/>
        </w:tabs>
        <w:spacing w:after="0" w:line="240" w:lineRule="auto"/>
        <w:ind w:firstLine="709"/>
        <w:contextualSpacing/>
        <w:jc w:val="both"/>
        <w:rPr>
          <w:rFonts w:ascii="Times New Roman" w:eastAsia="Calibri" w:hAnsi="Times New Roman" w:cs="Times New Roman"/>
          <w:sz w:val="24"/>
          <w:szCs w:val="24"/>
          <w:highlight w:val="white"/>
        </w:rPr>
      </w:pPr>
      <w:r>
        <w:rPr>
          <w:rFonts w:ascii="Times New Roman" w:eastAsia="Calibri" w:hAnsi="Times New Roman" w:cs="Times New Roman"/>
          <w:sz w:val="24"/>
          <w:szCs w:val="24"/>
          <w:highlight w:val="white"/>
        </w:rPr>
        <w:t>В отчетном году реализованы следующие ключевые мероприятия, направленные на совершенствование СУРиВК:</w:t>
      </w:r>
    </w:p>
    <w:p w:rsidR="00D602D4" w:rsidRDefault="000B4C86">
      <w:pPr>
        <w:numPr>
          <w:ilvl w:val="0"/>
          <w:numId w:val="23"/>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актуализированы методологические документы в области внутреннего контроля и управления рисками, в том числе:</w:t>
      </w:r>
    </w:p>
    <w:p w:rsidR="00D602D4" w:rsidRDefault="000B4C86">
      <w:pPr>
        <w:pStyle w:val="ac"/>
        <w:numPr>
          <w:ilvl w:val="1"/>
          <w:numId w:val="24"/>
        </w:numPr>
        <w:tabs>
          <w:tab w:val="left" w:pos="567"/>
          <w:tab w:val="left" w:pos="1134"/>
        </w:tabs>
        <w:spacing w:after="0" w:line="240" w:lineRule="auto"/>
        <w:ind w:left="0"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СО 3.008/0 «Порядок организации системы управления рисками и внутреннего контроля ПАО «Россети Сибирь». Регламент», </w:t>
      </w:r>
    </w:p>
    <w:p w:rsidR="00D602D4" w:rsidRDefault="000B4C86">
      <w:pPr>
        <w:pStyle w:val="ac"/>
        <w:numPr>
          <w:ilvl w:val="1"/>
          <w:numId w:val="24"/>
        </w:numPr>
        <w:tabs>
          <w:tab w:val="left" w:pos="567"/>
          <w:tab w:val="left" w:pos="1134"/>
        </w:tabs>
        <w:spacing w:after="0" w:line="240" w:lineRule="auto"/>
        <w:ind w:left="0"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СО 3.205/0 «Учет проверок, осуществляемых внешними органами контроля (надзора). Регламент», </w:t>
      </w:r>
    </w:p>
    <w:p w:rsidR="00D602D4" w:rsidRDefault="000B4C86">
      <w:pPr>
        <w:pStyle w:val="ac"/>
        <w:numPr>
          <w:ilvl w:val="1"/>
          <w:numId w:val="24"/>
        </w:numPr>
        <w:tabs>
          <w:tab w:val="left" w:pos="567"/>
          <w:tab w:val="left" w:pos="1134"/>
        </w:tabs>
        <w:spacing w:after="0" w:line="240" w:lineRule="auto"/>
        <w:ind w:left="0"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СО 2.055/0 «Оценка и мониторинг рисков. Методика», </w:t>
      </w:r>
    </w:p>
    <w:p w:rsidR="00D602D4" w:rsidRDefault="000B4C86">
      <w:pPr>
        <w:pStyle w:val="ac"/>
        <w:numPr>
          <w:ilvl w:val="1"/>
          <w:numId w:val="24"/>
        </w:numPr>
        <w:tabs>
          <w:tab w:val="left" w:pos="567"/>
          <w:tab w:val="left" w:pos="1134"/>
        </w:tabs>
        <w:spacing w:after="0" w:line="240" w:lineRule="auto"/>
        <w:ind w:left="0" w:firstLine="709"/>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СО 2.155/0 «Порядок определения предпочтительного риска (риск-аппетита) ПАО «Россети Сибирь». Методика», </w:t>
      </w:r>
    </w:p>
    <w:p w:rsidR="00D602D4" w:rsidRDefault="000B4C86">
      <w:pPr>
        <w:numPr>
          <w:ilvl w:val="0"/>
          <w:numId w:val="23"/>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осуществляется антикоррупционный контроль закупочной деятельности в рамках выборочных проверок торгово-закупочных процедур;</w:t>
      </w:r>
    </w:p>
    <w:p w:rsidR="00D602D4" w:rsidRDefault="000B4C86">
      <w:pPr>
        <w:numPr>
          <w:ilvl w:val="0"/>
          <w:numId w:val="23"/>
        </w:numPr>
        <w:tabs>
          <w:tab w:val="left" w:pos="567"/>
          <w:tab w:val="left" w:pos="1134"/>
        </w:tabs>
        <w:spacing w:after="0" w:line="240" w:lineRule="auto"/>
        <w:ind w:left="0" w:firstLine="709"/>
        <w:contextualSpacing/>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 осуществляется мониторинг финансовой устойчивости, контроль сопровождения процедур ликвидации и банкротства контрагентов.</w:t>
      </w:r>
    </w:p>
    <w:p w:rsidR="00D602D4" w:rsidRDefault="00D602D4">
      <w:pPr>
        <w:pStyle w:val="31"/>
        <w:shd w:val="clear" w:color="FFFFFF" w:themeColor="background1" w:fill="FFFFFF" w:themeFill="background1"/>
        <w:spacing w:before="0" w:line="240" w:lineRule="auto"/>
        <w:ind w:firstLine="709"/>
        <w:rPr>
          <w:rFonts w:ascii="Times New Roman" w:eastAsia="Times New Roman" w:hAnsi="Times New Roman" w:cs="Times New Roman"/>
          <w:b/>
          <w:bCs/>
          <w:color w:val="auto"/>
          <w:highlight w:val="white"/>
        </w:rPr>
      </w:pPr>
    </w:p>
    <w:p w:rsidR="00D602D4" w:rsidRDefault="000B4C86">
      <w:pPr>
        <w:pStyle w:val="31"/>
        <w:shd w:val="clear" w:color="FFFFFF" w:themeColor="background1" w:fill="FFFFFF" w:themeFill="background1"/>
        <w:spacing w:before="0" w:line="240" w:lineRule="auto"/>
        <w:ind w:firstLine="709"/>
        <w:rPr>
          <w:rFonts w:ascii="Times New Roman" w:hAnsi="Times New Roman" w:cs="Times New Roman"/>
          <w:b/>
          <w:bCs/>
          <w:color w:val="auto"/>
        </w:rPr>
      </w:pPr>
      <w:bookmarkStart w:id="128" w:name="_Toc165"/>
      <w:r>
        <w:rPr>
          <w:rFonts w:ascii="Times New Roman" w:hAnsi="Times New Roman" w:cs="Times New Roman"/>
          <w:b/>
          <w:color w:val="auto"/>
          <w:highlight w:val="white"/>
          <w:shd w:val="clear" w:color="FFFFFF" w:themeColor="background1" w:fill="FFFFFF" w:themeFill="background1"/>
        </w:rPr>
        <w:t xml:space="preserve">Направления совершенствования СУРиВК, запланированные на 2025 год </w:t>
      </w:r>
      <w:bookmarkEnd w:id="128"/>
    </w:p>
    <w:p w:rsidR="00D602D4" w:rsidRDefault="000B4C86">
      <w:pPr>
        <w:spacing w:after="0" w:line="240" w:lineRule="auto"/>
        <w:ind w:firstLine="709"/>
        <w:jc w:val="both"/>
        <w:rPr>
          <w:rFonts w:ascii="Times New Roman" w:eastAsiaTheme="minorEastAsia" w:hAnsi="Times New Roman"/>
          <w:sz w:val="24"/>
          <w:szCs w:val="24"/>
          <w:lang w:eastAsia="ru-RU"/>
        </w:rPr>
      </w:pPr>
      <w:r>
        <w:rPr>
          <w:rFonts w:ascii="Times New Roman" w:eastAsiaTheme="minorEastAsia" w:hAnsi="Times New Roman"/>
          <w:sz w:val="24"/>
          <w:szCs w:val="24"/>
          <w:lang w:eastAsia="ru-RU"/>
        </w:rPr>
        <w:t>Основные задачи по развитию СУРиВК на 2025 год:</w:t>
      </w:r>
    </w:p>
    <w:p w:rsidR="00D602D4" w:rsidRDefault="000B4C86">
      <w:pPr>
        <w:numPr>
          <w:ilvl w:val="0"/>
          <w:numId w:val="23"/>
        </w:numPr>
        <w:tabs>
          <w:tab w:val="left" w:pos="567"/>
          <w:tab w:val="left" w:pos="992"/>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декомпозиция и взаимоувязка рисков корпоративного уровня с рисками бизнес-процессов;</w:t>
      </w:r>
    </w:p>
    <w:p w:rsidR="00D602D4" w:rsidRDefault="000B4C86">
      <w:pPr>
        <w:numPr>
          <w:ilvl w:val="0"/>
          <w:numId w:val="23"/>
        </w:numPr>
        <w:tabs>
          <w:tab w:val="left" w:pos="567"/>
          <w:tab w:val="left" w:pos="992"/>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актуализация Методики оценки и мониторинга рисков;</w:t>
      </w:r>
    </w:p>
    <w:p w:rsidR="00D602D4" w:rsidRDefault="000B4C86">
      <w:pPr>
        <w:numPr>
          <w:ilvl w:val="0"/>
          <w:numId w:val="23"/>
        </w:numPr>
        <w:tabs>
          <w:tab w:val="left" w:pos="567"/>
          <w:tab w:val="left" w:pos="992"/>
        </w:tabs>
        <w:spacing w:after="0" w:line="240" w:lineRule="auto"/>
        <w:ind w:left="0"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участие в обучающих мероприятиях для работников компаний группы «Россети» по вопросам организации и функционирования СУРиВК.</w:t>
      </w:r>
    </w:p>
    <w:p w:rsidR="00D602D4" w:rsidRDefault="000B4C86">
      <w:pPr>
        <w:tabs>
          <w:tab w:val="left" w:pos="567"/>
          <w:tab w:val="left" w:pos="992"/>
        </w:tabs>
        <w:spacing w:after="0" w:line="240" w:lineRule="auto"/>
        <w:ind w:left="709"/>
        <w:contextualSpacing/>
        <w:jc w:val="right"/>
        <w:rPr>
          <w:rFonts w:ascii="Times New Roman" w:hAnsi="Times New Roman" w:cs="Times New Roman"/>
          <w:sz w:val="24"/>
          <w:szCs w:val="24"/>
        </w:rPr>
      </w:pPr>
      <w:r>
        <w:rPr>
          <w:rFonts w:ascii="Times New Roman" w:eastAsia="Times New Roman" w:hAnsi="Times New Roman" w:cs="Times New Roman"/>
          <w:sz w:val="24"/>
          <w:szCs w:val="24"/>
        </w:rPr>
        <w:t>Таблица 106</w:t>
      </w:r>
    </w:p>
    <w:p w:rsidR="00D602D4" w:rsidRDefault="000B4C86">
      <w:pPr>
        <w:tabs>
          <w:tab w:val="left" w:pos="567"/>
          <w:tab w:val="left" w:pos="992"/>
        </w:tabs>
        <w:spacing w:after="0" w:line="240" w:lineRule="auto"/>
        <w:ind w:left="709"/>
        <w:contextualSpacing/>
        <w:jc w:val="center"/>
        <w:rPr>
          <w:rFonts w:ascii="Times New Roman" w:hAnsi="Times New Roman" w:cs="Times New Roman"/>
          <w:sz w:val="24"/>
          <w:szCs w:val="24"/>
        </w:rPr>
      </w:pPr>
      <w:r>
        <w:rPr>
          <w:rFonts w:ascii="Times New Roman" w:eastAsia="Times New Roman" w:hAnsi="Times New Roman" w:cs="Times New Roman"/>
          <w:b/>
          <w:bCs/>
          <w:color w:val="000000"/>
          <w:sz w:val="24"/>
          <w:szCs w:val="24"/>
          <w:lang w:eastAsia="ru-RU"/>
        </w:rPr>
        <w:t>Управление рисками и  внутренний контроль</w:t>
      </w:r>
    </w:p>
    <w:tbl>
      <w:tblPr>
        <w:tblW w:w="97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02"/>
        <w:gridCol w:w="709"/>
        <w:gridCol w:w="869"/>
        <w:gridCol w:w="953"/>
        <w:gridCol w:w="764"/>
        <w:gridCol w:w="1021"/>
      </w:tblGrid>
      <w:tr w:rsidR="00D602D4">
        <w:trPr>
          <w:trHeight w:val="428"/>
          <w:jc w:val="center"/>
        </w:trPr>
        <w:tc>
          <w:tcPr>
            <w:tcW w:w="5402" w:type="dxa"/>
            <w:vMerge w:val="restart"/>
          </w:tcPr>
          <w:p w:rsidR="00D602D4" w:rsidRDefault="000B4C86">
            <w:pPr>
              <w:tabs>
                <w:tab w:val="left" w:pos="9356"/>
              </w:tabs>
              <w:spacing w:after="5" w:line="252" w:lineRule="auto"/>
              <w:ind w:right="39"/>
              <w:jc w:val="both"/>
              <w:rPr>
                <w:rFonts w:ascii="Times New Roman" w:hAnsi="Times New Roman" w:cs="Times New Roman"/>
                <w:color w:val="000000"/>
                <w:sz w:val="20"/>
                <w:szCs w:val="20"/>
              </w:rPr>
            </w:pPr>
            <w:r>
              <w:rPr>
                <w:rFonts w:ascii="Times New Roman" w:hAnsi="Times New Roman" w:cs="Times New Roman"/>
                <w:color w:val="000000"/>
                <w:sz w:val="20"/>
                <w:szCs w:val="20"/>
              </w:rPr>
              <w:t>Показатель</w:t>
            </w:r>
          </w:p>
        </w:tc>
        <w:tc>
          <w:tcPr>
            <w:tcW w:w="709" w:type="dxa"/>
            <w:vMerge w:val="restart"/>
          </w:tcPr>
          <w:p w:rsidR="00D602D4" w:rsidRDefault="000B4C86">
            <w:pPr>
              <w:widowControl w:val="0"/>
              <w:spacing w:after="5" w:line="252" w:lineRule="auto"/>
              <w:ind w:left="426"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bCs/>
                <w:color w:val="000000"/>
                <w:sz w:val="20"/>
                <w:szCs w:val="20"/>
                <w:lang w:eastAsia="ru-RU"/>
              </w:rPr>
              <w:t>Ед.</w:t>
            </w:r>
          </w:p>
          <w:p w:rsidR="00D602D4" w:rsidRDefault="000B4C86">
            <w:pPr>
              <w:widowControl w:val="0"/>
              <w:spacing w:after="5" w:line="252"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bCs/>
                <w:color w:val="000000"/>
                <w:sz w:val="20"/>
                <w:szCs w:val="20"/>
                <w:lang w:eastAsia="ru-RU"/>
              </w:rPr>
              <w:t>изм.</w:t>
            </w:r>
          </w:p>
        </w:tc>
        <w:tc>
          <w:tcPr>
            <w:tcW w:w="869" w:type="dxa"/>
            <w:vMerge w:val="restart"/>
            <w:vAlign w:val="center"/>
          </w:tcPr>
          <w:p w:rsidR="00D602D4" w:rsidRDefault="000B4C86">
            <w:pPr>
              <w:widowControl w:val="0"/>
              <w:spacing w:after="5" w:line="252"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2022</w:t>
            </w:r>
          </w:p>
        </w:tc>
        <w:tc>
          <w:tcPr>
            <w:tcW w:w="953" w:type="dxa"/>
            <w:vMerge w:val="restart"/>
            <w:shd w:val="clear" w:color="FFFFFF" w:fill="FFFFFF"/>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2023</w:t>
            </w:r>
          </w:p>
        </w:tc>
        <w:tc>
          <w:tcPr>
            <w:tcW w:w="764" w:type="dxa"/>
            <w:vMerge w:val="restart"/>
            <w:vAlign w:val="center"/>
          </w:tcPr>
          <w:p w:rsidR="00D602D4" w:rsidRDefault="000B4C86">
            <w:pPr>
              <w:widowControl w:val="0"/>
              <w:spacing w:after="5" w:line="252"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c>
          <w:tcPr>
            <w:tcW w:w="1021" w:type="dxa"/>
            <w:vMerge w:val="restart"/>
            <w:vAlign w:val="center"/>
          </w:tcPr>
          <w:p w:rsidR="00D602D4" w:rsidRDefault="000B4C86">
            <w:pPr>
              <w:widowControl w:val="0"/>
              <w:spacing w:after="5" w:line="252"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 2023,%</w:t>
            </w:r>
          </w:p>
        </w:tc>
      </w:tr>
      <w:tr w:rsidR="00D602D4">
        <w:trPr>
          <w:cantSplit/>
          <w:trHeight w:val="388"/>
          <w:jc w:val="center"/>
        </w:trPr>
        <w:tc>
          <w:tcPr>
            <w:tcW w:w="5402" w:type="dxa"/>
            <w:vAlign w:val="center"/>
          </w:tcPr>
          <w:p w:rsidR="00D602D4" w:rsidRDefault="000B4C86">
            <w:pPr>
              <w:tabs>
                <w:tab w:val="left" w:pos="9356"/>
              </w:tabs>
              <w:spacing w:after="5" w:line="252" w:lineRule="auto"/>
              <w:ind w:right="39"/>
              <w:jc w:val="both"/>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Количество проведенных контрольных мероприятий, направленных на выявление и минимизацию рисков</w:t>
            </w:r>
          </w:p>
        </w:tc>
        <w:tc>
          <w:tcPr>
            <w:tcW w:w="709"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шт.</w:t>
            </w:r>
          </w:p>
        </w:tc>
        <w:tc>
          <w:tcPr>
            <w:tcW w:w="869" w:type="dxa"/>
            <w:vAlign w:val="center"/>
          </w:tcPr>
          <w:p w:rsidR="00D602D4" w:rsidRDefault="000B4C86">
            <w:pPr>
              <w:widowControl w:val="0"/>
              <w:spacing w:after="0"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4</w:t>
            </w:r>
          </w:p>
        </w:tc>
        <w:tc>
          <w:tcPr>
            <w:tcW w:w="953" w:type="dxa"/>
            <w:shd w:val="clear" w:color="FFFFFF" w:fill="FFFFFF"/>
            <w:vAlign w:val="center"/>
          </w:tcPr>
          <w:p w:rsidR="00D602D4" w:rsidRDefault="000B4C86">
            <w:pPr>
              <w:widowControl w:val="0"/>
              <w:spacing w:after="0"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3</w:t>
            </w:r>
          </w:p>
        </w:tc>
        <w:tc>
          <w:tcPr>
            <w:tcW w:w="764"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w:t>
            </w:r>
          </w:p>
        </w:tc>
        <w:tc>
          <w:tcPr>
            <w:tcW w:w="1021" w:type="dxa"/>
            <w:vAlign w:val="center"/>
          </w:tcPr>
          <w:p w:rsidR="00D602D4" w:rsidRDefault="000B4C86">
            <w:pPr>
              <w:widowControl w:val="0"/>
              <w:spacing w:after="5" w:line="252"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67</w:t>
            </w:r>
          </w:p>
        </w:tc>
      </w:tr>
      <w:tr w:rsidR="00D602D4">
        <w:trPr>
          <w:cantSplit/>
          <w:trHeight w:val="407"/>
          <w:jc w:val="center"/>
        </w:trPr>
        <w:tc>
          <w:tcPr>
            <w:tcW w:w="5402" w:type="dxa"/>
            <w:vAlign w:val="center"/>
          </w:tcPr>
          <w:p w:rsidR="00D602D4" w:rsidRDefault="000B4C86">
            <w:pPr>
              <w:tabs>
                <w:tab w:val="left" w:pos="9356"/>
              </w:tabs>
              <w:spacing w:after="5" w:line="252" w:lineRule="auto"/>
              <w:ind w:right="39"/>
              <w:jc w:val="both"/>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Количество рассмотренных материалов (вопросов) закупочной деятельности</w:t>
            </w:r>
          </w:p>
        </w:tc>
        <w:tc>
          <w:tcPr>
            <w:tcW w:w="709" w:type="dxa"/>
            <w:vAlign w:val="center"/>
          </w:tcPr>
          <w:p w:rsidR="00D602D4" w:rsidRDefault="000B4C86">
            <w:pPr>
              <w:widowControl w:val="0"/>
              <w:spacing w:after="5" w:line="252" w:lineRule="auto"/>
              <w:ind w:left="426" w:right="-143" w:hanging="426"/>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шт.</w:t>
            </w:r>
          </w:p>
        </w:tc>
        <w:tc>
          <w:tcPr>
            <w:tcW w:w="869" w:type="dxa"/>
            <w:vAlign w:val="center"/>
          </w:tcPr>
          <w:p w:rsidR="00D602D4" w:rsidRDefault="000B4C86">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118</w:t>
            </w:r>
          </w:p>
        </w:tc>
        <w:tc>
          <w:tcPr>
            <w:tcW w:w="953" w:type="dxa"/>
            <w:shd w:val="clear" w:color="FFFFFF" w:fill="FFFFFF"/>
            <w:vAlign w:val="center"/>
          </w:tcPr>
          <w:p w:rsidR="00D602D4" w:rsidRDefault="000B4C86">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235</w:t>
            </w:r>
          </w:p>
        </w:tc>
        <w:tc>
          <w:tcPr>
            <w:tcW w:w="764"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176</w:t>
            </w:r>
          </w:p>
        </w:tc>
        <w:tc>
          <w:tcPr>
            <w:tcW w:w="1021" w:type="dxa"/>
            <w:vAlign w:val="center"/>
          </w:tcPr>
          <w:p w:rsidR="00D602D4" w:rsidRDefault="000B4C86">
            <w:pPr>
              <w:widowControl w:val="0"/>
              <w:spacing w:after="5" w:line="252"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75</w:t>
            </w:r>
          </w:p>
        </w:tc>
      </w:tr>
      <w:tr w:rsidR="00D602D4">
        <w:trPr>
          <w:cantSplit/>
          <w:trHeight w:val="58"/>
          <w:jc w:val="center"/>
        </w:trPr>
        <w:tc>
          <w:tcPr>
            <w:tcW w:w="5402" w:type="dxa"/>
            <w:vAlign w:val="center"/>
          </w:tcPr>
          <w:p w:rsidR="00D602D4" w:rsidRDefault="000B4C86">
            <w:pPr>
              <w:tabs>
                <w:tab w:val="left" w:pos="9356"/>
              </w:tabs>
              <w:spacing w:after="5" w:line="252" w:lineRule="auto"/>
              <w:ind w:right="39"/>
              <w:jc w:val="both"/>
              <w:rPr>
                <w:rFonts w:ascii="Times New Roman" w:hAnsi="Times New Roman" w:cs="Times New Roman"/>
                <w:color w:val="000000"/>
                <w:sz w:val="20"/>
                <w:szCs w:val="20"/>
              </w:rPr>
            </w:pPr>
            <w:r>
              <w:rPr>
                <w:rFonts w:ascii="Times New Roman" w:hAnsi="Times New Roman" w:cs="Times New Roman"/>
                <w:color w:val="000000"/>
                <w:sz w:val="20"/>
                <w:szCs w:val="20"/>
              </w:rPr>
              <w:t>Количество устраненных нарушений по результатам проверок, проведенных внешними органами контроля.</w:t>
            </w:r>
          </w:p>
        </w:tc>
        <w:tc>
          <w:tcPr>
            <w:tcW w:w="709"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шт. (%)</w:t>
            </w:r>
          </w:p>
        </w:tc>
        <w:tc>
          <w:tcPr>
            <w:tcW w:w="869" w:type="dxa"/>
            <w:vAlign w:val="center"/>
          </w:tcPr>
          <w:p w:rsidR="00D602D4" w:rsidRDefault="000B4C86">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 xml:space="preserve">312 </w:t>
            </w:r>
          </w:p>
          <w:p w:rsidR="00D602D4" w:rsidRDefault="000B4C86">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(72%)</w:t>
            </w:r>
          </w:p>
        </w:tc>
        <w:tc>
          <w:tcPr>
            <w:tcW w:w="953" w:type="dxa"/>
            <w:shd w:val="clear" w:color="FFFFFF" w:fill="FFFFFF"/>
            <w:vAlign w:val="center"/>
          </w:tcPr>
          <w:p w:rsidR="00D602D4" w:rsidRDefault="000B4C86">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1898</w:t>
            </w:r>
          </w:p>
          <w:p w:rsidR="00D602D4" w:rsidRDefault="000B4C86">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(51%)</w:t>
            </w:r>
          </w:p>
        </w:tc>
        <w:tc>
          <w:tcPr>
            <w:tcW w:w="764" w:type="dxa"/>
            <w:vAlign w:val="center"/>
          </w:tcPr>
          <w:p w:rsidR="00D602D4" w:rsidRDefault="000B4C86">
            <w:pPr>
              <w:widowControl w:val="0"/>
              <w:spacing w:after="5" w:line="252" w:lineRule="auto"/>
              <w:ind w:right="-143"/>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3251</w:t>
            </w:r>
          </w:p>
          <w:p w:rsidR="00D602D4" w:rsidRDefault="000B4C86">
            <w:pPr>
              <w:widowControl w:val="0"/>
              <w:spacing w:after="5" w:line="252" w:lineRule="auto"/>
              <w:ind w:right="-14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sz w:val="20"/>
                <w:szCs w:val="20"/>
                <w:lang w:val="en-US" w:eastAsia="ru-RU"/>
              </w:rPr>
              <w:t>(47%)</w:t>
            </w:r>
          </w:p>
        </w:tc>
        <w:tc>
          <w:tcPr>
            <w:tcW w:w="1021" w:type="dxa"/>
            <w:vAlign w:val="center"/>
          </w:tcPr>
          <w:p w:rsidR="00D602D4" w:rsidRDefault="000B4C86">
            <w:pPr>
              <w:widowControl w:val="0"/>
              <w:spacing w:after="5" w:line="252"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171</w:t>
            </w:r>
          </w:p>
        </w:tc>
      </w:tr>
      <w:tr w:rsidR="00D602D4">
        <w:trPr>
          <w:cantSplit/>
          <w:trHeight w:val="482"/>
          <w:jc w:val="center"/>
        </w:trPr>
        <w:tc>
          <w:tcPr>
            <w:tcW w:w="5402" w:type="dxa"/>
            <w:vAlign w:val="center"/>
          </w:tcPr>
          <w:p w:rsidR="00D602D4" w:rsidRDefault="000B4C86">
            <w:pPr>
              <w:tabs>
                <w:tab w:val="left" w:pos="9356"/>
              </w:tabs>
              <w:spacing w:after="5" w:line="252" w:lineRule="auto"/>
              <w:ind w:right="39"/>
              <w:jc w:val="both"/>
              <w:rPr>
                <w:rFonts w:ascii="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Общая сумма отмененных штрафов по результатам обжалования постановлений о привлечении к административной ответственности.</w:t>
            </w:r>
          </w:p>
        </w:tc>
        <w:tc>
          <w:tcPr>
            <w:tcW w:w="709"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млн руб.</w:t>
            </w:r>
          </w:p>
        </w:tc>
        <w:tc>
          <w:tcPr>
            <w:tcW w:w="869" w:type="dxa"/>
            <w:vAlign w:val="center"/>
          </w:tcPr>
          <w:p w:rsidR="00D602D4" w:rsidRDefault="000B4C86">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28</w:t>
            </w:r>
          </w:p>
        </w:tc>
        <w:tc>
          <w:tcPr>
            <w:tcW w:w="953" w:type="dxa"/>
            <w:shd w:val="clear" w:color="FFFFFF" w:fill="FFFFFF"/>
            <w:vAlign w:val="center"/>
          </w:tcPr>
          <w:p w:rsidR="00D602D4" w:rsidRDefault="000B4C86">
            <w:pPr>
              <w:spacing w:after="5" w:line="252" w:lineRule="auto"/>
              <w:ind w:right="-143"/>
              <w:jc w:val="center"/>
              <w:rPr>
                <w:rFonts w:ascii="Times New Roman" w:hAnsi="Times New Roman" w:cs="Times New Roman"/>
                <w:color w:val="000000"/>
                <w:sz w:val="20"/>
                <w:szCs w:val="20"/>
                <w:lang w:eastAsia="ru-RU"/>
              </w:rPr>
            </w:pPr>
            <w:r>
              <w:rPr>
                <w:rFonts w:ascii="Times New Roman" w:hAnsi="Times New Roman" w:cs="Times New Roman"/>
                <w:color w:val="000000"/>
                <w:sz w:val="20"/>
                <w:szCs w:val="20"/>
                <w:lang w:eastAsia="ru-RU"/>
              </w:rPr>
              <w:t>65,21</w:t>
            </w:r>
          </w:p>
        </w:tc>
        <w:tc>
          <w:tcPr>
            <w:tcW w:w="764"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5,67</w:t>
            </w:r>
          </w:p>
        </w:tc>
        <w:tc>
          <w:tcPr>
            <w:tcW w:w="1021" w:type="dxa"/>
            <w:vAlign w:val="center"/>
          </w:tcPr>
          <w:p w:rsidR="00D602D4" w:rsidRDefault="000B4C86">
            <w:pPr>
              <w:widowControl w:val="0"/>
              <w:spacing w:after="5" w:line="252"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8,7</w:t>
            </w:r>
          </w:p>
        </w:tc>
      </w:tr>
      <w:tr w:rsidR="00D602D4">
        <w:trPr>
          <w:cantSplit/>
          <w:trHeight w:val="593"/>
          <w:jc w:val="center"/>
        </w:trPr>
        <w:tc>
          <w:tcPr>
            <w:tcW w:w="5402" w:type="dxa"/>
            <w:vAlign w:val="center"/>
          </w:tcPr>
          <w:p w:rsidR="00D602D4" w:rsidRDefault="000B4C86">
            <w:pPr>
              <w:tabs>
                <w:tab w:val="left" w:pos="9356"/>
              </w:tabs>
              <w:spacing w:after="5" w:line="252" w:lineRule="auto"/>
              <w:ind w:right="39"/>
              <w:jc w:val="both"/>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Общая сумма поступивших в бюджет Общества денежных средств от контрагентов, находящихся в процедурах банкротства и ликвидации</w:t>
            </w:r>
            <w:r>
              <w:rPr>
                <w:rFonts w:ascii="Times New Roman" w:eastAsia="Times New Roman" w:hAnsi="Times New Roman" w:cs="Times New Roman"/>
                <w:color w:val="000000"/>
                <w:sz w:val="20"/>
                <w:szCs w:val="20"/>
                <w:lang w:eastAsia="ru-RU"/>
              </w:rPr>
              <w:t xml:space="preserve"> </w:t>
            </w:r>
          </w:p>
        </w:tc>
        <w:tc>
          <w:tcPr>
            <w:tcW w:w="709"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млн руб.</w:t>
            </w:r>
          </w:p>
        </w:tc>
        <w:tc>
          <w:tcPr>
            <w:tcW w:w="869"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286</w:t>
            </w:r>
          </w:p>
        </w:tc>
        <w:tc>
          <w:tcPr>
            <w:tcW w:w="953" w:type="dxa"/>
            <w:shd w:val="clear" w:color="FFFFFF" w:fill="FFFFFF"/>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11,2</w:t>
            </w:r>
          </w:p>
        </w:tc>
        <w:tc>
          <w:tcPr>
            <w:tcW w:w="764"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51,7</w:t>
            </w:r>
          </w:p>
        </w:tc>
        <w:tc>
          <w:tcPr>
            <w:tcW w:w="1021" w:type="dxa"/>
            <w:vAlign w:val="center"/>
          </w:tcPr>
          <w:p w:rsidR="00D602D4" w:rsidRDefault="000B4C86">
            <w:pPr>
              <w:widowControl w:val="0"/>
              <w:spacing w:after="5" w:line="252"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361,6</w:t>
            </w:r>
          </w:p>
        </w:tc>
      </w:tr>
      <w:tr w:rsidR="00D602D4">
        <w:trPr>
          <w:cantSplit/>
          <w:trHeight w:val="704"/>
          <w:jc w:val="center"/>
        </w:trPr>
        <w:tc>
          <w:tcPr>
            <w:tcW w:w="5402" w:type="dxa"/>
            <w:vAlign w:val="center"/>
          </w:tcPr>
          <w:p w:rsidR="00D602D4" w:rsidRDefault="000B4C86">
            <w:pPr>
              <w:tabs>
                <w:tab w:val="left" w:pos="9356"/>
              </w:tabs>
              <w:spacing w:after="5" w:line="252" w:lineRule="auto"/>
              <w:ind w:right="39"/>
              <w:jc w:val="both"/>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Общая сумма сэкономленных Обществом денежных средств в связи с приобретением на торгах собственной задолженности перед должниками, находящимися в процедурах банкротства</w:t>
            </w:r>
            <w:r>
              <w:rPr>
                <w:rFonts w:ascii="Times New Roman" w:eastAsia="Times New Roman" w:hAnsi="Times New Roman" w:cs="Times New Roman"/>
                <w:color w:val="000000"/>
                <w:sz w:val="20"/>
                <w:szCs w:val="20"/>
                <w:lang w:eastAsia="ru-RU"/>
              </w:rPr>
              <w:t xml:space="preserve"> </w:t>
            </w:r>
          </w:p>
        </w:tc>
        <w:tc>
          <w:tcPr>
            <w:tcW w:w="709"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млн руб.</w:t>
            </w:r>
          </w:p>
        </w:tc>
        <w:tc>
          <w:tcPr>
            <w:tcW w:w="869"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953" w:type="dxa"/>
            <w:shd w:val="clear" w:color="FFFFFF" w:fill="FFFFFF"/>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764" w:type="dxa"/>
            <w:vAlign w:val="center"/>
          </w:tcPr>
          <w:p w:rsidR="00D602D4" w:rsidRDefault="000B4C86">
            <w:pPr>
              <w:widowControl w:val="0"/>
              <w:spacing w:after="5" w:line="252" w:lineRule="auto"/>
              <w:ind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0</w:t>
            </w:r>
          </w:p>
        </w:tc>
        <w:tc>
          <w:tcPr>
            <w:tcW w:w="1021" w:type="dxa"/>
            <w:vAlign w:val="center"/>
          </w:tcPr>
          <w:p w:rsidR="00D602D4" w:rsidRDefault="000B4C86">
            <w:pPr>
              <w:widowControl w:val="0"/>
              <w:spacing w:after="5" w:line="252" w:lineRule="auto"/>
              <w:ind w:right="-143"/>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eastAsia="ru-RU"/>
              </w:rPr>
              <w:t>-</w:t>
            </w:r>
          </w:p>
        </w:tc>
      </w:tr>
    </w:tbl>
    <w:p w:rsidR="00D602D4" w:rsidRDefault="00D602D4">
      <w:pPr>
        <w:pStyle w:val="1565656"/>
        <w:spacing w:before="0"/>
        <w:rPr>
          <w:b w:val="0"/>
          <w:color w:val="000000" w:themeColor="text1"/>
          <w:sz w:val="24"/>
          <w:szCs w:val="24"/>
        </w:rPr>
      </w:pPr>
    </w:p>
    <w:p w:rsidR="00D602D4" w:rsidRDefault="000B4C86">
      <w:pPr>
        <w:widowControl w:val="0"/>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sz w:val="24"/>
          <w:szCs w:val="24"/>
          <w:lang w:eastAsia="ru-RU"/>
        </w:rPr>
        <w:t xml:space="preserve">Внутренний аудит Общества </w:t>
      </w:r>
    </w:p>
    <w:p w:rsidR="00D602D4" w:rsidRDefault="000B4C86">
      <w:pPr>
        <w:widowControl w:val="0"/>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Подразделением, ответственным за реализацию функции внутреннего аудита в ПАО «Россети Сибирь», является департамент внутреннего аудита. </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Цели и задачи, основные принципы организации, функции и полномочия внутреннего аудита определены Политикой внутреннего аудита </w:t>
      </w:r>
      <w:r>
        <w:rPr>
          <w:rFonts w:ascii="Times New Roman" w:eastAsia="Times New Roman" w:hAnsi="Times New Roman" w:cs="Times New Roman"/>
          <w:color w:val="000000"/>
          <w:sz w:val="24"/>
          <w:szCs w:val="24"/>
          <w:lang w:eastAsia="ru-RU"/>
        </w:rPr>
        <w:t xml:space="preserve">ПАО «Россети Сибирь» </w:t>
      </w:r>
      <w:r>
        <w:rPr>
          <w:rFonts w:ascii="Times New Roman" w:eastAsia="Times New Roman" w:hAnsi="Times New Roman" w:cs="Times New Roman"/>
          <w:sz w:val="24"/>
          <w:szCs w:val="24"/>
          <w:lang w:eastAsia="ru-RU"/>
        </w:rPr>
        <w:t>(далее – Политика ВА).</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 xml:space="preserve">Целью внутреннего аудита является содействие Совету директоров и исполнительным органам Общества в повышении эффективности управления Обществом, совершенствовании его финансово-хозяйственной деятельности, в том числе путем системного и последовательного подхода к анализу и оценке системы управления рисками и </w:t>
      </w:r>
      <w:r>
        <w:rPr>
          <w:rFonts w:ascii="Times New Roman" w:eastAsia="Times New Roman" w:hAnsi="Times New Roman" w:cs="Times New Roman"/>
          <w:sz w:val="24"/>
          <w:szCs w:val="24"/>
          <w:lang w:eastAsia="ru-RU"/>
        </w:rPr>
        <w:t>внутреннего контроля, корпоративного управления как инструментов обеспечения разумной уверенности в достижении поставленных перед Обществом целей.</w:t>
      </w:r>
    </w:p>
    <w:p w:rsidR="00D602D4" w:rsidRDefault="000B4C86">
      <w:pPr>
        <w:widowControl w:val="0"/>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 реализации функции внутреннего аудита независимость достигается путем разграничения функциональной и административной подчиненности внутреннего аудита. В соответствии с Политикой</w:t>
      </w:r>
      <w:r>
        <w:rPr>
          <w:rFonts w:ascii="Times New Roman" w:eastAsia="Times New Roman" w:hAnsi="Times New Roman" w:cs="Times New Roman"/>
          <w:sz w:val="24"/>
          <w:szCs w:val="24"/>
          <w:lang w:eastAsia="ru-RU"/>
        </w:rPr>
        <w:t xml:space="preserve"> ВА</w:t>
      </w:r>
      <w:r>
        <w:rPr>
          <w:rFonts w:ascii="Times New Roman" w:eastAsia="Times New Roman" w:hAnsi="Times New Roman" w:cs="Times New Roman"/>
          <w:color w:val="000000"/>
          <w:sz w:val="24"/>
          <w:szCs w:val="24"/>
          <w:lang w:eastAsia="ru-RU"/>
        </w:rPr>
        <w:t xml:space="preserve"> внутренний аудит функционально подчинен Совету директоров, а административно - Единоличному исполнительному органу Общества.</w:t>
      </w:r>
    </w:p>
    <w:p w:rsidR="00D602D4" w:rsidRDefault="000B4C86">
      <w:pPr>
        <w:widowControl w:val="0"/>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Совет директоров в соответствии с Уставом Общества определяет принципы и подходы к организации внутреннего аудита, в том числе утверждает внутренние документы Общества в области организации внутреннего аудита, осуществляет контроль и организацию деятельности подразделения внутреннего аудита, в том числе одобряет положение о подразделении внутреннего аудита, утверждает план деятельности внутреннего аудита, отчет о выполнении плана деятельности и бюджета внутреннего аудита,  рассматривает результаты оценки качества функции внутреннего аудита.</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В Обществе утверждены следующие документы в области внутреннего аудита: </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Политика внутреннего аудита Общества и Кодекс этики внутренних аудиторов группы компаний «Россети» в новой редакции, утвержденные решением Совета директоров Общества от 21.09.2023 (протокол от 22.09.2023 № 504/23);</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Положение о департаменте внутреннего аудита Общества, согласованное решением Комитета по аудиту Совета директоров Общества от 31.01.2024 (протокол от 02.02.2024 №183), одобренное решением Совета директоров Общества от 07.02.2024 (протокол от 09.02.2024 №513/24), утвержденное генеральным директором Общества 15.02.2024;</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Программа гарантии и повышения качества внутреннего аудита в новой редакции, утвержденная решением Совета директоров Общества от 10.02.2022 (протокол от 11.02.2022 № 442/22);</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Внутренние стандарты деятельности внутреннего аудита и стандарты практического применения, разработанные в соответствии с Международными профессиональными стандартами </w:t>
      </w:r>
      <w:r>
        <w:rPr>
          <w:rFonts w:ascii="Times New Roman" w:eastAsia="Times New Roman" w:hAnsi="Times New Roman" w:cs="Times New Roman"/>
          <w:color w:val="000000"/>
          <w:sz w:val="24"/>
          <w:szCs w:val="24"/>
          <w:highlight w:val="white"/>
          <w:lang w:eastAsia="ru-RU"/>
        </w:rPr>
        <w:t>внутреннего аудита</w:t>
      </w:r>
      <w:r>
        <w:rPr>
          <w:rFonts w:ascii="Times New Roman" w:eastAsia="Times New Roman" w:hAnsi="Times New Roman" w:cs="Times New Roman"/>
          <w:color w:val="000000"/>
          <w:sz w:val="24"/>
          <w:szCs w:val="24"/>
          <w:highlight w:val="white"/>
          <w:vertAlign w:val="superscript"/>
          <w:lang w:eastAsia="ru-RU"/>
        </w:rPr>
        <w:footnoteReference w:id="37"/>
      </w:r>
      <w:r>
        <w:rPr>
          <w:rFonts w:ascii="Times New Roman" w:eastAsia="Times New Roman" w:hAnsi="Times New Roman" w:cs="Times New Roman"/>
          <w:sz w:val="24"/>
          <w:szCs w:val="24"/>
          <w:lang w:eastAsia="ru-RU"/>
        </w:rPr>
        <w:t>.</w:t>
      </w:r>
    </w:p>
    <w:p w:rsidR="00D602D4" w:rsidRDefault="000B4C86">
      <w:pPr>
        <w:widowControl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 состоянию на 31.12.2024 штатная численность департамента внутреннего аудита составила 13,3 человек, фактическая численность – 12 человек. </w:t>
      </w:r>
    </w:p>
    <w:p w:rsidR="00D602D4" w:rsidRDefault="000B4C86">
      <w:pPr>
        <w:widowControl w:val="0"/>
        <w:spacing w:after="0" w:line="240" w:lineRule="auto"/>
        <w:ind w:firstLine="709"/>
        <w:jc w:val="both"/>
        <w:rPr>
          <w:rFonts w:ascii="Times New Roman" w:eastAsia="Times New Roman" w:hAnsi="Times New Roman" w:cs="Times New Roman"/>
          <w:color w:val="000000"/>
          <w:szCs w:val="24"/>
          <w:highlight w:val="white"/>
        </w:rPr>
      </w:pPr>
      <w:r>
        <w:rPr>
          <w:rFonts w:ascii="Times New Roman" w:eastAsia="Times New Roman" w:hAnsi="Times New Roman" w:cs="Times New Roman"/>
          <w:sz w:val="24"/>
          <w:szCs w:val="24"/>
          <w:highlight w:val="white"/>
          <w:lang w:eastAsia="ru-RU"/>
        </w:rPr>
        <w:t>Результаты деятельности департамента внутреннего аудита ежеквартально рассматриваются Комите</w:t>
      </w:r>
      <w:r>
        <w:rPr>
          <w:rFonts w:ascii="Times New Roman" w:eastAsia="Times New Roman" w:hAnsi="Times New Roman" w:cs="Times New Roman"/>
          <w:color w:val="000000"/>
          <w:sz w:val="24"/>
          <w:szCs w:val="24"/>
          <w:highlight w:val="white"/>
          <w:lang w:eastAsia="ru-RU"/>
        </w:rPr>
        <w:t>том по аудиту Совета директоров Общества. При проведении внутренней оценки (самооценки) деятельности внутреннего аудита за 2024 год, в соответствии с Программой гарантии и повышения качества внутреннего аудита, получена обратная связь от членов Комитета по аудиту посредством анкетирования с целью оценки взаимодействия и соответствия ожиданиям Комитета по аудиту. Показатель удовлетворенности Комитета по аудиту результатами работы внутреннего аудита Общества, оценен как «полностью соответствует»</w:t>
      </w:r>
      <w:r>
        <w:rPr>
          <w:rFonts w:ascii="Times New Roman" w:eastAsia="Times New Roman" w:hAnsi="Times New Roman" w:cs="Times New Roman"/>
          <w:sz w:val="24"/>
          <w:szCs w:val="24"/>
          <w:highlight w:val="white"/>
          <w:lang w:eastAsia="ru-RU"/>
        </w:rPr>
        <w:t>. Итоговая оценка текущего состояния функции внутреннего аудита за 2024 год составила 4,0 балла (полное соответствие) из 4-х максимально возможных балло</w:t>
      </w:r>
      <w:r>
        <w:rPr>
          <w:rFonts w:ascii="Times New Roman" w:eastAsia="Times New Roman" w:hAnsi="Times New Roman" w:cs="Times New Roman"/>
          <w:color w:val="000000"/>
          <w:sz w:val="24"/>
          <w:szCs w:val="24"/>
          <w:highlight w:val="white"/>
          <w:lang w:eastAsia="ru-RU"/>
        </w:rPr>
        <w:t xml:space="preserve">в, что свидетельствует о соответствии деятельности внутреннего аудита Политике ВА, Программе гарантии, ожиданиям Комитета по аудиту. </w:t>
      </w:r>
    </w:p>
    <w:p w:rsidR="00D602D4" w:rsidRDefault="000B4C86">
      <w:pPr>
        <w:widowControl w:val="0"/>
        <w:spacing w:after="0" w:line="240" w:lineRule="auto"/>
        <w:ind w:firstLine="709"/>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 xml:space="preserve">В 2024 году проведена </w:t>
      </w:r>
      <w:r>
        <w:rPr>
          <w:rFonts w:ascii="Times New Roman" w:eastAsia="Times New Roman" w:hAnsi="Times New Roman" w:cs="Times New Roman"/>
          <w:color w:val="000000"/>
          <w:sz w:val="24"/>
          <w:szCs w:val="24"/>
          <w:highlight w:val="white"/>
          <w:lang w:eastAsia="ru-RU"/>
        </w:rPr>
        <w:t xml:space="preserve">внешняя независимая оценка качества деятельности внутреннего аудита Общества (проводится не реже одного раза в 5 лет). Согласно заключению внешнего оценщика от 13.12.2024 внутренний аудит Общества в целом соответствует Международным профессиональным  стандартам внутреннего аудита и Кодексу этики Института внутренних аудиторов. </w:t>
      </w:r>
    </w:p>
    <w:p w:rsidR="00D602D4" w:rsidRDefault="000B4C86">
      <w:pPr>
        <w:widowControl w:val="0"/>
        <w:spacing w:after="0" w:line="24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lang w:eastAsia="ru-RU"/>
        </w:rPr>
        <w:tab/>
      </w:r>
      <w:r>
        <w:rPr>
          <w:rFonts w:ascii="Times New Roman" w:eastAsia="Times New Roman" w:hAnsi="Times New Roman" w:cs="Times New Roman"/>
          <w:sz w:val="24"/>
          <w:szCs w:val="24"/>
          <w:highlight w:val="white"/>
        </w:rPr>
        <w:t xml:space="preserve">Отчет внутреннего аудита Общества о выполнении плана работы и результатах деятельности внутреннего аудита, включая результаты самооценки качества деятельности внутреннего аудита по итогам 2024 года, результаты внешней оценки качества деятельности внутреннего аудита Общества рассмотрены </w:t>
      </w:r>
      <w:r>
        <w:rPr>
          <w:rFonts w:ascii="Times New Roman" w:hAnsi="Times New Roman" w:cs="Times New Roman"/>
          <w:highlight w:val="white"/>
        </w:rPr>
        <w:t>Советом директоров Общества 12.05.2025 (протокол № 552/25).</w:t>
      </w:r>
      <w:r>
        <w:rPr>
          <w:rFonts w:ascii="Times New Roman" w:eastAsia="Times New Roman" w:hAnsi="Times New Roman" w:cs="Times New Roman"/>
          <w:sz w:val="24"/>
          <w:szCs w:val="24"/>
          <w:highlight w:val="white"/>
        </w:rPr>
        <w:t xml:space="preserve"> </w:t>
      </w:r>
    </w:p>
    <w:p w:rsidR="00D602D4" w:rsidRDefault="00D602D4">
      <w:pPr>
        <w:pStyle w:val="1565656"/>
        <w:spacing w:before="0"/>
        <w:rPr>
          <w:b w:val="0"/>
          <w:color w:val="000000" w:themeColor="text1"/>
          <w:sz w:val="24"/>
          <w:szCs w:val="24"/>
        </w:rPr>
      </w:pPr>
    </w:p>
    <w:p w:rsidR="00D602D4" w:rsidRDefault="000B4C86">
      <w:pPr>
        <w:pStyle w:val="13"/>
        <w:spacing w:before="0" w:line="240" w:lineRule="auto"/>
        <w:rPr>
          <w:rFonts w:ascii="Times New Roman" w:hAnsi="Times New Roman" w:cs="Times New Roman"/>
          <w:b/>
          <w:bCs/>
          <w:color w:val="auto"/>
          <w:sz w:val="26"/>
          <w:szCs w:val="26"/>
        </w:rPr>
      </w:pPr>
      <w:bookmarkStart w:id="129" w:name="_Toc166"/>
      <w:r>
        <w:rPr>
          <w:rFonts w:ascii="Times New Roman" w:eastAsia="Times New Roman" w:hAnsi="Times New Roman" w:cs="Times New Roman"/>
          <w:b/>
          <w:color w:val="auto"/>
          <w:sz w:val="26"/>
          <w:szCs w:val="26"/>
        </w:rPr>
        <w:t>5.11. Ревизионная комиссия</w:t>
      </w:r>
      <w:bookmarkEnd w:id="129"/>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Согласно Положению о Ревизионной комиссии ПАО «Россети Сибирь», утвержденному решением годового Общего собрания акционеров Общества от 17.06.2022 (протокол от 21.06.2022 № 20), Ревизионная комиссия Общества является постоянно действующим выборным органом контроля Общества, осуществляющим периодический контроль за финансово-хозяйственной деятельностью Общества, деятельностью его структурных и обособленных подразделений, органов управления Общества путем проведения документальных и выездных проверок (ревизий).</w:t>
      </w:r>
    </w:p>
    <w:p w:rsidR="00D602D4" w:rsidRDefault="000B4C86">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Ревизионная комиссия Общества действует в интересах акционеров Общества и в своей деятельности подотчетна Общему собранию акционеров Общества.</w:t>
      </w:r>
    </w:p>
    <w:p w:rsidR="00D602D4" w:rsidRDefault="000B4C86">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lastRenderedPageBreak/>
        <w:t>Компетенция Ревизионной комиссии ПАО «Россети Сибирь» определена Федеральным законом «Об акционерных обществах», а также Уставом ПАО «Россети Сибирь».</w:t>
      </w:r>
    </w:p>
    <w:p w:rsidR="00D602D4" w:rsidRDefault="000B4C86">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Согласно п. 24.5 Устава ПАО «Россети Сибирь» к числу ключевых компетенций Ревизионной комиссии Общества относится проверка (ревизия) финансовой, бухгалтерской, платежно-расчетной и иной документации Общества, связанной с осуществлением Обществом финансово-хозяйственной деятельности, на предмет ее соответствия законодательству Российской Федерации, настоящему Уставу и внутренним документам Общества.</w:t>
      </w:r>
    </w:p>
    <w:p w:rsidR="00D602D4" w:rsidRDefault="000B4C86">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Полномочия Ревизионной комиссии определены Положением о Ревизионной комиссии ПАО «Россети Сибирь», утвержденным решением годового Общего собрания акционеров от 17.06.2022 (протокол от 21.06.2022 № 20). </w:t>
      </w:r>
    </w:p>
    <w:p w:rsidR="00D602D4" w:rsidRDefault="000B4C86">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Задачи Ревизионной комиссии определены п. 2.2 Положения о Ревизионной комиссии ПАО «Россети Сибирь» и включают:</w:t>
      </w:r>
    </w:p>
    <w:p w:rsidR="00D602D4" w:rsidRDefault="000B4C86">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1) осуществление контроля за финансово-хозяйственной деятельностью Общества; </w:t>
      </w:r>
    </w:p>
    <w:p w:rsidR="00D602D4" w:rsidRDefault="000B4C86">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2) осуществление независимой оценки достоверности данных, содержащихся в годовом отчете Общества, годовой бухгалтерской (финансовой) отчетности Общества; </w:t>
      </w:r>
    </w:p>
    <w:p w:rsidR="00D602D4" w:rsidRDefault="000B4C86">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3) подтверждение достоверности данных, содержащихся в отчете Общества о сделках, в совершении которых имеется заинтересованность. </w:t>
      </w:r>
    </w:p>
    <w:p w:rsidR="00D602D4" w:rsidRDefault="000B4C86">
      <w:pPr>
        <w:shd w:val="clear" w:color="auto" w:fill="FFFFFF"/>
        <w:spacing w:after="0" w:line="240" w:lineRule="auto"/>
        <w:ind w:firstLine="709"/>
        <w:jc w:val="both"/>
        <w:rPr>
          <w:rFonts w:ascii="Times New Roman" w:eastAsia="Times New Roman" w:hAnsi="Times New Roman" w:cs="Times New Roman"/>
          <w:iCs/>
          <w:sz w:val="24"/>
          <w:szCs w:val="24"/>
          <w:lang w:eastAsia="ru-RU"/>
        </w:rPr>
      </w:pPr>
      <w:r>
        <w:rPr>
          <w:rFonts w:ascii="Times New Roman" w:eastAsia="Times New Roman" w:hAnsi="Times New Roman" w:cs="Times New Roman"/>
          <w:bCs/>
          <w:iCs/>
          <w:sz w:val="24"/>
          <w:szCs w:val="24"/>
          <w:lang w:eastAsia="ru-RU"/>
        </w:rPr>
        <w:t>Ревизионная комиссия Общества избирается Общим собранием акционеров на срок до следующего годового Общего собрания акционеров.</w:t>
      </w:r>
    </w:p>
    <w:p w:rsidR="00D602D4" w:rsidRDefault="000B4C86">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bCs/>
          <w:iCs/>
          <w:sz w:val="24"/>
          <w:szCs w:val="24"/>
          <w:lang w:eastAsia="ru-RU"/>
        </w:rPr>
        <w:t>В соответствии с п. 24.2 ст. 24 Устава Общества количественный состав Ревизионной комиссии составляет 5 человек.</w:t>
      </w:r>
    </w:p>
    <w:p w:rsidR="00D602D4" w:rsidRDefault="000B4C86">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В 2024 году действовало два состава Ревизионной комиссии.</w:t>
      </w:r>
    </w:p>
    <w:p w:rsidR="00D602D4" w:rsidRDefault="00D602D4">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p>
    <w:p w:rsidR="00D602D4" w:rsidRDefault="000B4C86">
      <w:pPr>
        <w:shd w:val="clear" w:color="auto" w:fill="FFFFFF"/>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Состав Ревизионной комиссии, действовавшей с 01.01.2024 до 18.06.2024, избран решением годового Общего собрания акционеров Общества </w:t>
      </w:r>
      <w:r>
        <w:rPr>
          <w:rFonts w:ascii="Times New Roman" w:eastAsia="Calibri" w:hAnsi="Times New Roman" w:cs="Times New Roman"/>
          <w:sz w:val="24"/>
          <w:szCs w:val="24"/>
          <w:lang w:eastAsia="ru-RU"/>
        </w:rPr>
        <w:t>09.06.2023 (протокол от 14.06.2023 № 21) в следующем составе</w:t>
      </w:r>
      <w:r>
        <w:rPr>
          <w:rFonts w:ascii="Times New Roman" w:eastAsia="Times New Roman" w:hAnsi="Times New Roman" w:cs="Times New Roman"/>
          <w:bCs/>
          <w:iCs/>
          <w:sz w:val="24"/>
          <w:szCs w:val="24"/>
          <w:lang w:eastAsia="ru-RU"/>
        </w:rPr>
        <w:t>:</w:t>
      </w:r>
    </w:p>
    <w:p w:rsidR="00D602D4" w:rsidRDefault="000B4C86">
      <w:pPr>
        <w:spacing w:after="0" w:line="240" w:lineRule="auto"/>
        <w:ind w:firstLine="709"/>
        <w:contextualSpacing/>
        <w:jc w:val="right"/>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Таблица 107</w:t>
      </w:r>
    </w:p>
    <w:tbl>
      <w:tblPr>
        <w:tblW w:w="9771" w:type="dxa"/>
        <w:tblLayout w:type="fixed"/>
        <w:tblCellMar>
          <w:left w:w="0" w:type="dxa"/>
          <w:right w:w="0" w:type="dxa"/>
        </w:tblCellMar>
        <w:tblLook w:val="04A0" w:firstRow="1" w:lastRow="0" w:firstColumn="1" w:lastColumn="0" w:noHBand="0" w:noVBand="1"/>
      </w:tblPr>
      <w:tblGrid>
        <w:gridCol w:w="567"/>
        <w:gridCol w:w="2268"/>
        <w:gridCol w:w="6936"/>
      </w:tblGrid>
      <w:tr w:rsidR="00D602D4">
        <w:trPr>
          <w:trHeight w:val="386"/>
          <w:tblHeader/>
        </w:trPr>
        <w:tc>
          <w:tcPr>
            <w:tcW w:w="56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D602D4" w:rsidRDefault="000B4C86">
            <w:pPr>
              <w:spacing w:after="0" w:line="240" w:lineRule="auto"/>
              <w:jc w:val="center"/>
              <w:rPr>
                <w:rFonts w:ascii="Times New Roman" w:eastAsia="Calibri" w:hAnsi="Times New Roman" w:cs="Times New Roman"/>
                <w:b/>
                <w:bCs/>
                <w:sz w:val="20"/>
                <w:szCs w:val="20"/>
                <w:lang w:eastAsia="ru-RU"/>
              </w:rPr>
            </w:pPr>
            <w:r>
              <w:rPr>
                <w:rFonts w:ascii="Times New Roman" w:eastAsia="Calibri" w:hAnsi="Times New Roman" w:cs="Times New Roman"/>
                <w:b/>
                <w:bCs/>
                <w:sz w:val="20"/>
                <w:szCs w:val="20"/>
                <w:lang w:eastAsia="ru-RU"/>
              </w:rPr>
              <w:t>№</w:t>
            </w:r>
          </w:p>
        </w:tc>
        <w:tc>
          <w:tcPr>
            <w:tcW w:w="2268"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rsidR="00D602D4" w:rsidRDefault="000B4C86">
            <w:pPr>
              <w:spacing w:after="0" w:line="240" w:lineRule="auto"/>
              <w:jc w:val="center"/>
              <w:rPr>
                <w:rFonts w:ascii="Times New Roman" w:eastAsia="Calibri" w:hAnsi="Times New Roman" w:cs="Times New Roman"/>
                <w:b/>
                <w:bCs/>
                <w:sz w:val="20"/>
                <w:szCs w:val="20"/>
                <w:lang w:eastAsia="ru-RU"/>
              </w:rPr>
            </w:pPr>
            <w:r>
              <w:rPr>
                <w:rFonts w:ascii="Times New Roman" w:eastAsia="Calibri" w:hAnsi="Times New Roman" w:cs="Times New Roman"/>
                <w:b/>
                <w:bCs/>
                <w:sz w:val="20"/>
                <w:szCs w:val="20"/>
                <w:lang w:eastAsia="ru-RU"/>
              </w:rPr>
              <w:t>ФИО</w:t>
            </w:r>
          </w:p>
        </w:tc>
        <w:tc>
          <w:tcPr>
            <w:tcW w:w="6937"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rsidR="00D602D4" w:rsidRDefault="000B4C86">
            <w:pPr>
              <w:spacing w:after="0" w:line="240" w:lineRule="auto"/>
              <w:jc w:val="center"/>
              <w:rPr>
                <w:rFonts w:ascii="Times New Roman" w:eastAsia="Calibri" w:hAnsi="Times New Roman" w:cs="Times New Roman"/>
                <w:b/>
                <w:bCs/>
                <w:sz w:val="20"/>
                <w:szCs w:val="20"/>
                <w:lang w:eastAsia="ru-RU"/>
              </w:rPr>
            </w:pPr>
            <w:r>
              <w:rPr>
                <w:rFonts w:ascii="Times New Roman" w:eastAsia="Calibri" w:hAnsi="Times New Roman" w:cs="Times New Roman"/>
                <w:b/>
                <w:bCs/>
                <w:sz w:val="20"/>
                <w:szCs w:val="20"/>
                <w:lang w:eastAsia="ru-RU"/>
              </w:rPr>
              <w:t>Информация о членах Ревизионной комиссии (на момент избрания)</w:t>
            </w:r>
          </w:p>
        </w:tc>
      </w:tr>
      <w:tr w:rsidR="00D602D4">
        <w:tc>
          <w:tcPr>
            <w:tcW w:w="567"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1</w:t>
            </w:r>
          </w:p>
        </w:tc>
        <w:tc>
          <w:tcPr>
            <w:tcW w:w="226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Ульянов Антон Сергеевич</w:t>
            </w:r>
          </w:p>
        </w:tc>
        <w:tc>
          <w:tcPr>
            <w:tcW w:w="69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Год рождения: 1979.</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Образование: высшее</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ГОУВПО «Московская государственная юридическая академия», специальность «Юриспруденция», квалификация «Юрист», год окончания – 2004.</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Ассоциация «Институт внутренних аудиторов», профессиональная переподготовка, уровень «Аудитор-консультант», год окончания – 2021.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ООО Учебный центр Ассоциация «Институт внутренних аудиторов», профессиональная переподготовка. Профстандарт «Внутренний аудитор», уровень «Профессионал», год окончания – 2021.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ООО «КУМЦ АПР», профессиональная переподготовка. Руководитель подразделения внутреннего контроля. Профстандарт «Специалист по внутреннему контролю (внутренний контролер). Уровень 7», год окончания – 2021.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Опыт работы:</w:t>
            </w:r>
          </w:p>
          <w:p w:rsidR="00D602D4" w:rsidRDefault="000B4C86">
            <w:pPr>
              <w:spacing w:after="0" w:line="240" w:lineRule="auto"/>
              <w:jc w:val="both"/>
              <w:rPr>
                <w:rFonts w:ascii="Times New Roman" w:eastAsia="Calibri" w:hAnsi="Times New Roman" w:cs="Times New Roman"/>
                <w:sz w:val="20"/>
                <w:szCs w:val="20"/>
                <w:highlight w:val="yellow"/>
                <w:lang w:eastAsia="ru-RU"/>
              </w:rPr>
            </w:pPr>
            <w:r>
              <w:rPr>
                <w:rFonts w:ascii="Times New Roman" w:eastAsia="Calibri" w:hAnsi="Times New Roman" w:cs="Times New Roman"/>
                <w:sz w:val="20"/>
                <w:szCs w:val="20"/>
                <w:lang w:eastAsia="ru-RU"/>
              </w:rPr>
              <w:t>с 2017 года по 2021 год - Заместитель начальника управления – начальник отдела Генеральной прокуратуры Российской Федерации;</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2021 года по 2021 год - Главный советник, Аппарат Генерального директора ПАО «Россети»;</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2021 года по 2022 год - Директор по внутреннему контролю и управлению рисками – начальник Департамента внутреннего контроля и управления рисками ПАО «ФСК ЕЭС»;</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2021 года по 2022 год -</w:t>
            </w:r>
            <w:r>
              <w:rPr>
                <w:rFonts w:ascii="Times New Roman" w:eastAsia="Calibri" w:hAnsi="Times New Roman" w:cs="Times New Roman"/>
                <w:sz w:val="20"/>
                <w:szCs w:val="20"/>
                <w:lang w:eastAsia="ru-RU"/>
              </w:rPr>
              <w:tab/>
              <w:t>Директор по внутреннему контролю и управлению рисками – начальник Департамента внутреннего контроля и управления рисками ПАО «Россети» (по совместительству);</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2022 год по настоящее время - Директор по внутреннему аудиту - начальник Департамента внутреннего аудита Публичного акционерного общества «Федеральная сетевая компания — Россети» (до 12.10.2022 – ПАО «ФСК </w:t>
            </w:r>
            <w:r>
              <w:rPr>
                <w:rFonts w:ascii="Times New Roman" w:eastAsia="Calibri" w:hAnsi="Times New Roman" w:cs="Times New Roman"/>
                <w:sz w:val="20"/>
                <w:szCs w:val="20"/>
                <w:lang w:eastAsia="ru-RU"/>
              </w:rPr>
              <w:lastRenderedPageBreak/>
              <w:t>ЕЭС»).</w:t>
            </w:r>
          </w:p>
        </w:tc>
      </w:tr>
      <w:tr w:rsidR="00D602D4">
        <w:tc>
          <w:tcPr>
            <w:tcW w:w="567"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lastRenderedPageBreak/>
              <w:t>2</w:t>
            </w:r>
          </w:p>
        </w:tc>
        <w:tc>
          <w:tcPr>
            <w:tcW w:w="226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Царьков Виктор Владимирович</w:t>
            </w:r>
          </w:p>
        </w:tc>
        <w:tc>
          <w:tcPr>
            <w:tcW w:w="69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Год рождения: 1977.</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Образование: высшее</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Московский институт экономики, менеджмента и права, квалификация «Экономист», год окончания - 2005.</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Российская Академия Государственной службы при Президенте </w:t>
            </w:r>
            <w:r>
              <w:rPr>
                <w:rFonts w:ascii="Times New Roman" w:eastAsia="Times New Roman" w:hAnsi="Times New Roman" w:cs="Times New Roman"/>
                <w:sz w:val="20"/>
                <w:szCs w:val="20"/>
              </w:rPr>
              <w:t>Российской Федерации</w:t>
            </w:r>
            <w:r>
              <w:rPr>
                <w:rFonts w:ascii="Times New Roman" w:eastAsia="Calibri" w:hAnsi="Times New Roman" w:cs="Times New Roman"/>
                <w:sz w:val="20"/>
                <w:szCs w:val="20"/>
                <w:lang w:eastAsia="ru-RU"/>
              </w:rPr>
              <w:t>, квалификация «Менеджер», специальность «Государственное и муниципальное управление», год окончания - 2007.</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Саморегулируемая организация аудиторов «Российский союз аудиторов» (Ассоциация), «Учебно-методический центр Российского союза аудиторов «Интрекон-интеллект», квалификация – «Профессиональный внутренний аудитор», год окончания – 2017.</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 Ассоциация «Институт внутренних аудиторов», квалификация - Главный аудитор (7 уровень квалификации), дата выдачи – 23.11.2023.</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Опыт работы:</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2020 года по 2022 год – Первый заместитель начальника Департамента внутреннего аудита ПАО «Россети» (по совместительству);</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2017 года по настоящее время – Первый заместитель начальника Департамента внутреннего аудита Публичного акционерного общества «Федеральная сетевая компания — Россети» (до 12.10.2022 - ПАО «ФСК - Россети»).</w:t>
            </w:r>
          </w:p>
        </w:tc>
      </w:tr>
      <w:tr w:rsidR="00D602D4">
        <w:tc>
          <w:tcPr>
            <w:tcW w:w="567"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3</w:t>
            </w:r>
          </w:p>
        </w:tc>
        <w:tc>
          <w:tcPr>
            <w:tcW w:w="226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Тришина </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Светлана Михайловна</w:t>
            </w:r>
          </w:p>
        </w:tc>
        <w:tc>
          <w:tcPr>
            <w:tcW w:w="69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Год рождения: 1979.</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Образование: высшее</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Амурский государственный университет, квалификация «Экономист по финансовой работе, банковской работник», специальность «Финансы и кредит», год окончания – 2001.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Международная академии экспертизы и оценки, профессиональная переподготовка по специальности «Внутренний аудит и контроль в коммерческих организациях», год окончания – 2018.</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Международная академия экспертизы и оценки, повышение квалификации по специальности «Внутренний аудит», год окончания – 2021.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ООО «Центр реформ предприятий», квалификационный сертификат (Приказ Минтруда № 398н). Код Е квалификация 7 «управление (руководство) службой внутреннего аудита», дата выдачи 01.12.2021.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Опыт работы:</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2020 года по 2022 год – Заместитель начальника Департамента внутреннего аудита – начальник управления корпоративного аудита и контроля ДО Департамента внутреннего аудита ПАО «Россети» (по совместительству);</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2017 года – по настоящее время – Начальник Отдела финансового аудита; начальник Отдела финансового аудита, методологии и отчетности; начальник Отдела корпоративного аудита и контроля ДО; заместитель начальника Департамента внутреннего аудита – начальник управления корпоративного аудита и контроля ДО Департамента внутреннего аудита Публичного акционерного общества «Федеральная сетевая компания — Россети» (до 12.10.2022 - ПАО «ФСК ЕЭС»).</w:t>
            </w:r>
          </w:p>
        </w:tc>
      </w:tr>
      <w:tr w:rsidR="00D602D4">
        <w:tc>
          <w:tcPr>
            <w:tcW w:w="567"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4</w:t>
            </w:r>
          </w:p>
        </w:tc>
        <w:tc>
          <w:tcPr>
            <w:tcW w:w="226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Остроухова Ольга Викторовна</w:t>
            </w:r>
          </w:p>
        </w:tc>
        <w:tc>
          <w:tcPr>
            <w:tcW w:w="69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Год рождения: 1975.</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Образование: высшее</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Московский государственный горный университет, степень бакалавра техники и технологии, специальность «Информатика и вычислительная техника», год окончания – 1996.</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Московский государственный горный университет, степень магистра техники и технологии, специальность «Информационное и программное обеспечение САПР», год окончания – 1998.</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Московский государственный университет экономики, статистики и информатики (МЭСИ), специальность «Финансы и кредит», квалификация «Экономист», год окончания – 2001.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Центр оценки квалификации Ассоциация «Институт внутренних аудиторов», квалификация – Главный аудитор (7 уровень квалификации), дата выдачи – 10.10.2022.</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Опыт работы:</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2019 года по 2023 год – Главный эксперт Департамента внутреннего аудита, </w:t>
            </w:r>
            <w:r>
              <w:rPr>
                <w:rFonts w:ascii="Times New Roman" w:eastAsia="Calibri" w:hAnsi="Times New Roman" w:cs="Times New Roman"/>
                <w:sz w:val="20"/>
                <w:szCs w:val="20"/>
                <w:lang w:eastAsia="ru-RU"/>
              </w:rPr>
              <w:lastRenderedPageBreak/>
              <w:t>Главный эксперт Управления корпоративного аудита и контроля ДО Департамента внутреннего аудита ПАО «Россети»;</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2020 года по 2022 год – Главный эксперт Управления корпоративного аудита и контроля ДО Департамента внутреннего аудита ПАО «ФСК ЕЭС» (с 12.10.2022 - Публичное акционерное общество «Федеральная сетевая компания – Россети») (по совместительству);</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2023 года по настоящее время – Главный эксперт Управления корпоративного аудита и контроля ДО Департамента внутреннего аудита</w:t>
            </w:r>
            <w:r>
              <w:rPr>
                <w:rFonts w:ascii="Times New Roman" w:eastAsia="Times New Roman" w:hAnsi="Times New Roman" w:cs="Times New Roman"/>
                <w:sz w:val="20"/>
                <w:szCs w:val="20"/>
                <w:highlight w:val="green"/>
                <w:lang w:eastAsia="ru-RU"/>
              </w:rPr>
              <w:t xml:space="preserve"> </w:t>
            </w:r>
            <w:r>
              <w:rPr>
                <w:rFonts w:ascii="Times New Roman" w:eastAsia="Calibri" w:hAnsi="Times New Roman" w:cs="Times New Roman"/>
                <w:sz w:val="20"/>
                <w:szCs w:val="20"/>
                <w:lang w:eastAsia="ru-RU"/>
              </w:rPr>
              <w:t>Публичного акционерного общества «Федеральная сетевая компания – Россети».</w:t>
            </w:r>
          </w:p>
        </w:tc>
      </w:tr>
      <w:tr w:rsidR="00D602D4">
        <w:tc>
          <w:tcPr>
            <w:tcW w:w="567"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lastRenderedPageBreak/>
              <w:t>5</w:t>
            </w:r>
          </w:p>
        </w:tc>
        <w:tc>
          <w:tcPr>
            <w:tcW w:w="226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Рогачев Кирилл Евгеньевич</w:t>
            </w:r>
          </w:p>
        </w:tc>
        <w:tc>
          <w:tcPr>
            <w:tcW w:w="69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Год рождения: 1984.</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Образование: высшее</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МАТИ – Российский государственный технологический университет им. К.Э. Циолковского, квалификация «Экономист-менеджер», специальность «Экономика и управление предприятием», год окончания – 2006.</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Московский пограничный институт Федеральной службы безопасности </w:t>
            </w:r>
            <w:r>
              <w:rPr>
                <w:rFonts w:ascii="Times New Roman" w:eastAsia="Times New Roman" w:hAnsi="Times New Roman" w:cs="Times New Roman"/>
                <w:sz w:val="20"/>
                <w:szCs w:val="20"/>
              </w:rPr>
              <w:t>Российской Федерации</w:t>
            </w:r>
            <w:r>
              <w:rPr>
                <w:rFonts w:ascii="Times New Roman" w:eastAsia="Calibri" w:hAnsi="Times New Roman" w:cs="Times New Roman"/>
                <w:sz w:val="20"/>
                <w:szCs w:val="20"/>
                <w:lang w:eastAsia="ru-RU"/>
              </w:rPr>
              <w:t>, квалификация «Юрист», специальность «</w:t>
            </w:r>
            <w:r>
              <w:rPr>
                <w:rFonts w:ascii="Times New Roman" w:eastAsia="Calibri" w:hAnsi="Times New Roman" w:cs="Times New Roman"/>
                <w:bCs/>
                <w:sz w:val="20"/>
                <w:szCs w:val="20"/>
                <w:lang w:eastAsia="ru-RU"/>
              </w:rPr>
              <w:t>Юриспруденция.</w:t>
            </w:r>
            <w:r>
              <w:rPr>
                <w:rFonts w:ascii="Times New Roman" w:eastAsia="Calibri" w:hAnsi="Times New Roman" w:cs="Times New Roman"/>
                <w:sz w:val="20"/>
                <w:szCs w:val="20"/>
                <w:lang w:eastAsia="ru-RU"/>
              </w:rPr>
              <w:t xml:space="preserve"> Государственно-правовая», год окончания - 2011.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ООДПО «Международная академия экспертизы и оценки», повышение квалификации «Внутренний аудит», год окончания – 2021.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ООО «Центр реформ предприятий», квалификационный сертификат (Приказ Минтруда № 398н). Код Е, квалификация – «Управление (руководство) службой внутреннего аудита», дата выдачи – 01.12.2021.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Опыт работы:</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2020 года – по 2022 - Главный эксперт Управления операционного аудита Департамента внутреннего аудита, Начальник Управления операционного аудита ПАО «Россети» (по совместительству);</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2010 года по настоящее время – Главный эксперт Управления операционного аудита Департамента внутреннего аудита, Начальник Управления операционного аудита Департамента внутреннего аудита Публичного акционерного общества «Федеральная сетевая компания – Россети (до 12.10.2022 - ПАО «ФСК ЕЭС»).</w:t>
            </w:r>
          </w:p>
        </w:tc>
      </w:tr>
    </w:tbl>
    <w:p w:rsidR="00D602D4" w:rsidRDefault="000B4C86">
      <w:pPr>
        <w:spacing w:after="0" w:line="240" w:lineRule="auto"/>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Основное место работы членов Ревизионной комиссии указано на момент избрания.</w:t>
      </w:r>
    </w:p>
    <w:p w:rsidR="00D602D4" w:rsidRDefault="00D602D4">
      <w:pPr>
        <w:spacing w:after="0" w:line="240" w:lineRule="auto"/>
        <w:jc w:val="both"/>
        <w:rPr>
          <w:rFonts w:ascii="Times New Roman" w:eastAsia="Calibri" w:hAnsi="Times New Roman" w:cs="Times New Roman"/>
          <w:sz w:val="24"/>
          <w:szCs w:val="24"/>
          <w:lang w:eastAsia="ru-RU"/>
        </w:rPr>
      </w:pPr>
    </w:p>
    <w:p w:rsidR="00D602D4" w:rsidRDefault="000B4C86">
      <w:pPr>
        <w:spacing w:after="0" w:line="240" w:lineRule="auto"/>
        <w:ind w:firstLine="708"/>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Действующий по состоянию на 31.12.2024 состав Ревизионной комиссии ПАО «Россети Сибирь» избран годовым Общим собранием акционеров 18.06.2024 (протокол от 20.06.2024 № 22) в следующем составе:</w:t>
      </w:r>
    </w:p>
    <w:p w:rsidR="00D602D4" w:rsidRDefault="000B4C86">
      <w:pPr>
        <w:spacing w:after="0" w:line="240" w:lineRule="auto"/>
        <w:ind w:firstLine="708"/>
        <w:jc w:val="right"/>
        <w:rPr>
          <w:rFonts w:ascii="Times New Roman" w:eastAsia="Calibri" w:hAnsi="Times New Roman" w:cs="Times New Roman"/>
          <w:sz w:val="24"/>
          <w:szCs w:val="24"/>
          <w:lang w:eastAsia="ru-RU"/>
        </w:rPr>
      </w:pPr>
      <w:r>
        <w:rPr>
          <w:rFonts w:ascii="Times New Roman" w:eastAsia="Calibri" w:hAnsi="Times New Roman" w:cs="Times New Roman"/>
          <w:sz w:val="24"/>
          <w:szCs w:val="24"/>
          <w:lang w:val="en-US" w:eastAsia="ru-RU"/>
        </w:rPr>
        <w:t>Таблица</w:t>
      </w:r>
      <w:r>
        <w:rPr>
          <w:rFonts w:ascii="Times New Roman" w:eastAsia="Calibri" w:hAnsi="Times New Roman" w:cs="Times New Roman"/>
          <w:sz w:val="24"/>
          <w:szCs w:val="24"/>
        </w:rPr>
        <w:t xml:space="preserve"> 108</w:t>
      </w:r>
    </w:p>
    <w:tbl>
      <w:tblPr>
        <w:tblW w:w="9771" w:type="dxa"/>
        <w:tblLayout w:type="fixed"/>
        <w:tblCellMar>
          <w:left w:w="0" w:type="dxa"/>
          <w:right w:w="0" w:type="dxa"/>
        </w:tblCellMar>
        <w:tblLook w:val="04A0" w:firstRow="1" w:lastRow="0" w:firstColumn="1" w:lastColumn="0" w:noHBand="0" w:noVBand="1"/>
      </w:tblPr>
      <w:tblGrid>
        <w:gridCol w:w="567"/>
        <w:gridCol w:w="2268"/>
        <w:gridCol w:w="6936"/>
      </w:tblGrid>
      <w:tr w:rsidR="00D602D4">
        <w:trPr>
          <w:trHeight w:val="386"/>
          <w:tblHeader/>
        </w:trPr>
        <w:tc>
          <w:tcPr>
            <w:tcW w:w="56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rsidR="00D602D4" w:rsidRDefault="000B4C86">
            <w:pPr>
              <w:spacing w:after="0" w:line="240" w:lineRule="auto"/>
              <w:jc w:val="center"/>
              <w:rPr>
                <w:rFonts w:ascii="Times New Roman" w:eastAsia="Calibri" w:hAnsi="Times New Roman" w:cs="Times New Roman"/>
                <w:b/>
                <w:bCs/>
                <w:sz w:val="20"/>
                <w:szCs w:val="20"/>
                <w:lang w:eastAsia="ru-RU"/>
              </w:rPr>
            </w:pPr>
            <w:r>
              <w:rPr>
                <w:rFonts w:ascii="Times New Roman" w:eastAsia="Calibri" w:hAnsi="Times New Roman" w:cs="Times New Roman"/>
                <w:b/>
                <w:bCs/>
                <w:sz w:val="20"/>
                <w:szCs w:val="20"/>
                <w:lang w:eastAsia="ru-RU"/>
              </w:rPr>
              <w:t>№</w:t>
            </w:r>
          </w:p>
        </w:tc>
        <w:tc>
          <w:tcPr>
            <w:tcW w:w="2268"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rsidR="00D602D4" w:rsidRDefault="000B4C86">
            <w:pPr>
              <w:spacing w:after="0" w:line="240" w:lineRule="auto"/>
              <w:jc w:val="center"/>
              <w:rPr>
                <w:rFonts w:ascii="Times New Roman" w:eastAsia="Calibri" w:hAnsi="Times New Roman" w:cs="Times New Roman"/>
                <w:b/>
                <w:bCs/>
                <w:sz w:val="20"/>
                <w:szCs w:val="20"/>
                <w:lang w:eastAsia="ru-RU"/>
              </w:rPr>
            </w:pPr>
            <w:r>
              <w:rPr>
                <w:rFonts w:ascii="Times New Roman" w:eastAsia="Calibri" w:hAnsi="Times New Roman" w:cs="Times New Roman"/>
                <w:b/>
                <w:bCs/>
                <w:sz w:val="20"/>
                <w:szCs w:val="20"/>
                <w:lang w:eastAsia="ru-RU"/>
              </w:rPr>
              <w:t>ФИО</w:t>
            </w:r>
          </w:p>
        </w:tc>
        <w:tc>
          <w:tcPr>
            <w:tcW w:w="6937"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rsidR="00D602D4" w:rsidRDefault="000B4C86">
            <w:pPr>
              <w:spacing w:after="0" w:line="240" w:lineRule="auto"/>
              <w:jc w:val="center"/>
              <w:rPr>
                <w:rFonts w:ascii="Times New Roman" w:eastAsia="Calibri" w:hAnsi="Times New Roman" w:cs="Times New Roman"/>
                <w:b/>
                <w:bCs/>
                <w:sz w:val="20"/>
                <w:szCs w:val="20"/>
                <w:lang w:eastAsia="ru-RU"/>
              </w:rPr>
            </w:pPr>
            <w:r>
              <w:rPr>
                <w:rFonts w:ascii="Times New Roman" w:eastAsia="Calibri" w:hAnsi="Times New Roman" w:cs="Times New Roman"/>
                <w:b/>
                <w:bCs/>
                <w:sz w:val="20"/>
                <w:szCs w:val="20"/>
                <w:lang w:eastAsia="ru-RU"/>
              </w:rPr>
              <w:t>Информация о членах Ревизионной комиссии (на момент избрания)</w:t>
            </w:r>
          </w:p>
        </w:tc>
      </w:tr>
      <w:tr w:rsidR="00D602D4">
        <w:tc>
          <w:tcPr>
            <w:tcW w:w="567"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1</w:t>
            </w:r>
          </w:p>
        </w:tc>
        <w:tc>
          <w:tcPr>
            <w:tcW w:w="226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Ульянов Антон Сергеевич</w:t>
            </w:r>
          </w:p>
          <w:p w:rsidR="00D602D4" w:rsidRDefault="00D602D4">
            <w:pPr>
              <w:spacing w:after="0" w:line="240" w:lineRule="auto"/>
              <w:jc w:val="both"/>
              <w:rPr>
                <w:rFonts w:ascii="Times New Roman" w:eastAsia="Calibri" w:hAnsi="Times New Roman" w:cs="Times New Roman"/>
                <w:sz w:val="20"/>
                <w:szCs w:val="20"/>
                <w:lang w:eastAsia="ru-RU"/>
              </w:rPr>
            </w:pPr>
          </w:p>
        </w:tc>
        <w:tc>
          <w:tcPr>
            <w:tcW w:w="69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Год рождения: 1979.</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Образование: высшее</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ГОУВПО «Московская государственная юридическая академия», специальность «Юриспруденция», квалификация «Юрист», год окончания – 2004.</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ООО Учебный центр Ассоциация «Институт внутренних аудиторов», профессиональная переподготовка. Профстандарт «Внутренний аудитор», уровень «Профессионал», год окончания – 2021.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ООО «КУМЦ АПР», профессиональная переподготовка. Руководитель подразделения внутреннего контроля. Профстандарт «Специалист по внутреннему контролю (внутренний контролер). Уровень 7», год окончания – 2021.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Ассоциация «Институт внутренних аудиторов», профессиональная переподготовка, Главный аудитор, год окончания – 2024.</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Опыт работы:</w:t>
            </w:r>
          </w:p>
          <w:p w:rsidR="00D602D4" w:rsidRDefault="000B4C86">
            <w:pPr>
              <w:spacing w:after="0" w:line="240" w:lineRule="auto"/>
              <w:jc w:val="both"/>
              <w:rPr>
                <w:rFonts w:ascii="Times New Roman" w:eastAsia="Calibri" w:hAnsi="Times New Roman" w:cs="Times New Roman"/>
                <w:sz w:val="20"/>
                <w:szCs w:val="20"/>
                <w:highlight w:val="yellow"/>
                <w:lang w:eastAsia="ru-RU"/>
              </w:rPr>
            </w:pPr>
            <w:r>
              <w:rPr>
                <w:rFonts w:ascii="Times New Roman" w:eastAsia="Calibri" w:hAnsi="Times New Roman" w:cs="Times New Roman"/>
                <w:sz w:val="20"/>
                <w:szCs w:val="20"/>
                <w:lang w:eastAsia="ru-RU"/>
              </w:rPr>
              <w:t>с 2017 года по 2021 год - Заместитель начальника управления – начальник отдела Генеральной прокуратуры Российской Федерации;</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2021 года по 2021 год - Главный советник, Аппарат Генерального директора ПАО «Россети»;</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с 2021 года по 2022 год - Директор по внутреннему контролю и управлению </w:t>
            </w:r>
            <w:r>
              <w:rPr>
                <w:rFonts w:ascii="Times New Roman" w:eastAsia="Calibri" w:hAnsi="Times New Roman" w:cs="Times New Roman"/>
                <w:sz w:val="20"/>
                <w:szCs w:val="20"/>
                <w:lang w:eastAsia="ru-RU"/>
              </w:rPr>
              <w:lastRenderedPageBreak/>
              <w:t>рисками – начальник Департамента внутреннего контроля и управления рисками ПАО «ФСК ЕЭС»;</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2021 года по 2022 год -</w:t>
            </w:r>
            <w:r>
              <w:rPr>
                <w:rFonts w:ascii="Times New Roman" w:eastAsia="Calibri" w:hAnsi="Times New Roman" w:cs="Times New Roman"/>
                <w:sz w:val="20"/>
                <w:szCs w:val="20"/>
                <w:lang w:eastAsia="ru-RU"/>
              </w:rPr>
              <w:tab/>
              <w:t>Директор по внутреннему контролю и управлению рисками – начальник Департамента внутреннего контроля и управления рисками ПАО «Россети» (по совместительству);</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2022 год по настоящее время - Директор по внутреннему аудиту - начальник Департамента внутреннего аудита Публичного акционерного общества «Федеральная сетевая компания — Россети» (до 12.10.2022 – ПАО «ФСК ЕЭС»).</w:t>
            </w:r>
          </w:p>
        </w:tc>
      </w:tr>
      <w:tr w:rsidR="00D602D4">
        <w:tc>
          <w:tcPr>
            <w:tcW w:w="567"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lastRenderedPageBreak/>
              <w:t>2</w:t>
            </w:r>
          </w:p>
        </w:tc>
        <w:tc>
          <w:tcPr>
            <w:tcW w:w="226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Царьков Виктор Владимирович</w:t>
            </w:r>
          </w:p>
          <w:p w:rsidR="00D602D4" w:rsidRDefault="00D602D4">
            <w:pPr>
              <w:spacing w:after="0" w:line="240" w:lineRule="auto"/>
              <w:jc w:val="both"/>
              <w:rPr>
                <w:rFonts w:ascii="Times New Roman" w:eastAsia="Calibri" w:hAnsi="Times New Roman" w:cs="Times New Roman"/>
                <w:sz w:val="20"/>
                <w:szCs w:val="20"/>
                <w:lang w:eastAsia="ru-RU"/>
              </w:rPr>
            </w:pPr>
          </w:p>
        </w:tc>
        <w:tc>
          <w:tcPr>
            <w:tcW w:w="69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Год рождения: 1977.</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Образование: высшее</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Московский институт экономики, менеджмента и права, квалификация «Экономист», год окончания - 2005.</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Российская Академия Государственной службы при Президенте </w:t>
            </w:r>
            <w:r>
              <w:rPr>
                <w:rFonts w:ascii="Times New Roman" w:eastAsia="Times New Roman" w:hAnsi="Times New Roman" w:cs="Times New Roman"/>
                <w:sz w:val="20"/>
                <w:szCs w:val="20"/>
              </w:rPr>
              <w:t>Российской Федерации</w:t>
            </w:r>
            <w:r>
              <w:rPr>
                <w:rFonts w:ascii="Times New Roman" w:eastAsia="Calibri" w:hAnsi="Times New Roman" w:cs="Times New Roman"/>
                <w:sz w:val="20"/>
                <w:szCs w:val="20"/>
                <w:lang w:eastAsia="ru-RU"/>
              </w:rPr>
              <w:t>, квалификация «Менеджер», специальность «Государственное и муниципальное управление», год окончания - 2007.</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Саморегулируемая организация аудиторов «Российский союз аудиторов» (Ассоциация), «Учебно-методический центр Российского союза аудиторов «Интрекон-интеллект», квалификация – «Профессиональный внутренний аудитор», год окончания – 2017.</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 Ассоциация «Институт внутренних аудиторов», квалификация - Главный аудитор (7 уровень квалификации), дата выдачи – 23.11.2023.</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Опыт работы:</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2020 года по 2022 год – Первый заместитель начальника Департамента внутреннего аудита ПАО «Россети» (по совместительству);</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2017 года по настоящее время – Первый заместитель начальника Департамента внутреннего аудита Публичного акционерного общества «Федеральная сетевая компания — Россети» (до 12.10.2022 - ПАО «ФСК - Россети»).</w:t>
            </w:r>
          </w:p>
        </w:tc>
      </w:tr>
      <w:tr w:rsidR="00D602D4">
        <w:tc>
          <w:tcPr>
            <w:tcW w:w="567"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3</w:t>
            </w:r>
          </w:p>
        </w:tc>
        <w:tc>
          <w:tcPr>
            <w:tcW w:w="226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 xml:space="preserve">Тришина </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Светлана Михайловна</w:t>
            </w:r>
          </w:p>
          <w:p w:rsidR="00D602D4" w:rsidRDefault="00D602D4">
            <w:pPr>
              <w:spacing w:after="0" w:line="240" w:lineRule="auto"/>
              <w:jc w:val="both"/>
              <w:rPr>
                <w:rFonts w:ascii="Times New Roman" w:eastAsia="Calibri" w:hAnsi="Times New Roman" w:cs="Times New Roman"/>
                <w:sz w:val="20"/>
                <w:szCs w:val="20"/>
                <w:lang w:eastAsia="ru-RU"/>
              </w:rPr>
            </w:pPr>
          </w:p>
        </w:tc>
        <w:tc>
          <w:tcPr>
            <w:tcW w:w="69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Год рождения: 1979.</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Образование: высшее</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Амурский государственный университет, квалификация «Экономист по финансовой работе, банковской работник», специальность «Финансы и кредит», год окончания – 2001.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Международная академии экспертизы и оценки, профессиональная переподготовка по специальности «Внутренний аудит и контроль в коммерческих организациях», год окончания – 2018.</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Международная академия экспертизы и оценки, повышение квалификации по специальности «Внутренний аудит», год окончания – 2021.</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ООО «Центр реформ предприятий», квалификационный сертификат (Приказ Минтруда № 398н). Код Е квалификация 7 «Управление (руководство) службой внутреннего аудита», дата выдачи 18.10.2024.</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Опыт работы:</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2020 года по 2022 год – Заместитель начальника Департамента внутреннего аудита – начальник управления корпоративного аудита и контроля ДО Департамента внутреннего аудита ПАО «Россети» (по совместительству);</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2017 года – по настоящее время – Начальник Отдела финансового аудита; начальник Отдела финансового аудита, методологии и отчетности; начальник Отдела корпоративного аудита и контроля ДО; заместитель начальника Департамента внутреннего аудита – начальник управления корпоративного аудита и контроля ДО Департамента внутреннего аудита Публичного акционерного общества «Федеральная сетевая компания — Россети» (до 12.10.2022 - ПАО «ФСК ЕЭС»).</w:t>
            </w:r>
          </w:p>
        </w:tc>
      </w:tr>
      <w:tr w:rsidR="00D602D4">
        <w:tc>
          <w:tcPr>
            <w:tcW w:w="567"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highlight w:val="white"/>
              </w:rPr>
            </w:pPr>
            <w:r>
              <w:rPr>
                <w:rFonts w:ascii="Times New Roman" w:eastAsia="Calibri" w:hAnsi="Times New Roman" w:cs="Times New Roman"/>
                <w:sz w:val="20"/>
                <w:szCs w:val="20"/>
                <w:highlight w:val="white"/>
                <w:lang w:eastAsia="ru-RU"/>
              </w:rPr>
              <w:t>4</w:t>
            </w:r>
          </w:p>
        </w:tc>
        <w:tc>
          <w:tcPr>
            <w:tcW w:w="226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Скрынникова Людмила Станиславовна</w:t>
            </w:r>
          </w:p>
        </w:tc>
        <w:tc>
          <w:tcPr>
            <w:tcW w:w="69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Год рождения: 1979.</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Образование: высшее</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Киргизский национальный университет им. Дж. Баласагына, присвоена степень бакалавра по направлению «Экономика», год окончания – 2000.</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Киргизский национальный университет им. Дж. Баласагына, присвоена степень магистра по направлению «Экономика», год окончания – 2002.</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Центр оценки квалификации Ассоциации «Институт внутренних аудиторов», квалификация - Эксперт по внутреннему аудиту (7 уровень квалификации),</w:t>
            </w:r>
            <w:r>
              <w:rPr>
                <w:rFonts w:ascii="Times New Roman" w:eastAsia="Times New Roman" w:hAnsi="Times New Roman" w:cs="Times New Roman"/>
                <w:lang w:eastAsia="ru-RU"/>
              </w:rPr>
              <w:t xml:space="preserve"> </w:t>
            </w:r>
            <w:r>
              <w:rPr>
                <w:rFonts w:ascii="Times New Roman" w:eastAsia="Times New Roman" w:hAnsi="Times New Roman" w:cs="Times New Roman"/>
                <w:sz w:val="20"/>
                <w:szCs w:val="20"/>
                <w:lang w:eastAsia="ru-RU"/>
              </w:rPr>
              <w:lastRenderedPageBreak/>
              <w:t>дата выдачи</w:t>
            </w:r>
            <w:r>
              <w:rPr>
                <w:rFonts w:ascii="Times New Roman" w:eastAsia="Calibri" w:hAnsi="Times New Roman" w:cs="Times New Roman"/>
                <w:sz w:val="20"/>
                <w:szCs w:val="20"/>
                <w:highlight w:val="white"/>
                <w:lang w:eastAsia="ru-RU"/>
              </w:rPr>
              <w:t xml:space="preserve"> – 05.10.2022.</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Опыт работы:</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highlight w:val="white"/>
                <w:lang w:eastAsia="ru-RU"/>
              </w:rPr>
              <w:t>с 2019 года по 2023 год – Главный эксперт Управления ревизионной деятельности Департамента контрольно-ревизионной деятельности, главный эксперт Управления надзорной деятельности Департамента внутреннего контроля и управления рисками, главный эксперт Управления корпоративного а</w:t>
            </w:r>
            <w:r>
              <w:rPr>
                <w:rFonts w:ascii="Times New Roman" w:eastAsia="Calibri" w:hAnsi="Times New Roman" w:cs="Times New Roman"/>
                <w:sz w:val="20"/>
                <w:szCs w:val="20"/>
                <w:lang w:eastAsia="ru-RU"/>
              </w:rPr>
              <w:t>удита и контроля ДО Департамента внутреннего аудита ПАО «Россети»;</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2020 года по 2022 год – Главный эксперт Управления корпоративного аудита и контроля ДО Департамента внутреннего аудита ПАО «ФСК ЕЭС» (с 12.10.2022 - Публичное акционерное общество «ФСК ЕЭС – Россети») (по совместительству);</w:t>
            </w:r>
          </w:p>
          <w:p w:rsidR="00D602D4" w:rsidRDefault="000B4C86">
            <w:pPr>
              <w:spacing w:after="0" w:line="240" w:lineRule="auto"/>
              <w:jc w:val="both"/>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с 2023 года по настоящее время – Главный эксперт Управления корпоративного аудита и контроля ДО Департамента внутреннего аудита Публичного акционерного общества «Федеральная сетевая компания – Россети».</w:t>
            </w:r>
          </w:p>
        </w:tc>
      </w:tr>
      <w:tr w:rsidR="00D602D4">
        <w:tc>
          <w:tcPr>
            <w:tcW w:w="567"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highlight w:val="white"/>
              </w:rPr>
            </w:pPr>
            <w:r>
              <w:rPr>
                <w:rFonts w:ascii="Times New Roman" w:eastAsia="Calibri" w:hAnsi="Times New Roman" w:cs="Times New Roman"/>
                <w:sz w:val="20"/>
                <w:szCs w:val="20"/>
                <w:highlight w:val="white"/>
                <w:lang w:eastAsia="ru-RU"/>
              </w:rPr>
              <w:lastRenderedPageBreak/>
              <w:t>5</w:t>
            </w:r>
          </w:p>
        </w:tc>
        <w:tc>
          <w:tcPr>
            <w:tcW w:w="226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highlight w:val="white"/>
              </w:rPr>
            </w:pPr>
            <w:r>
              <w:rPr>
                <w:rFonts w:ascii="Times New Roman" w:eastAsia="Calibri" w:hAnsi="Times New Roman" w:cs="Times New Roman"/>
                <w:sz w:val="20"/>
                <w:szCs w:val="20"/>
                <w:highlight w:val="white"/>
                <w:lang w:eastAsia="ru-RU"/>
              </w:rPr>
              <w:t>Роптанова Елена Михайловна</w:t>
            </w:r>
          </w:p>
        </w:tc>
        <w:tc>
          <w:tcPr>
            <w:tcW w:w="693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Год рождения: 1974.</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Образование: высшее</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Самарская государственная экономическая академия, квалификация «Экономист-менеджер», специальность «Экономика и управление на предприятиях», год окончания – 1996.</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Квалификационный аттестат аудитора № К027540 в области общего аудита, выданный на основании приказа Минфина России от 20.07.2007 № 489.</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Центр оценки квалификации Ассоциации «Институт внутренних аудиторов», квалификация – Эксперт по внутреннему аудиту (7 уровень квалификации), дата выдачи – 13.10.2022.</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Опыт работы:</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с 2020 года – по 2022 - Главный эксперт Управления корпоративного аудита и контроля ДО Департамента внутреннего аудита ПАО «Россети» (по совместительству);</w:t>
            </w:r>
          </w:p>
          <w:p w:rsidR="00D602D4" w:rsidRDefault="000B4C86">
            <w:pPr>
              <w:spacing w:after="0" w:line="240" w:lineRule="auto"/>
              <w:jc w:val="both"/>
              <w:rPr>
                <w:rFonts w:ascii="Times New Roman" w:eastAsia="Calibri" w:hAnsi="Times New Roman" w:cs="Times New Roman"/>
                <w:sz w:val="20"/>
                <w:szCs w:val="20"/>
                <w:highlight w:val="white"/>
                <w:lang w:eastAsia="ru-RU"/>
              </w:rPr>
            </w:pPr>
            <w:r>
              <w:rPr>
                <w:rFonts w:ascii="Times New Roman" w:eastAsia="Calibri" w:hAnsi="Times New Roman" w:cs="Times New Roman"/>
                <w:sz w:val="20"/>
                <w:szCs w:val="20"/>
                <w:highlight w:val="white"/>
                <w:lang w:eastAsia="ru-RU"/>
              </w:rPr>
              <w:t>с 2020 года по настоящее время –  Главный эксперт Управления корпоративного аудита и контроля ДО Департамента внутреннего аудита Публичного акционерного общества «Федеральная сетевая компания – Россети») (до 12.10.2022 - ПАО «ФСК ЕЭС»).</w:t>
            </w:r>
          </w:p>
        </w:tc>
      </w:tr>
    </w:tbl>
    <w:p w:rsidR="00D602D4" w:rsidRDefault="00D602D4">
      <w:pPr>
        <w:spacing w:after="0" w:line="240" w:lineRule="auto"/>
        <w:jc w:val="both"/>
        <w:rPr>
          <w:rFonts w:ascii="Times New Roman" w:eastAsia="Calibri" w:hAnsi="Times New Roman" w:cs="Times New Roman"/>
          <w:sz w:val="24"/>
          <w:szCs w:val="24"/>
          <w:lang w:eastAsia="ru-RU"/>
        </w:rPr>
      </w:pPr>
    </w:p>
    <w:p w:rsidR="00D602D4" w:rsidRDefault="000B4C86">
      <w:pPr>
        <w:shd w:val="clear" w:color="auto" w:fill="FFFFFF"/>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Члены Ревизионной комиссии не имеют долей участия в уставном капитале (акций любых типов) ПАО «Россети Сибирь» и в уставном капитале дочерних зависимых обществ ПАО «Россети Сибирь». </w:t>
      </w:r>
    </w:p>
    <w:p w:rsidR="00D602D4" w:rsidRDefault="000B4C86">
      <w:pPr>
        <w:shd w:val="clear" w:color="auto" w:fill="FFFFFF"/>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Сделки между Обществом и членами Ревизионной комиссии в 2024 году не совершались. ПАО «Россети Сибирь» не предъявляло исков членам Ревизионной комиссии Общества.</w:t>
      </w:r>
    </w:p>
    <w:p w:rsidR="00D602D4" w:rsidRDefault="000B4C86">
      <w:pPr>
        <w:shd w:val="clear" w:color="auto" w:fill="FFFFFF"/>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На основании анкет, предоставленных членами Ревизионной комиссии, Общество считает:</w:t>
      </w:r>
    </w:p>
    <w:p w:rsidR="00D602D4" w:rsidRDefault="000B4C86">
      <w:pPr>
        <w:shd w:val="clear" w:color="auto" w:fill="FFFFFF"/>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члены Ревизионной комиссии не имеют родственных связей (супруги, родители, дети, усыновители, усыновленные, родные братья и сестры, дедушки, бабушки, внуки) с членами Совета директоров, членами коллегиального исполнительного органа, лицом, занимающим должность (осуществляющим функции) единоличного исполнительного органа ПАО «Россети Сибирь»;</w:t>
      </w:r>
    </w:p>
    <w:p w:rsidR="00D602D4" w:rsidRDefault="000B4C86">
      <w:pPr>
        <w:shd w:val="clear" w:color="auto" w:fill="FFFFFF"/>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члены Ревизионной комиссии не привлекались к административной ответственности за правонарушения в области финансов, налогов и сборов, страхования, рынка ценных бумаг или к уголовной ответственности (о наличии судимости) за преступления в сфере экономики и (или) за преступления против государственной власти;</w:t>
      </w:r>
    </w:p>
    <w:p w:rsidR="00D602D4" w:rsidRDefault="000B4C86">
      <w:pPr>
        <w:shd w:val="clear" w:color="auto" w:fill="FFFFFF"/>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члены Ревизионной комиссии не занимали должности в органах управления коммерческих организаций в период, когда в отношении указанных организаций было возбуждено дело о банкротстве и (или) введена одна из процедур банкротства, предусмотренных статьей 27 Федерального закона «О несостоятельности (банкротстве)».</w:t>
      </w:r>
    </w:p>
    <w:p w:rsidR="00D602D4" w:rsidRDefault="00D602D4">
      <w:pPr>
        <w:spacing w:after="0" w:line="240" w:lineRule="auto"/>
        <w:ind w:firstLine="709"/>
        <w:jc w:val="both"/>
        <w:rPr>
          <w:rFonts w:ascii="Times New Roman" w:eastAsia="Calibri" w:hAnsi="Times New Roman" w:cs="Times New Roman"/>
          <w:sz w:val="24"/>
          <w:szCs w:val="24"/>
          <w:lang w:eastAsia="ru-RU"/>
        </w:rPr>
      </w:pP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В 2024 году проведена ревизионная проверка финансово-хозяйственной деятельности Общества за 2023 год. </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Программа ревизионной проверки финансово-хозяйственной деятельности Общества включала следующие вопросы: оценка достоверности годовой бухгалтерской (финансовой) отчетности, сформированной по состоянию на 31.12.2023, анализ финансового положения и финансового состояния Общества по состоянию на 31.12.2023,  оценка достоверности Годового отчета Общества за 2023 год, проверка исполнения законодательства Российской Федерации в части соблюдения порядка заключения сделок с заинтересованностью, проверка деятельности Общества в области организации технологического и ценового аудитов отчетности о реализации инвестиционной программы Общества, а также мер, направленных на устранение нарушений и недостатков, содержащихся в заключениях экспертных организаций, подготовленных по результатам технологического и ценового аудита отчетов о реализации инвестиционной программы Общества, иные вопросы.</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Согласно Заключению Ревизионной комиссии, утвержденному Ревизионной комиссией Общества (протокол от 03.05.2023 № 4), выражено мнение о достоверности данных во всех существенных отношениях, содержащихся в годовом отчете Общества за 2023 год и в годовой бухгалтерской (финансовой) отчетности Общества за 2023 год. Фактов искажения информации, содержащейся в отчете о заключенных в 2023 году сделках, в совершении которых имеется заинтересованность, не выявлено. Указанное Заключение было включено в состав материалов, предоставленных акционерам Общества при подготовке к проведению годового Общего собрания акционеров Общества в 2024 году</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Действующим составом Ревизионной комиссии утверждена</w:t>
      </w:r>
      <w:r>
        <w:t xml:space="preserve"> </w:t>
      </w:r>
      <w:r>
        <w:rPr>
          <w:rFonts w:ascii="Times New Roman" w:eastAsia="Calibri" w:hAnsi="Times New Roman" w:cs="Times New Roman"/>
          <w:sz w:val="24"/>
          <w:szCs w:val="24"/>
        </w:rPr>
        <w:t>программа ревизионной проверки финансово-хозяйственной деятельности ПАО «Россети Сибирь» за 2024 год, включая утверждение объектов проверки, форму проведения проверки по каждому из объектов, объем проведения проверки (протокол от 20.12.2024 № 2), со сроком проведения проверки в период с февраля по июнь 2025 года.</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Выплата компенсаций и вознаграждений членам Ревизионной комиссии Общества осуществляется в соответствии с Положением о выплате членам Ревизионной комиссии ПАО «Россети Сибирь» вознаграждений и компенсаций, утвержденным годовым Общим собранием акционеров 08.06.2018 (протокол от 08.06.2018 №14). Выплата вознаграждений и компенсаций производится Обществом в денежной форме. Вознаграждение выплачивается члену Ревизионной комиссии Общества по итогам работы за корпоративный год и зависит от степени его участия в работе Ревизионной комиссии и размера базовой части вознаграждения, определенного исходя из выручки Общества, рассчитанной по Российским стандартам бухгалтерской отчетности за финансовый год. Вознаграждение выплачивается не позднее 30 календарных дней после годового Общего собрания акционеров Общества.</w:t>
      </w:r>
    </w:p>
    <w:p w:rsidR="00D602D4" w:rsidRDefault="000B4C86">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Суммарный размер вознаграждений и компенсаций, выплаченных в 2024 году членам Ревизионной комиссии Общества по итогам ревизионной проверки за 2023 год, составил 793,8 тыс. руб., с учетом НДФЛ.</w:t>
      </w:r>
    </w:p>
    <w:p w:rsidR="00D602D4" w:rsidRDefault="00D602D4">
      <w:pPr>
        <w:spacing w:after="0" w:line="240" w:lineRule="auto"/>
        <w:ind w:firstLine="709"/>
        <w:jc w:val="both"/>
        <w:rPr>
          <w:rFonts w:ascii="Times New Roman" w:eastAsia="Calibri" w:hAnsi="Times New Roman" w:cs="Times New Roman"/>
          <w:sz w:val="24"/>
          <w:szCs w:val="24"/>
        </w:rPr>
      </w:pPr>
    </w:p>
    <w:p w:rsidR="00D602D4" w:rsidRDefault="000B4C86">
      <w:pPr>
        <w:pStyle w:val="13"/>
        <w:spacing w:before="0" w:line="240" w:lineRule="auto"/>
        <w:rPr>
          <w:rFonts w:ascii="Times New Roman" w:hAnsi="Times New Roman" w:cs="Times New Roman"/>
          <w:b/>
          <w:bCs/>
          <w:color w:val="auto"/>
          <w:sz w:val="26"/>
          <w:szCs w:val="26"/>
        </w:rPr>
      </w:pPr>
      <w:bookmarkStart w:id="130" w:name="_Toc167"/>
      <w:r>
        <w:rPr>
          <w:rFonts w:ascii="Times New Roman" w:eastAsia="Times New Roman" w:hAnsi="Times New Roman" w:cs="Times New Roman"/>
          <w:b/>
          <w:color w:val="auto"/>
          <w:sz w:val="26"/>
          <w:szCs w:val="26"/>
        </w:rPr>
        <w:t>5.12. Внешняя аудиторская организация</w:t>
      </w:r>
      <w:bookmarkEnd w:id="130"/>
    </w:p>
    <w:p w:rsidR="00D602D4" w:rsidRDefault="00D602D4">
      <w:pPr>
        <w:pStyle w:val="13"/>
        <w:spacing w:before="0" w:line="240" w:lineRule="auto"/>
        <w:ind w:firstLine="709"/>
        <w:jc w:val="both"/>
        <w:rPr>
          <w:rFonts w:ascii="Times New Roman" w:hAnsi="Times New Roman" w:cs="Times New Roman"/>
          <w:b/>
          <w:bCs/>
          <w:color w:val="auto"/>
          <w:sz w:val="24"/>
          <w:szCs w:val="24"/>
        </w:rPr>
      </w:pPr>
    </w:p>
    <w:p w:rsidR="00D602D4" w:rsidRDefault="000B4C86">
      <w:pPr>
        <w:pStyle w:val="ac"/>
        <w:spacing w:after="0" w:line="240" w:lineRule="auto"/>
        <w:ind w:left="0"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В целях обеспечения независимости и объективности внешнего аудитора ПАО «Россети» по поручению Общества на Единой электронной торговой площадке ПАО «Россети» (</w:t>
      </w:r>
      <w:hyperlink r:id="rId108" w:tooltip="https://www.roseltorg.ru/" w:history="1">
        <w:r>
          <w:rPr>
            <w:rFonts w:ascii="Times New Roman" w:hAnsi="Times New Roman" w:cs="Times New Roman"/>
            <w:sz w:val="24"/>
            <w:szCs w:val="24"/>
            <w:highlight w:val="white"/>
          </w:rPr>
          <w:t>https://www.roseltorg.ru/</w:t>
        </w:r>
      </w:hyperlink>
      <w:r>
        <w:rPr>
          <w:rFonts w:ascii="Times New Roman" w:hAnsi="Times New Roman" w:cs="Times New Roman"/>
          <w:color w:val="000000" w:themeColor="text1"/>
          <w:sz w:val="24"/>
          <w:szCs w:val="24"/>
          <w:highlight w:val="white"/>
        </w:rPr>
        <w:t xml:space="preserve">) проведен конкурс в электронной форме на право заключения договора на оказание услуг по проведению обязательного ежегодного аудита отчетности РСБУ и аудита отчетности МСФО ДО ПАО «Россети» за 2024-2026 годы. По результатам конкурса и предложенной цене контракта, </w:t>
      </w:r>
      <w:r>
        <w:rPr>
          <w:rFonts w:ascii="Times New Roman" w:hAnsi="Times New Roman" w:cs="Times New Roman"/>
          <w:color w:val="000000" w:themeColor="text1"/>
          <w:sz w:val="24"/>
          <w:szCs w:val="24"/>
        </w:rPr>
        <w:t xml:space="preserve">по результатам сводной оценки экспертов и членов конкурсной комиссии (в баллах) по нестоимостным критериям (наличие документально подтвержденного опыта, квалификация аудиторов, объем выручки) </w:t>
      </w:r>
      <w:r>
        <w:rPr>
          <w:rFonts w:ascii="Times New Roman" w:hAnsi="Times New Roman" w:cs="Times New Roman"/>
          <w:color w:val="000000" w:themeColor="text1"/>
          <w:sz w:val="24"/>
          <w:szCs w:val="24"/>
          <w:highlight w:val="white"/>
        </w:rPr>
        <w:t xml:space="preserve">победителем признан Лидер коллективного участника - ООО «ЦАТР - </w:t>
      </w:r>
      <w:r>
        <w:rPr>
          <w:rFonts w:ascii="Times New Roman" w:hAnsi="Times New Roman" w:cs="Times New Roman"/>
          <w:color w:val="000000" w:themeColor="text1"/>
          <w:sz w:val="24"/>
          <w:szCs w:val="24"/>
          <w:highlight w:val="white"/>
          <w:lang w:val="en-US"/>
        </w:rPr>
        <w:t>a</w:t>
      </w:r>
      <w:r>
        <w:rPr>
          <w:rFonts w:ascii="Times New Roman" w:hAnsi="Times New Roman" w:cs="Times New Roman"/>
          <w:color w:val="000000" w:themeColor="text1"/>
          <w:sz w:val="24"/>
          <w:szCs w:val="24"/>
          <w:highlight w:val="white"/>
        </w:rPr>
        <w:t xml:space="preserve">удиторские услуги» (протокол заочного заседания конкурсной комиссии от 14.03.2024 № 4/2977634). </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 xml:space="preserve">Назначение аудиторской организацией ПАО «Россети Сибирь» коллективного </w:t>
      </w:r>
      <w:r>
        <w:rPr>
          <w:rFonts w:ascii="Times New Roman" w:hAnsi="Times New Roman" w:cs="Times New Roman"/>
          <w:color w:val="000000" w:themeColor="text1"/>
          <w:sz w:val="24"/>
          <w:szCs w:val="24"/>
          <w:highlight w:val="white"/>
        </w:rPr>
        <w:lastRenderedPageBreak/>
        <w:t>участника в составе ООО «ЦАТР – аудиторские услуги» (лидер коллективного участника) и ООО «Интерком-Аудит» (член коллективного участника), для проведения аудита отчетности Общества за 2024 год, состоялось по решению годового Общего собрания акционеров Общества 18.06.2024 (протокол от 20.06.2024 № 22)</w:t>
      </w:r>
      <w:r>
        <w:rPr>
          <w:rFonts w:ascii="Times New Roman" w:hAnsi="Times New Roman" w:cs="Times New Roman"/>
          <w:color w:val="000000" w:themeColor="text1"/>
          <w:sz w:val="24"/>
          <w:szCs w:val="24"/>
        </w:rPr>
        <w:t>.</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 xml:space="preserve">Сведения об аудиторской организации: </w:t>
      </w:r>
    </w:p>
    <w:p w:rsidR="00D602D4" w:rsidRDefault="000B4C86">
      <w:pPr>
        <w:widowControl w:val="0"/>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color w:val="000000" w:themeColor="text1"/>
          <w:sz w:val="24"/>
          <w:szCs w:val="24"/>
          <w:highlight w:val="white"/>
        </w:rPr>
        <w:t xml:space="preserve">1. Лидер коллективного участника - </w:t>
      </w:r>
      <w:r>
        <w:rPr>
          <w:rFonts w:ascii="Times New Roman" w:hAnsi="Times New Roman" w:cs="Times New Roman"/>
          <w:sz w:val="24"/>
          <w:szCs w:val="24"/>
          <w:highlight w:val="white"/>
        </w:rPr>
        <w:t xml:space="preserve">ООО «ЦАТР - aудиторские услуги», полное фирменное наименование </w:t>
      </w:r>
      <w:r>
        <w:rPr>
          <w:rFonts w:ascii="Times New Roman" w:hAnsi="Times New Roman" w:cs="Times New Roman"/>
          <w:color w:val="000000" w:themeColor="text1"/>
          <w:sz w:val="24"/>
          <w:szCs w:val="24"/>
          <w:highlight w:val="white"/>
        </w:rPr>
        <w:t>-</w:t>
      </w:r>
      <w:r>
        <w:rPr>
          <w:rFonts w:ascii="Times New Roman" w:hAnsi="Times New Roman" w:cs="Times New Roman"/>
          <w:sz w:val="24"/>
          <w:szCs w:val="24"/>
          <w:highlight w:val="white"/>
        </w:rPr>
        <w:t xml:space="preserve"> Общество с ограниченной ответственностью «Центр аудиторских технологий и решений </w:t>
      </w:r>
      <w:r>
        <w:rPr>
          <w:rFonts w:ascii="Times New Roman" w:hAnsi="Times New Roman" w:cs="Times New Roman"/>
          <w:color w:val="000000" w:themeColor="text1"/>
          <w:sz w:val="24"/>
          <w:szCs w:val="24"/>
          <w:highlight w:val="white"/>
        </w:rPr>
        <w:t>-</w:t>
      </w:r>
      <w:r>
        <w:rPr>
          <w:rFonts w:ascii="Times New Roman" w:hAnsi="Times New Roman" w:cs="Times New Roman"/>
          <w:sz w:val="24"/>
          <w:szCs w:val="24"/>
          <w:highlight w:val="white"/>
        </w:rPr>
        <w:t xml:space="preserve"> аудиторские услуги»:</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 xml:space="preserve">- основной государственный регистрационный номер: 1027739707203, дата внесения записи 05.12.2002, серия 77 № 007367150, выдано Министерством </w:t>
      </w:r>
      <w:r>
        <w:rPr>
          <w:rFonts w:ascii="Times New Roman" w:eastAsia="Times New Roman" w:hAnsi="Times New Roman" w:cs="Times New Roman"/>
          <w:sz w:val="24"/>
          <w:szCs w:val="24"/>
        </w:rPr>
        <w:t>Российской Федерации</w:t>
      </w:r>
      <w:r>
        <w:rPr>
          <w:rFonts w:ascii="Times New Roman" w:hAnsi="Times New Roman" w:cs="Times New Roman"/>
          <w:color w:val="000000" w:themeColor="text1"/>
          <w:sz w:val="24"/>
          <w:szCs w:val="24"/>
          <w:highlight w:val="white"/>
        </w:rPr>
        <w:t xml:space="preserve"> по налогам и сборам. Запись об изменении адреса юридического лица - ГРН 2247704504750 внесена в ЕГРЮЛ 07.05.2024;</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 ИНН 7709383532;</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 КПП 770501001;</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 ОКПО 59002827;</w:t>
      </w:r>
    </w:p>
    <w:p w:rsidR="00D602D4" w:rsidRDefault="000B4C86">
      <w:pPr>
        <w:widowControl w:val="0"/>
        <w:spacing w:after="0" w:line="240" w:lineRule="auto"/>
        <w:ind w:left="709"/>
        <w:jc w:val="both"/>
        <w:rPr>
          <w:rFonts w:ascii="Times New Roman" w:hAnsi="Times New Roman" w:cs="Times New Roman"/>
          <w:sz w:val="24"/>
          <w:szCs w:val="24"/>
        </w:rPr>
      </w:pPr>
      <w:r>
        <w:rPr>
          <w:rFonts w:ascii="Times New Roman" w:hAnsi="Times New Roman" w:cs="Times New Roman"/>
          <w:sz w:val="24"/>
          <w:szCs w:val="24"/>
          <w:highlight w:val="white"/>
        </w:rPr>
        <w:t xml:space="preserve">- </w:t>
      </w:r>
      <w:r>
        <w:rPr>
          <w:rFonts w:ascii="Times New Roman" w:hAnsi="Times New Roman" w:cs="Times New Roman"/>
          <w:sz w:val="24"/>
          <w:szCs w:val="24"/>
        </w:rPr>
        <w:t>ОКВЭД 69.20.1;</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 телефон +7 (495) 755-97-00, факс +7 (495) 755-97-01;</w:t>
      </w:r>
    </w:p>
    <w:p w:rsidR="00D602D4" w:rsidRDefault="000B4C86">
      <w:pPr>
        <w:pStyle w:val="ac"/>
        <w:tabs>
          <w:tab w:val="left" w:pos="993"/>
        </w:tabs>
        <w:spacing w:after="0" w:line="240" w:lineRule="auto"/>
        <w:ind w:left="0"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 юридический адрес: Россия, 115035, Москва, Садовническая набережная, дом 75, строение 1;</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themeColor="text1"/>
          <w:sz w:val="24"/>
          <w:szCs w:val="24"/>
        </w:rPr>
        <w:t xml:space="preserve">- адрес электронной </w:t>
      </w:r>
      <w:r>
        <w:rPr>
          <w:rStyle w:val="ab"/>
          <w:rFonts w:ascii="Times New Roman" w:eastAsia="Times New Roman" w:hAnsi="Times New Roman" w:cs="Times New Roman"/>
          <w:color w:val="000000" w:themeColor="text1"/>
          <w:sz w:val="24"/>
          <w:szCs w:val="24"/>
          <w:u w:val="none"/>
        </w:rPr>
        <w:t xml:space="preserve">почты </w:t>
      </w:r>
      <w:r>
        <w:rPr>
          <w:rStyle w:val="ab"/>
          <w:rFonts w:ascii="Times New Roman" w:eastAsia="Times New Roman" w:hAnsi="Times New Roman" w:cs="Times New Roman"/>
          <w:sz w:val="24"/>
          <w:szCs w:val="24"/>
          <w:lang w:val="en-US"/>
        </w:rPr>
        <w:t> </w:t>
      </w:r>
      <w:hyperlink r:id="rId109" w:tooltip="mailto:info@b1.ru" w:history="1">
        <w:r>
          <w:rPr>
            <w:rStyle w:val="ab"/>
            <w:rFonts w:ascii="Times New Roman" w:eastAsia="Times New Roman" w:hAnsi="Times New Roman" w:cs="Times New Roman"/>
            <w:sz w:val="24"/>
            <w:szCs w:val="24"/>
            <w:lang w:val="en-US"/>
          </w:rPr>
          <w:t>info</w:t>
        </w:r>
        <w:r>
          <w:rPr>
            <w:rStyle w:val="ab"/>
            <w:rFonts w:ascii="Times New Roman" w:eastAsia="Times New Roman" w:hAnsi="Times New Roman" w:cs="Times New Roman"/>
            <w:sz w:val="24"/>
            <w:szCs w:val="24"/>
          </w:rPr>
          <w:t>@</w:t>
        </w:r>
        <w:r>
          <w:rPr>
            <w:rStyle w:val="ab"/>
            <w:rFonts w:ascii="Times New Roman" w:eastAsia="Times New Roman" w:hAnsi="Times New Roman" w:cs="Times New Roman"/>
            <w:sz w:val="24"/>
            <w:szCs w:val="24"/>
            <w:lang w:val="en-US"/>
          </w:rPr>
          <w:t>b</w:t>
        </w:r>
        <w:r>
          <w:rPr>
            <w:rStyle w:val="ab"/>
            <w:rFonts w:ascii="Times New Roman" w:eastAsia="Times New Roman" w:hAnsi="Times New Roman" w:cs="Times New Roman"/>
            <w:sz w:val="24"/>
            <w:szCs w:val="24"/>
          </w:rPr>
          <w:t>1.</w:t>
        </w:r>
        <w:r>
          <w:rPr>
            <w:rStyle w:val="ab"/>
            <w:rFonts w:ascii="Times New Roman" w:eastAsia="Times New Roman" w:hAnsi="Times New Roman" w:cs="Times New Roman"/>
            <w:sz w:val="24"/>
            <w:szCs w:val="24"/>
            <w:lang w:val="en-US"/>
          </w:rPr>
          <w:t>ru</w:t>
        </w:r>
      </w:hyperlink>
      <w:r>
        <w:rPr>
          <w:rFonts w:ascii="Times New Roman" w:hAnsi="Times New Roman" w:cs="Times New Roman"/>
          <w:sz w:val="24"/>
          <w:szCs w:val="24"/>
        </w:rPr>
        <w:t>;</w:t>
      </w:r>
    </w:p>
    <w:p w:rsidR="00D602D4" w:rsidRDefault="000B4C86">
      <w:pPr>
        <w:pStyle w:val="ac"/>
        <w:tabs>
          <w:tab w:val="left" w:pos="993"/>
        </w:tabs>
        <w:spacing w:after="0" w:line="240" w:lineRule="auto"/>
        <w:ind w:left="0" w:firstLine="709"/>
        <w:jc w:val="both"/>
        <w:rPr>
          <w:rFonts w:ascii="Times New Roman" w:hAnsi="Times New Roman" w:cs="Times New Roman"/>
          <w:color w:val="000000" w:themeColor="text1"/>
          <w:sz w:val="24"/>
          <w:szCs w:val="24"/>
          <w:highlight w:val="white"/>
        </w:rPr>
      </w:pPr>
      <w:r>
        <w:rPr>
          <w:rFonts w:ascii="Times New Roman" w:eastAsia="Times New Roman" w:hAnsi="Times New Roman" w:cs="Times New Roman"/>
          <w:color w:val="000000" w:themeColor="text1"/>
          <w:sz w:val="24"/>
          <w:szCs w:val="24"/>
        </w:rPr>
        <w:t xml:space="preserve">- адрес интернет-сайта аудитора  </w:t>
      </w:r>
      <w:hyperlink r:id="rId110" w:tooltip="https://tsatr-audit-services.ru/" w:history="1">
        <w:r>
          <w:rPr>
            <w:rStyle w:val="ab"/>
            <w:rFonts w:ascii="Times New Roman" w:eastAsia="Times New Roman" w:hAnsi="Times New Roman" w:cs="Times New Roman"/>
            <w:sz w:val="24"/>
            <w:szCs w:val="24"/>
          </w:rPr>
          <w:t>https://tsatr-audit-services.ru/</w:t>
        </w:r>
      </w:hyperlink>
      <w:r>
        <w:rPr>
          <w:rFonts w:ascii="Times New Roman" w:hAnsi="Times New Roman" w:cs="Times New Roman"/>
          <w:color w:val="000000" w:themeColor="text1"/>
          <w:sz w:val="24"/>
          <w:szCs w:val="24"/>
        </w:rPr>
        <w:t>;</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 членство в саморегулируемой организации аудиторов: является членом Саморегулируемой организации аудиторов Ассоциация «Содружество» (СРО ААС), включено в реестр аудиторов и аудиторских организаций СРО ААС за основным регистрационным номером записи 12006020327.</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2. Член коллективного участника ООО «Интерком-Аудит», полное фирменное наименование - Общество с ограниченной ответственностью «Интерком-Аудит»;</w:t>
      </w:r>
    </w:p>
    <w:p w:rsidR="00D602D4" w:rsidRDefault="000B4C86">
      <w:pPr>
        <w:widowControl w:val="0"/>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основной государственный регистрационный номер: 1137746561787, дата регистрации 01.07.2013, серия 77 № 015310148, выдано Межрайонной инспекцией Федеральной налоговой службы № 46 по г. Москве;</w:t>
      </w:r>
    </w:p>
    <w:p w:rsidR="00D602D4" w:rsidRDefault="000B4C86">
      <w:pPr>
        <w:widowControl w:val="0"/>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ИНН 7729744770;</w:t>
      </w:r>
    </w:p>
    <w:p w:rsidR="00D602D4" w:rsidRDefault="000B4C86">
      <w:pPr>
        <w:widowControl w:val="0"/>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КПП 771401001;</w:t>
      </w:r>
    </w:p>
    <w:p w:rsidR="00D602D4" w:rsidRDefault="000B4C86">
      <w:pPr>
        <w:widowControl w:val="0"/>
        <w:spacing w:after="0" w:line="240" w:lineRule="auto"/>
        <w:ind w:left="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ОКПО 2936752;</w:t>
      </w:r>
    </w:p>
    <w:p w:rsidR="00D602D4" w:rsidRDefault="000B4C86">
      <w:pPr>
        <w:widowControl w:val="0"/>
        <w:spacing w:after="0" w:line="240" w:lineRule="auto"/>
        <w:ind w:left="709"/>
        <w:jc w:val="both"/>
        <w:rPr>
          <w:rFonts w:ascii="Times New Roman" w:hAnsi="Times New Roman" w:cs="Times New Roman"/>
          <w:sz w:val="24"/>
          <w:szCs w:val="24"/>
        </w:rPr>
      </w:pPr>
      <w:r>
        <w:rPr>
          <w:rFonts w:ascii="Times New Roman" w:hAnsi="Times New Roman" w:cs="Times New Roman"/>
          <w:sz w:val="24"/>
          <w:szCs w:val="24"/>
          <w:highlight w:val="white"/>
        </w:rPr>
        <w:t xml:space="preserve">- </w:t>
      </w:r>
      <w:r>
        <w:rPr>
          <w:rFonts w:ascii="Times New Roman" w:hAnsi="Times New Roman" w:cs="Times New Roman"/>
          <w:sz w:val="24"/>
          <w:szCs w:val="24"/>
        </w:rPr>
        <w:t>ОКВЭД 69.20.1;</w:t>
      </w:r>
    </w:p>
    <w:p w:rsidR="00D602D4" w:rsidRDefault="000B4C86">
      <w:pPr>
        <w:widowControl w:val="0"/>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телефон +7 (495) 937-34-51;</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highlight w:val="white"/>
        </w:rPr>
        <w:t xml:space="preserve">- юридический адрес: 125124, Москва, 3-я ул. Ямского поля, д.2, корп. 13, эт. 7, пом. </w:t>
      </w:r>
      <w:r>
        <w:rPr>
          <w:rFonts w:ascii="Times New Roman" w:hAnsi="Times New Roman" w:cs="Times New Roman"/>
          <w:sz w:val="24"/>
          <w:szCs w:val="24"/>
          <w:highlight w:val="white"/>
          <w:lang w:val="en-US"/>
        </w:rPr>
        <w:t>XV</w:t>
      </w:r>
      <w:r>
        <w:rPr>
          <w:rFonts w:ascii="Times New Roman" w:hAnsi="Times New Roman" w:cs="Times New Roman"/>
          <w:sz w:val="24"/>
          <w:szCs w:val="24"/>
          <w:highlight w:val="white"/>
        </w:rPr>
        <w:t>, ком. 6;</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themeColor="text1"/>
          <w:sz w:val="24"/>
          <w:szCs w:val="24"/>
        </w:rPr>
        <w:t xml:space="preserve">- адрес электронной </w:t>
      </w:r>
      <w:r>
        <w:rPr>
          <w:rStyle w:val="ab"/>
          <w:rFonts w:ascii="Times New Roman" w:eastAsia="Times New Roman" w:hAnsi="Times New Roman" w:cs="Times New Roman"/>
          <w:color w:val="000000" w:themeColor="text1"/>
          <w:sz w:val="24"/>
          <w:szCs w:val="24"/>
          <w:u w:val="none"/>
        </w:rPr>
        <w:t xml:space="preserve">почты </w:t>
      </w:r>
      <w:r>
        <w:rPr>
          <w:rStyle w:val="ab"/>
          <w:rFonts w:ascii="Times New Roman" w:eastAsia="Times New Roman" w:hAnsi="Times New Roman" w:cs="Times New Roman"/>
          <w:sz w:val="24"/>
          <w:szCs w:val="24"/>
          <w:lang w:val="en-US"/>
        </w:rPr>
        <w:t> info</w:t>
      </w:r>
      <w:r>
        <w:rPr>
          <w:rStyle w:val="ab"/>
          <w:rFonts w:ascii="Times New Roman" w:eastAsia="Times New Roman" w:hAnsi="Times New Roman" w:cs="Times New Roman"/>
          <w:sz w:val="24"/>
          <w:szCs w:val="24"/>
        </w:rPr>
        <w:t>@</w:t>
      </w:r>
      <w:r>
        <w:rPr>
          <w:rStyle w:val="ab"/>
          <w:rFonts w:ascii="Times New Roman" w:eastAsia="Times New Roman" w:hAnsi="Times New Roman" w:cs="Times New Roman"/>
          <w:sz w:val="24"/>
          <w:szCs w:val="24"/>
          <w:lang w:val="en-US"/>
        </w:rPr>
        <w:t>intercom</w:t>
      </w:r>
      <w:r>
        <w:rPr>
          <w:rStyle w:val="ab"/>
          <w:rFonts w:ascii="Times New Roman" w:eastAsia="Times New Roman" w:hAnsi="Times New Roman" w:cs="Times New Roman"/>
          <w:sz w:val="24"/>
          <w:szCs w:val="24"/>
        </w:rPr>
        <w:t>-</w:t>
      </w:r>
      <w:r>
        <w:rPr>
          <w:rStyle w:val="ab"/>
          <w:rFonts w:ascii="Times New Roman" w:eastAsia="Times New Roman" w:hAnsi="Times New Roman" w:cs="Times New Roman"/>
          <w:sz w:val="24"/>
          <w:szCs w:val="24"/>
          <w:lang w:val="en-US"/>
        </w:rPr>
        <w:t>audit</w:t>
      </w:r>
      <w:r>
        <w:rPr>
          <w:rStyle w:val="ab"/>
          <w:rFonts w:ascii="Times New Roman" w:eastAsia="Times New Roman" w:hAnsi="Times New Roman" w:cs="Times New Roman"/>
          <w:sz w:val="24"/>
          <w:szCs w:val="24"/>
        </w:rPr>
        <w:t>.</w:t>
      </w:r>
      <w:r>
        <w:rPr>
          <w:rStyle w:val="ab"/>
          <w:rFonts w:ascii="Times New Roman" w:eastAsia="Times New Roman" w:hAnsi="Times New Roman" w:cs="Times New Roman"/>
          <w:sz w:val="24"/>
          <w:szCs w:val="24"/>
          <w:lang w:val="en-US"/>
        </w:rPr>
        <w:t>ru</w:t>
      </w:r>
      <w:r>
        <w:rPr>
          <w:rFonts w:ascii="Times New Roman" w:hAnsi="Times New Roman" w:cs="Times New Roman"/>
          <w:sz w:val="24"/>
          <w:szCs w:val="24"/>
        </w:rPr>
        <w:t>;</w:t>
      </w:r>
    </w:p>
    <w:p w:rsidR="00D602D4" w:rsidRDefault="000B4C86">
      <w:pPr>
        <w:widowControl w:val="0"/>
        <w:spacing w:after="0" w:line="240" w:lineRule="auto"/>
        <w:ind w:firstLine="709"/>
        <w:jc w:val="both"/>
        <w:rPr>
          <w:rFonts w:ascii="Times New Roman" w:hAnsi="Times New Roman" w:cs="Times New Roman"/>
          <w:sz w:val="24"/>
          <w:szCs w:val="24"/>
          <w:highlight w:val="white"/>
        </w:rPr>
      </w:pPr>
      <w:r>
        <w:rPr>
          <w:rFonts w:ascii="Times New Roman" w:eastAsia="Times New Roman" w:hAnsi="Times New Roman" w:cs="Times New Roman"/>
          <w:color w:val="000000" w:themeColor="text1"/>
          <w:sz w:val="24"/>
          <w:szCs w:val="24"/>
        </w:rPr>
        <w:t>- адрес интернет-сайта аудитора</w:t>
      </w:r>
      <w:r>
        <w:rPr>
          <w:rStyle w:val="ab"/>
          <w:rFonts w:ascii="Times New Roman" w:eastAsia="Times New Roman" w:hAnsi="Times New Roman" w:cs="Times New Roman"/>
          <w:sz w:val="24"/>
          <w:szCs w:val="24"/>
          <w:u w:val="none"/>
        </w:rPr>
        <w:t xml:space="preserve"> </w:t>
      </w:r>
      <w:r>
        <w:rPr>
          <w:rStyle w:val="ab"/>
          <w:rFonts w:ascii="Times New Roman" w:eastAsia="Times New Roman" w:hAnsi="Times New Roman" w:cs="Times New Roman"/>
          <w:sz w:val="24"/>
          <w:szCs w:val="24"/>
          <w:u w:val="none"/>
          <w:lang w:val="en-US"/>
        </w:rPr>
        <w:t> </w:t>
      </w:r>
      <w:r>
        <w:rPr>
          <w:rStyle w:val="ab"/>
          <w:rFonts w:ascii="Times New Roman" w:eastAsia="Times New Roman" w:hAnsi="Times New Roman" w:cs="Times New Roman"/>
          <w:sz w:val="24"/>
          <w:szCs w:val="24"/>
          <w:lang w:val="en-US"/>
        </w:rPr>
        <w:t>www</w:t>
      </w:r>
      <w:r>
        <w:rPr>
          <w:rStyle w:val="ab"/>
          <w:rFonts w:ascii="Times New Roman" w:eastAsia="Times New Roman" w:hAnsi="Times New Roman" w:cs="Times New Roman"/>
          <w:sz w:val="24"/>
          <w:szCs w:val="24"/>
        </w:rPr>
        <w:t>.</w:t>
      </w:r>
      <w:r>
        <w:rPr>
          <w:rStyle w:val="ab"/>
          <w:rFonts w:ascii="Times New Roman" w:eastAsia="Times New Roman" w:hAnsi="Times New Roman" w:cs="Times New Roman"/>
          <w:sz w:val="24"/>
          <w:szCs w:val="24"/>
          <w:lang w:val="en-US"/>
        </w:rPr>
        <w:t>intercom</w:t>
      </w:r>
      <w:r>
        <w:rPr>
          <w:rStyle w:val="ab"/>
          <w:rFonts w:ascii="Times New Roman" w:eastAsia="Times New Roman" w:hAnsi="Times New Roman" w:cs="Times New Roman"/>
          <w:sz w:val="24"/>
          <w:szCs w:val="24"/>
        </w:rPr>
        <w:t>-</w:t>
      </w:r>
      <w:r>
        <w:rPr>
          <w:rStyle w:val="ab"/>
          <w:rFonts w:ascii="Times New Roman" w:eastAsia="Times New Roman" w:hAnsi="Times New Roman" w:cs="Times New Roman"/>
          <w:sz w:val="24"/>
          <w:szCs w:val="24"/>
          <w:lang w:val="en-US"/>
        </w:rPr>
        <w:t>audit</w:t>
      </w:r>
      <w:r>
        <w:rPr>
          <w:rStyle w:val="ab"/>
          <w:rFonts w:ascii="Times New Roman" w:eastAsia="Times New Roman" w:hAnsi="Times New Roman" w:cs="Times New Roman"/>
          <w:sz w:val="24"/>
          <w:szCs w:val="24"/>
        </w:rPr>
        <w:t>.</w:t>
      </w:r>
      <w:r>
        <w:rPr>
          <w:rStyle w:val="ab"/>
          <w:rFonts w:ascii="Times New Roman" w:eastAsia="Times New Roman" w:hAnsi="Times New Roman" w:cs="Times New Roman"/>
          <w:sz w:val="24"/>
          <w:szCs w:val="24"/>
          <w:lang w:val="en-US"/>
        </w:rPr>
        <w:t>ru</w:t>
      </w:r>
      <w:hyperlink r:id="rId111" w:tooltip="https://tsatr-audit-services.ru/" w:history="1">
        <w:r>
          <w:rPr>
            <w:rStyle w:val="ab"/>
            <w:rFonts w:ascii="Times New Roman" w:eastAsia="Times New Roman" w:hAnsi="Times New Roman" w:cs="Times New Roman"/>
            <w:sz w:val="24"/>
            <w:szCs w:val="24"/>
          </w:rPr>
          <w:t>/</w:t>
        </w:r>
      </w:hyperlink>
      <w:r>
        <w:rPr>
          <w:rFonts w:ascii="Times New Roman" w:hAnsi="Times New Roman" w:cs="Times New Roman"/>
          <w:color w:val="000000" w:themeColor="text1"/>
          <w:sz w:val="24"/>
          <w:szCs w:val="24"/>
        </w:rPr>
        <w:t>;</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highlight w:val="white"/>
        </w:rPr>
      </w:pPr>
      <w:r>
        <w:rPr>
          <w:rFonts w:ascii="Times New Roman" w:hAnsi="Times New Roman" w:cs="Times New Roman"/>
          <w:sz w:val="24"/>
          <w:szCs w:val="24"/>
          <w:highlight w:val="white"/>
        </w:rPr>
        <w:t>- членство в саморегулируемой организации аудиторов</w:t>
      </w:r>
      <w:r>
        <w:rPr>
          <w:rFonts w:ascii="Times New Roman" w:hAnsi="Times New Roman" w:cs="Times New Roman"/>
          <w:color w:val="000000" w:themeColor="text1"/>
          <w:sz w:val="24"/>
          <w:szCs w:val="24"/>
          <w:highlight w:val="white"/>
        </w:rPr>
        <w:t>: является членом Саморегулируемой организации аудиторов Ассоциация «Содружество» (СРО ААС), включено в реестр аудиторов и аудиторских организаций СРО ААС за основным регистрационным номером записи 11606074492</w:t>
      </w:r>
      <w:r>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highlight w:val="white"/>
        </w:rPr>
        <w:t>15.12.2016</w:t>
      </w:r>
      <w:r>
        <w:rPr>
          <w:rFonts w:ascii="Times New Roman" w:hAnsi="Times New Roman" w:cs="Times New Roman"/>
          <w:color w:val="000000" w:themeColor="text1"/>
          <w:sz w:val="24"/>
          <w:szCs w:val="24"/>
        </w:rPr>
        <w:t xml:space="preserve">. </w:t>
      </w:r>
    </w:p>
    <w:p w:rsidR="00D602D4" w:rsidRDefault="000B4C86">
      <w:pPr>
        <w:widowControl w:val="0"/>
        <w:spacing w:after="0" w:line="240" w:lineRule="auto"/>
        <w:ind w:firstLine="709"/>
        <w:jc w:val="both"/>
        <w:rPr>
          <w:rFonts w:ascii="Times New Roman" w:hAnsi="Times New Roman" w:cs="Times New Roman"/>
          <w:color w:val="000000" w:themeColor="text1"/>
          <w:sz w:val="24"/>
          <w:szCs w:val="24"/>
          <w:highlight w:val="white"/>
        </w:rPr>
      </w:pPr>
      <w:r>
        <w:rPr>
          <w:rFonts w:ascii="Times New Roman" w:hAnsi="Times New Roman" w:cs="Times New Roman"/>
          <w:color w:val="000000" w:themeColor="text1"/>
          <w:sz w:val="24"/>
          <w:szCs w:val="24"/>
          <w:highlight w:val="white"/>
        </w:rPr>
        <w:t>Цена договора от на оказание аудиторских услуг по аудиту бухгалтерской (финансовой) отчетности, подготовленной в соответствии с РСБУ и аудиту консолидированной финансовой отчетности, подготовленной в соответствии с МСФО за 2024 - 2026 годы, заключенного ПАО «Россети Сибирь» с коллективным участником в составе ООО «ЦАТР - аудиторские услуги» и ООО «Интерком-Аудит», действующим на основании Соглашения о консорциуме, б/н от 20.02.2024, определена Решением Совета директоров ПАО «Россети Сибирь» от 28.08.2024 (протокол от 29.08.2024 № 534/24) и составляет 8 284 113 (восемь миллионов двести восемьдесят четыре тысячи сто тринадцать) рублей 11 копеек, включая НДС.</w:t>
      </w:r>
    </w:p>
    <w:p w:rsidR="00D602D4" w:rsidRDefault="000B4C86">
      <w:pPr>
        <w:spacing w:after="0" w:line="240" w:lineRule="auto"/>
        <w:ind w:firstLine="709"/>
        <w:jc w:val="both"/>
        <w:rPr>
          <w:rFonts w:ascii="Times New Roman" w:hAnsi="Times New Roman" w:cs="Times New Roman"/>
          <w:iCs/>
          <w:sz w:val="24"/>
          <w:szCs w:val="24"/>
          <w:highlight w:val="white"/>
        </w:rPr>
      </w:pPr>
      <w:r>
        <w:rPr>
          <w:rFonts w:ascii="Times New Roman" w:hAnsi="Times New Roman" w:cs="Times New Roman"/>
          <w:iCs/>
          <w:sz w:val="24"/>
          <w:szCs w:val="24"/>
          <w:highlight w:val="white"/>
        </w:rPr>
        <w:lastRenderedPageBreak/>
        <w:t>Со стороны внешней аудиторской организации Общества в 2024 году услуги неаудиторского характера Обществу не оказывались.</w:t>
      </w:r>
    </w:p>
    <w:p w:rsidR="00D602D4" w:rsidRDefault="00D602D4">
      <w:pPr>
        <w:widowControl w:val="0"/>
        <w:spacing w:after="0" w:line="240" w:lineRule="auto"/>
        <w:ind w:firstLine="709"/>
        <w:jc w:val="both"/>
        <w:rPr>
          <w:rFonts w:ascii="Times New Roman" w:hAnsi="Times New Roman" w:cs="Times New Roman"/>
        </w:rPr>
      </w:pPr>
    </w:p>
    <w:p w:rsidR="00D602D4" w:rsidRDefault="00D602D4">
      <w:pPr>
        <w:widowControl w:val="0"/>
        <w:spacing w:after="0" w:line="240" w:lineRule="auto"/>
        <w:ind w:firstLine="709"/>
        <w:jc w:val="both"/>
        <w:rPr>
          <w:rFonts w:ascii="Times New Roman" w:hAnsi="Times New Roman" w:cs="Times New Roman"/>
        </w:rPr>
      </w:pPr>
    </w:p>
    <w:p w:rsidR="00D602D4" w:rsidRDefault="000B4C86">
      <w:pPr>
        <w:pStyle w:val="13"/>
        <w:spacing w:before="0" w:line="240" w:lineRule="auto"/>
        <w:rPr>
          <w:rFonts w:ascii="Times New Roman" w:hAnsi="Times New Roman" w:cs="Times New Roman"/>
          <w:color w:val="000000" w:themeColor="text1"/>
        </w:rPr>
      </w:pPr>
      <w:bookmarkStart w:id="131" w:name="_Toc168"/>
      <w:r>
        <w:rPr>
          <w:rFonts w:ascii="Times New Roman" w:eastAsia="Times New Roman" w:hAnsi="Times New Roman" w:cs="Times New Roman"/>
          <w:b/>
          <w:color w:val="000000" w:themeColor="text1"/>
          <w:sz w:val="26"/>
          <w:szCs w:val="26"/>
        </w:rPr>
        <w:t>5.13. Управление дочерними и зависимыми обществами</w:t>
      </w:r>
      <w:bookmarkEnd w:id="131"/>
    </w:p>
    <w:p w:rsidR="00D602D4" w:rsidRDefault="00D602D4">
      <w:pPr>
        <w:pStyle w:val="13"/>
        <w:spacing w:before="0" w:line="240" w:lineRule="auto"/>
        <w:rPr>
          <w:rFonts w:ascii="Times New Roman" w:eastAsia="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соответствии со ст.6 Федерального закона «Об акционерных обществах» общество признается дочерним, если другое (основное) хозяйственное общество (товарищество) в силу преобладающего участия в его уставном капитале, либо в соответствии с заключенным между ними договором, либо иным образом имеет возможность определять решения, принимаемые таким обществом. Общество признается зависимым, если другое (преобладающее) общество имеет более 20 % голосующих акций первого общества.</w:t>
      </w:r>
    </w:p>
    <w:p w:rsidR="00D602D4" w:rsidRDefault="000B4C86">
      <w:pPr>
        <w:widowControl w:val="0"/>
        <w:spacing w:after="0" w:line="240" w:lineRule="auto"/>
        <w:ind w:firstLine="709"/>
        <w:jc w:val="right"/>
        <w:rPr>
          <w:rFonts w:ascii="Times New Roman" w:eastAsia="Times New Roman" w:hAnsi="Times New Roman"/>
          <w:sz w:val="24"/>
          <w:szCs w:val="24"/>
          <w:lang w:eastAsia="ru-RU"/>
        </w:rPr>
      </w:pPr>
      <w:r>
        <w:rPr>
          <w:rFonts w:ascii="Times New Roman" w:eastAsia="Times New Roman" w:hAnsi="Times New Roman"/>
          <w:sz w:val="24"/>
          <w:szCs w:val="24"/>
          <w:lang w:eastAsia="ru-RU"/>
        </w:rPr>
        <w:t>Таблица 109</w:t>
      </w:r>
    </w:p>
    <w:p w:rsidR="00D602D4" w:rsidRDefault="000B4C86">
      <w:pPr>
        <w:widowControl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s="Times New Roman"/>
          <w:b/>
          <w:i/>
          <w:color w:val="000000"/>
          <w:sz w:val="24"/>
          <w:szCs w:val="24"/>
          <w:lang w:eastAsia="ru-RU"/>
        </w:rPr>
        <w:t xml:space="preserve">Перечень дочерних хозяйственных обществ (ДО) </w:t>
      </w:r>
    </w:p>
    <w:p w:rsidR="00D602D4" w:rsidRDefault="000B4C86">
      <w:pPr>
        <w:tabs>
          <w:tab w:val="left" w:pos="993"/>
        </w:tabs>
        <w:spacing w:after="0" w:line="240" w:lineRule="auto"/>
        <w:jc w:val="center"/>
        <w:rPr>
          <w:rFonts w:ascii="Times New Roman" w:eastAsia="Times New Roman" w:hAnsi="Times New Roman" w:cs="Times New Roman"/>
          <w:b/>
          <w:i/>
          <w:color w:val="000000"/>
          <w:sz w:val="24"/>
          <w:szCs w:val="24"/>
          <w:highlight w:val="white"/>
        </w:rPr>
      </w:pPr>
      <w:r>
        <w:rPr>
          <w:rFonts w:ascii="Times New Roman" w:eastAsia="Times New Roman" w:hAnsi="Times New Roman" w:cs="Times New Roman"/>
          <w:b/>
          <w:i/>
          <w:color w:val="000000"/>
          <w:sz w:val="24"/>
          <w:szCs w:val="24"/>
          <w:lang w:eastAsia="ru-RU"/>
        </w:rPr>
        <w:t xml:space="preserve">ПАО «Россети Сибирь» по состоянию </w:t>
      </w:r>
      <w:r>
        <w:rPr>
          <w:rFonts w:ascii="Times New Roman" w:eastAsia="Times New Roman" w:hAnsi="Times New Roman" w:cs="Times New Roman"/>
          <w:b/>
          <w:i/>
          <w:color w:val="000000"/>
          <w:sz w:val="24"/>
          <w:szCs w:val="24"/>
          <w:highlight w:val="white"/>
          <w:lang w:eastAsia="ru-RU"/>
        </w:rPr>
        <w:t>на 31.12.2024</w:t>
      </w:r>
    </w:p>
    <w:tbl>
      <w:tblPr>
        <w:tblW w:w="93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2126"/>
        <w:gridCol w:w="2126"/>
        <w:gridCol w:w="3119"/>
        <w:gridCol w:w="1591"/>
      </w:tblGrid>
      <w:tr w:rsidR="00D602D4">
        <w:trPr>
          <w:jc w:val="center"/>
        </w:trPr>
        <w:tc>
          <w:tcPr>
            <w:tcW w:w="421" w:type="dxa"/>
            <w:shd w:val="clear" w:color="FFFFFF" w:fill="C6D9F1"/>
            <w:vAlign w:val="center"/>
          </w:tcPr>
          <w:p w:rsidR="00D602D4" w:rsidRDefault="000B4C86">
            <w:pPr>
              <w:spacing w:after="0" w:line="240" w:lineRule="auto"/>
              <w:rPr>
                <w:rFonts w:ascii="Times New Roman" w:hAnsi="Times New Roman" w:cs="Times New Roman"/>
                <w:b/>
                <w:sz w:val="20"/>
                <w:szCs w:val="20"/>
              </w:rPr>
            </w:pPr>
            <w:r>
              <w:rPr>
                <w:rFonts w:ascii="Times New Roman" w:eastAsia="Times New Roman" w:hAnsi="Times New Roman" w:cs="Times New Roman"/>
                <w:b/>
                <w:sz w:val="20"/>
                <w:szCs w:val="20"/>
                <w:lang w:eastAsia="ru-RU"/>
              </w:rPr>
              <w:t>№</w:t>
            </w:r>
          </w:p>
        </w:tc>
        <w:tc>
          <w:tcPr>
            <w:tcW w:w="2126" w:type="dxa"/>
            <w:shd w:val="clear" w:color="FFFFFF" w:fill="C6D9F1"/>
            <w:vAlign w:val="center"/>
          </w:tcPr>
          <w:p w:rsidR="00D602D4" w:rsidRDefault="000B4C86">
            <w:pPr>
              <w:spacing w:after="0" w:line="240" w:lineRule="auto"/>
              <w:rPr>
                <w:rFonts w:ascii="Times New Roman" w:hAnsi="Times New Roman" w:cs="Times New Roman"/>
                <w:b/>
                <w:sz w:val="20"/>
                <w:szCs w:val="20"/>
              </w:rPr>
            </w:pPr>
            <w:r>
              <w:rPr>
                <w:rFonts w:ascii="Times New Roman" w:eastAsia="Times New Roman" w:hAnsi="Times New Roman" w:cs="Times New Roman"/>
                <w:b/>
                <w:sz w:val="20"/>
                <w:szCs w:val="20"/>
                <w:lang w:eastAsia="ru-RU"/>
              </w:rPr>
              <w:t>Наименование ДО</w:t>
            </w:r>
          </w:p>
        </w:tc>
        <w:tc>
          <w:tcPr>
            <w:tcW w:w="2126" w:type="dxa"/>
            <w:shd w:val="clear" w:color="FFFFFF" w:fill="C6D9F1"/>
            <w:vAlign w:val="center"/>
          </w:tcPr>
          <w:p w:rsidR="00D602D4" w:rsidRDefault="000B4C86">
            <w:pPr>
              <w:spacing w:after="0" w:line="240" w:lineRule="auto"/>
              <w:rPr>
                <w:rFonts w:ascii="Times New Roman" w:hAnsi="Times New Roman" w:cs="Times New Roman"/>
                <w:b/>
                <w:sz w:val="20"/>
                <w:szCs w:val="20"/>
              </w:rPr>
            </w:pPr>
            <w:r>
              <w:rPr>
                <w:rFonts w:ascii="Times New Roman" w:eastAsia="Times New Roman" w:hAnsi="Times New Roman" w:cs="Times New Roman"/>
                <w:b/>
                <w:sz w:val="20"/>
                <w:szCs w:val="20"/>
                <w:lang w:eastAsia="ru-RU"/>
              </w:rPr>
              <w:t xml:space="preserve">Место нахождения </w:t>
            </w:r>
          </w:p>
        </w:tc>
        <w:tc>
          <w:tcPr>
            <w:tcW w:w="3119" w:type="dxa"/>
            <w:shd w:val="clear" w:color="FFFFFF" w:fill="C6D9F1"/>
            <w:vAlign w:val="center"/>
          </w:tcPr>
          <w:p w:rsidR="00D602D4" w:rsidRDefault="000B4C86">
            <w:pPr>
              <w:spacing w:after="0" w:line="240" w:lineRule="auto"/>
              <w:jc w:val="center"/>
              <w:rPr>
                <w:rFonts w:ascii="Times New Roman" w:hAnsi="Times New Roman" w:cs="Times New Roman"/>
                <w:b/>
                <w:sz w:val="20"/>
                <w:szCs w:val="20"/>
              </w:rPr>
            </w:pPr>
            <w:r>
              <w:rPr>
                <w:rFonts w:ascii="Times New Roman" w:eastAsia="Times New Roman" w:hAnsi="Times New Roman" w:cs="Times New Roman"/>
                <w:b/>
                <w:sz w:val="20"/>
                <w:szCs w:val="20"/>
                <w:lang w:eastAsia="ru-RU"/>
              </w:rPr>
              <w:t>Статус ДО/</w:t>
            </w:r>
          </w:p>
          <w:p w:rsidR="00D602D4" w:rsidRDefault="000B4C86">
            <w:pPr>
              <w:spacing w:after="0" w:line="240" w:lineRule="auto"/>
              <w:jc w:val="center"/>
              <w:rPr>
                <w:rFonts w:ascii="Times New Roman" w:hAnsi="Times New Roman" w:cs="Times New Roman"/>
                <w:b/>
                <w:sz w:val="20"/>
                <w:szCs w:val="20"/>
              </w:rPr>
            </w:pPr>
            <w:r>
              <w:rPr>
                <w:rFonts w:ascii="Times New Roman" w:eastAsia="Times New Roman" w:hAnsi="Times New Roman" w:cs="Times New Roman"/>
                <w:b/>
                <w:sz w:val="20"/>
                <w:szCs w:val="20"/>
                <w:lang w:eastAsia="ru-RU"/>
              </w:rPr>
              <w:t>Основной вид деятельности</w:t>
            </w:r>
          </w:p>
        </w:tc>
        <w:tc>
          <w:tcPr>
            <w:tcW w:w="1591" w:type="dxa"/>
            <w:shd w:val="clear" w:color="FFFFFF" w:fill="C6D9F1"/>
            <w:vAlign w:val="center"/>
          </w:tcPr>
          <w:p w:rsidR="00D602D4" w:rsidRDefault="000B4C86">
            <w:pPr>
              <w:spacing w:after="0" w:line="240" w:lineRule="auto"/>
              <w:jc w:val="center"/>
              <w:rPr>
                <w:rFonts w:ascii="Times New Roman" w:hAnsi="Times New Roman" w:cs="Times New Roman"/>
                <w:b/>
                <w:sz w:val="20"/>
                <w:szCs w:val="20"/>
              </w:rPr>
            </w:pPr>
            <w:r>
              <w:rPr>
                <w:rFonts w:ascii="Times New Roman" w:eastAsia="Times New Roman" w:hAnsi="Times New Roman" w:cs="Times New Roman"/>
                <w:b/>
                <w:sz w:val="20"/>
                <w:szCs w:val="20"/>
                <w:lang w:eastAsia="ru-RU"/>
              </w:rPr>
              <w:t>Доля ПАО «Россети Сибирь» в голосующих акциях,  %</w:t>
            </w:r>
          </w:p>
        </w:tc>
      </w:tr>
      <w:tr w:rsidR="00D602D4">
        <w:trPr>
          <w:jc w:val="center"/>
        </w:trPr>
        <w:tc>
          <w:tcPr>
            <w:tcW w:w="421" w:type="dxa"/>
            <w:vAlign w:val="center"/>
          </w:tcPr>
          <w:p w:rsidR="00D602D4" w:rsidRDefault="000B4C86">
            <w:pPr>
              <w:widowControl w:val="0"/>
              <w:tabs>
                <w:tab w:val="left" w:pos="0"/>
                <w:tab w:val="left" w:pos="34"/>
                <w:tab w:val="left" w:pos="1276"/>
                <w:tab w:val="left" w:pos="6285"/>
              </w:tabs>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1.</w:t>
            </w:r>
          </w:p>
        </w:tc>
        <w:tc>
          <w:tcPr>
            <w:tcW w:w="2126" w:type="dxa"/>
            <w:vAlign w:val="center"/>
          </w:tcPr>
          <w:p w:rsidR="00D602D4" w:rsidRDefault="000B4C86">
            <w:pPr>
              <w:widowControl w:val="0"/>
              <w:tabs>
                <w:tab w:val="left" w:pos="6285"/>
              </w:tabs>
              <w:spacing w:after="0" w:line="240" w:lineRule="auto"/>
              <w:jc w:val="both"/>
              <w:rPr>
                <w:rFonts w:ascii="Times New Roman" w:hAnsi="Times New Roman" w:cs="Times New Roman"/>
                <w:b/>
                <w:bCs/>
                <w:sz w:val="20"/>
                <w:szCs w:val="20"/>
              </w:rPr>
            </w:pPr>
            <w:r>
              <w:rPr>
                <w:rFonts w:ascii="Times New Roman" w:eastAsia="Times New Roman" w:hAnsi="Times New Roman" w:cs="Times New Roman"/>
                <w:b/>
                <w:bCs/>
                <w:sz w:val="20"/>
                <w:szCs w:val="20"/>
                <w:lang w:eastAsia="ru-RU"/>
              </w:rPr>
              <w:t>Акционерное общество</w:t>
            </w:r>
          </w:p>
          <w:p w:rsidR="00D602D4" w:rsidRDefault="000B4C86">
            <w:pPr>
              <w:widowControl w:val="0"/>
              <w:tabs>
                <w:tab w:val="left" w:pos="6285"/>
              </w:tabs>
              <w:spacing w:after="0" w:line="240" w:lineRule="auto"/>
              <w:jc w:val="both"/>
              <w:rPr>
                <w:rFonts w:ascii="Times New Roman" w:hAnsi="Times New Roman" w:cs="Times New Roman"/>
                <w:b/>
                <w:sz w:val="20"/>
                <w:szCs w:val="20"/>
              </w:rPr>
            </w:pPr>
            <w:r>
              <w:rPr>
                <w:rFonts w:ascii="Times New Roman" w:eastAsia="Times New Roman" w:hAnsi="Times New Roman" w:cs="Times New Roman"/>
                <w:b/>
                <w:sz w:val="20"/>
                <w:szCs w:val="20"/>
                <w:lang w:eastAsia="ru-RU"/>
              </w:rPr>
              <w:t>«Соцсфера»</w:t>
            </w:r>
          </w:p>
        </w:tc>
        <w:tc>
          <w:tcPr>
            <w:tcW w:w="2126" w:type="dxa"/>
            <w:vAlign w:val="center"/>
          </w:tcPr>
          <w:p w:rsidR="00D602D4" w:rsidRDefault="000B4C86">
            <w:pPr>
              <w:widowControl w:val="0"/>
              <w:tabs>
                <w:tab w:val="left" w:pos="1134"/>
                <w:tab w:val="left" w:pos="6285"/>
              </w:tabs>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Россия, Омская область, Омский район, п. Чернолучье</w:t>
            </w:r>
          </w:p>
        </w:tc>
        <w:tc>
          <w:tcPr>
            <w:tcW w:w="3119" w:type="dxa"/>
            <w:vAlign w:val="center"/>
          </w:tcPr>
          <w:p w:rsidR="00D602D4" w:rsidRDefault="000B4C86">
            <w:pPr>
              <w:widowControl w:val="0"/>
              <w:tabs>
                <w:tab w:val="left" w:pos="1134"/>
                <w:tab w:val="left" w:pos="6285"/>
              </w:tabs>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Дочернее общество/</w:t>
            </w:r>
          </w:p>
          <w:p w:rsidR="00D602D4" w:rsidRDefault="000B4C86">
            <w:pPr>
              <w:widowControl w:val="0"/>
              <w:tabs>
                <w:tab w:val="left" w:pos="1134"/>
                <w:tab w:val="left" w:pos="6285"/>
              </w:tabs>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Санаторно-курортная</w:t>
            </w:r>
          </w:p>
          <w:p w:rsidR="00D602D4" w:rsidRDefault="000B4C86">
            <w:pPr>
              <w:widowControl w:val="0"/>
              <w:tabs>
                <w:tab w:val="left" w:pos="1134"/>
                <w:tab w:val="left" w:pos="6285"/>
              </w:tabs>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деятельность</w:t>
            </w:r>
          </w:p>
        </w:tc>
        <w:tc>
          <w:tcPr>
            <w:tcW w:w="1591" w:type="dxa"/>
            <w:vAlign w:val="center"/>
          </w:tcPr>
          <w:p w:rsidR="00D602D4" w:rsidRDefault="000B4C86">
            <w:pPr>
              <w:widowControl w:val="0"/>
              <w:tabs>
                <w:tab w:val="left" w:pos="1134"/>
                <w:tab w:val="left" w:pos="6285"/>
              </w:tabs>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100</w:t>
            </w:r>
          </w:p>
        </w:tc>
      </w:tr>
      <w:tr w:rsidR="00D602D4">
        <w:trPr>
          <w:jc w:val="center"/>
        </w:trPr>
        <w:tc>
          <w:tcPr>
            <w:tcW w:w="421" w:type="dxa"/>
            <w:vAlign w:val="center"/>
          </w:tcPr>
          <w:p w:rsidR="00D602D4" w:rsidRDefault="000B4C86">
            <w:pPr>
              <w:widowControl w:val="0"/>
              <w:tabs>
                <w:tab w:val="left" w:pos="0"/>
                <w:tab w:val="left" w:pos="34"/>
                <w:tab w:val="left" w:pos="1276"/>
                <w:tab w:val="left" w:pos="6285"/>
              </w:tabs>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2.</w:t>
            </w:r>
          </w:p>
        </w:tc>
        <w:tc>
          <w:tcPr>
            <w:tcW w:w="2126" w:type="dxa"/>
            <w:vAlign w:val="center"/>
          </w:tcPr>
          <w:p w:rsidR="00D602D4" w:rsidRDefault="000B4C86">
            <w:pPr>
              <w:widowControl w:val="0"/>
              <w:tabs>
                <w:tab w:val="left" w:pos="6285"/>
              </w:tabs>
              <w:spacing w:after="0" w:line="240" w:lineRule="auto"/>
              <w:jc w:val="both"/>
              <w:rPr>
                <w:rFonts w:ascii="Times New Roman" w:hAnsi="Times New Roman" w:cs="Times New Roman"/>
                <w:b/>
                <w:bCs/>
                <w:sz w:val="20"/>
                <w:szCs w:val="20"/>
              </w:rPr>
            </w:pPr>
            <w:r>
              <w:rPr>
                <w:rFonts w:ascii="Times New Roman" w:eastAsia="Times New Roman" w:hAnsi="Times New Roman" w:cs="Times New Roman"/>
                <w:b/>
                <w:bCs/>
                <w:sz w:val="20"/>
                <w:szCs w:val="20"/>
                <w:lang w:eastAsia="ru-RU"/>
              </w:rPr>
              <w:t>Акционерное общество</w:t>
            </w:r>
          </w:p>
          <w:p w:rsidR="00D602D4" w:rsidRDefault="000B4C86">
            <w:pPr>
              <w:widowControl w:val="0"/>
              <w:tabs>
                <w:tab w:val="left" w:pos="6285"/>
              </w:tabs>
              <w:spacing w:after="0" w:line="240" w:lineRule="auto"/>
              <w:jc w:val="both"/>
              <w:rPr>
                <w:rFonts w:ascii="Times New Roman" w:hAnsi="Times New Roman" w:cs="Times New Roman"/>
                <w:b/>
                <w:bCs/>
                <w:sz w:val="20"/>
                <w:szCs w:val="20"/>
              </w:rPr>
            </w:pPr>
            <w:r>
              <w:rPr>
                <w:rFonts w:ascii="Times New Roman" w:eastAsia="Times New Roman" w:hAnsi="Times New Roman" w:cs="Times New Roman"/>
                <w:b/>
                <w:bCs/>
                <w:sz w:val="20"/>
                <w:szCs w:val="20"/>
                <w:lang w:eastAsia="ru-RU"/>
              </w:rPr>
              <w:t>«Энергосервисная компания Сибири»</w:t>
            </w:r>
          </w:p>
        </w:tc>
        <w:tc>
          <w:tcPr>
            <w:tcW w:w="2126" w:type="dxa"/>
            <w:vAlign w:val="center"/>
          </w:tcPr>
          <w:p w:rsidR="00D602D4" w:rsidRDefault="000B4C86">
            <w:pPr>
              <w:widowControl w:val="0"/>
              <w:tabs>
                <w:tab w:val="left" w:pos="6285"/>
              </w:tabs>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 xml:space="preserve">Россия, </w:t>
            </w:r>
          </w:p>
          <w:p w:rsidR="00D602D4" w:rsidRDefault="000B4C86">
            <w:pPr>
              <w:widowControl w:val="0"/>
              <w:tabs>
                <w:tab w:val="left" w:pos="6285"/>
              </w:tabs>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г. Красноярск</w:t>
            </w:r>
          </w:p>
        </w:tc>
        <w:tc>
          <w:tcPr>
            <w:tcW w:w="3119" w:type="dxa"/>
            <w:vAlign w:val="center"/>
          </w:tcPr>
          <w:p w:rsidR="00D602D4" w:rsidRDefault="000B4C86">
            <w:pPr>
              <w:widowControl w:val="0"/>
              <w:tabs>
                <w:tab w:val="left" w:pos="6285"/>
              </w:tabs>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Дочернее общество/</w:t>
            </w:r>
          </w:p>
          <w:p w:rsidR="00D602D4" w:rsidRDefault="000B4C86">
            <w:pPr>
              <w:widowControl w:val="0"/>
              <w:tabs>
                <w:tab w:val="left" w:pos="6285"/>
              </w:tabs>
              <w:spacing w:after="0" w:line="240" w:lineRule="auto"/>
              <w:jc w:val="both"/>
              <w:rPr>
                <w:rFonts w:ascii="Times New Roman" w:hAnsi="Times New Roman" w:cs="Times New Roman"/>
                <w:sz w:val="20"/>
                <w:szCs w:val="20"/>
              </w:rPr>
            </w:pPr>
            <w:r>
              <w:rPr>
                <w:rFonts w:ascii="Times New Roman" w:eastAsia="Times New Roman" w:hAnsi="Times New Roman" w:cs="Times New Roman"/>
                <w:sz w:val="20"/>
                <w:szCs w:val="20"/>
                <w:lang w:eastAsia="ru-RU"/>
              </w:rPr>
              <w:t>Производство, передача и продажа электрической энергии, энергетический аудит</w:t>
            </w:r>
          </w:p>
        </w:tc>
        <w:tc>
          <w:tcPr>
            <w:tcW w:w="1591" w:type="dxa"/>
            <w:vAlign w:val="center"/>
          </w:tcPr>
          <w:p w:rsidR="00D602D4" w:rsidRDefault="000B4C86">
            <w:pPr>
              <w:widowControl w:val="0"/>
              <w:tabs>
                <w:tab w:val="left" w:pos="6285"/>
              </w:tabs>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lang w:eastAsia="ru-RU"/>
              </w:rPr>
              <w:t>100</w:t>
            </w:r>
          </w:p>
        </w:tc>
      </w:tr>
    </w:tbl>
    <w:p w:rsidR="00D602D4" w:rsidRDefault="00D602D4">
      <w:pPr>
        <w:spacing w:after="0" w:line="240" w:lineRule="auto"/>
        <w:jc w:val="both"/>
        <w:rPr>
          <w:rFonts w:ascii="Times New Roman" w:hAnsi="Times New Roman" w:cs="Times New Roman"/>
          <w:b/>
          <w:i/>
          <w:sz w:val="20"/>
          <w:szCs w:val="20"/>
        </w:rPr>
      </w:pP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Внутренние документы Общества, регламентирующие управление ДО: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Кодекс корпоративного управления ПАО «Россети Сибирь», утвержденный решением Совета директоров от 29.11.2021 (протокол от 02.12.2021 № 435/21);</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Порядок взаимодействия ОАО «МРСК Сибири» с хозяйственными обществами, акциями (долями) которых владеет ОАО «МРСК Сибири», утвержденный решением Совета директоров от 25.03.2009 (протокол от 27.03.2009 № 31/09);</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СО 3.073 «Формирование и представление структурными подразделениями поручений представителям на Общих собраниях акционеров и в Советах директоров дочерних хозяйственных обществ, Совете Учреждения».</w:t>
      </w: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Ключевые механизмы (формы) управления ПАО «Россети Сибирь» ДО в 2024 году:</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определение позиции для голосования по вопросам повесток дня органов управления ДЗО;</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rPr>
        <w:t>- выдви</w:t>
      </w:r>
      <w:r>
        <w:rPr>
          <w:rFonts w:ascii="Times New Roman" w:eastAsia="Times New Roman" w:hAnsi="Times New Roman" w:cs="Times New Roman"/>
          <w:sz w:val="24"/>
          <w:szCs w:val="24"/>
        </w:rPr>
        <w:t>жение кандидатуры аудиторской организации (индивидуального аудитора) организаций, в которых участвует Общество</w:t>
      </w:r>
      <w:r>
        <w:rPr>
          <w:rFonts w:ascii="Times New Roman" w:eastAsia="Times New Roman" w:hAnsi="Times New Roman" w:cs="Times New Roman"/>
          <w:sz w:val="24"/>
          <w:szCs w:val="24"/>
          <w:highlight w:val="white"/>
        </w:rPr>
        <w:t>;</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highlight w:val="white"/>
        </w:rPr>
        <w:t>- участие представителей Общества в составах Советов директоров ДО;</w:t>
      </w:r>
    </w:p>
    <w:p w:rsidR="00D602D4" w:rsidRDefault="000B4C86">
      <w:pPr>
        <w:spacing w:after="0" w:line="240" w:lineRule="auto"/>
        <w:ind w:firstLine="709"/>
        <w:jc w:val="both"/>
        <w:rPr>
          <w:rFonts w:ascii="Times New Roman" w:hAnsi="Times New Roman" w:cs="Times New Roman"/>
          <w:sz w:val="24"/>
          <w:szCs w:val="24"/>
          <w:highlight w:val="white"/>
        </w:rPr>
      </w:pPr>
      <w:r>
        <w:rPr>
          <w:rFonts w:ascii="Times New Roman" w:hAnsi="Times New Roman" w:cs="Times New Roman"/>
          <w:sz w:val="24"/>
          <w:szCs w:val="24"/>
        </w:rPr>
        <w:t>- принятие решений в качестве единственного акционера в отношении 100 % дочерних обществ (АО «ЭСК Сибири» и АО «Соцсфера»): Правление ПАО «Россети Сибирь» выполняет функции Общего собрания акционеров (ОСА) данных обществ;</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Вышеуказанные механизмы позволяют Обществу контролировать принятие решений органами управления ДЗО по ключевым вопросам их деятельности (перечень таких вопросов определяется уставами ПАО «Россети Сибирь» и его ДО).</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2024 году Советом директоров ПАО «Россети Сибирь» рассмотрено 6 вопросов (4% от общего количества рассмотренных вопросов) об определении позиции по вопросам </w:t>
      </w:r>
      <w:r>
        <w:rPr>
          <w:rFonts w:ascii="Times New Roman" w:hAnsi="Times New Roman" w:cs="Times New Roman"/>
          <w:sz w:val="24"/>
          <w:szCs w:val="24"/>
        </w:rPr>
        <w:lastRenderedPageBreak/>
        <w:t xml:space="preserve">повесток дня Общих собраний акционеров и Советов директоров ДО и о выдвижении кандидатур аудитора ДО. </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pStyle w:val="13"/>
        <w:spacing w:before="0" w:line="240" w:lineRule="auto"/>
        <w:rPr>
          <w:rFonts w:ascii="Times New Roman" w:eastAsia="Times New Roman" w:hAnsi="Times New Roman" w:cs="Times New Roman"/>
        </w:rPr>
      </w:pPr>
      <w:bookmarkStart w:id="132" w:name="_Toc169"/>
      <w:r>
        <w:rPr>
          <w:rFonts w:ascii="Times New Roman" w:eastAsia="Times New Roman" w:hAnsi="Times New Roman" w:cs="Times New Roman"/>
          <w:b/>
          <w:color w:val="auto"/>
          <w:sz w:val="26"/>
          <w:szCs w:val="26"/>
        </w:rPr>
        <w:t>5.14. Акционерный капитал, обращение ценных бумаг</w:t>
      </w:r>
      <w:bookmarkEnd w:id="132"/>
    </w:p>
    <w:p w:rsidR="00D602D4" w:rsidRDefault="00D602D4">
      <w:pPr>
        <w:spacing w:after="0" w:line="240" w:lineRule="auto"/>
        <w:rPr>
          <w:rFonts w:ascii="Times New Roman" w:hAnsi="Times New Roman" w:cs="Times New Roman"/>
          <w:sz w:val="24"/>
          <w:szCs w:val="24"/>
        </w:rPr>
      </w:pPr>
    </w:p>
    <w:p w:rsidR="00D602D4" w:rsidRDefault="000B4C86">
      <w:pPr>
        <w:spacing w:after="0" w:line="240" w:lineRule="auto"/>
        <w:ind w:firstLine="709"/>
        <w:rPr>
          <w:rFonts w:ascii="Times New Roman" w:hAnsi="Times New Roman" w:cs="Times New Roman"/>
          <w:b/>
          <w:sz w:val="24"/>
          <w:szCs w:val="24"/>
        </w:rPr>
      </w:pPr>
      <w:r>
        <w:rPr>
          <w:rFonts w:ascii="Times New Roman" w:hAnsi="Times New Roman" w:cs="Times New Roman"/>
          <w:b/>
          <w:sz w:val="24"/>
          <w:szCs w:val="24"/>
        </w:rPr>
        <w:t xml:space="preserve">Структура акционерного капитала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 состоянию на 31.12.2024 размер уставного капитала Общества составляет 9 988 619 381 (девять миллиардов девятьсот восемьдесят восемь миллионов шестьсот девятнадцать тысяч триста восемьдесят один) руб. 90 копеек.</w:t>
      </w:r>
    </w:p>
    <w:p w:rsidR="00D602D4" w:rsidRDefault="000B4C86">
      <w:pPr>
        <w:widowControl w:val="0"/>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110</w:t>
      </w:r>
    </w:p>
    <w:p w:rsidR="00D602D4" w:rsidRDefault="000B4C86">
      <w:pPr>
        <w:widowControl w:val="0"/>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Основные характеристики ценных бумаг Общества</w:t>
      </w:r>
    </w:p>
    <w:tbl>
      <w:tblPr>
        <w:tblW w:w="8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9"/>
        <w:gridCol w:w="1947"/>
        <w:gridCol w:w="2222"/>
      </w:tblGrid>
      <w:tr w:rsidR="00D602D4">
        <w:trPr>
          <w:trHeight w:val="402"/>
          <w:jc w:val="center"/>
        </w:trPr>
        <w:tc>
          <w:tcPr>
            <w:tcW w:w="4809"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fb"/>
              <w:widowControl w:val="0"/>
              <w:spacing w:after="0"/>
              <w:jc w:val="center"/>
              <w:rPr>
                <w:b/>
              </w:rPr>
            </w:pPr>
            <w:r>
              <w:t xml:space="preserve">  </w:t>
            </w:r>
            <w:r>
              <w:rPr>
                <w:b/>
              </w:rPr>
              <w:t>Наименование показателя</w:t>
            </w:r>
          </w:p>
        </w:tc>
        <w:tc>
          <w:tcPr>
            <w:tcW w:w="4169" w:type="dxa"/>
            <w:gridSpan w:val="2"/>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По состоянию на 31.12.2024</w:t>
            </w:r>
          </w:p>
        </w:tc>
      </w:tr>
      <w:tr w:rsidR="00D602D4">
        <w:trPr>
          <w:trHeight w:val="365"/>
          <w:jc w:val="center"/>
        </w:trPr>
        <w:tc>
          <w:tcPr>
            <w:tcW w:w="4809"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fb"/>
              <w:widowControl w:val="0"/>
              <w:spacing w:after="0"/>
            </w:pPr>
            <w:r>
              <w:t>Тип акции</w:t>
            </w:r>
          </w:p>
        </w:tc>
        <w:tc>
          <w:tcPr>
            <w:tcW w:w="1947"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Акция обыкновенная</w:t>
            </w:r>
          </w:p>
        </w:tc>
        <w:tc>
          <w:tcPr>
            <w:tcW w:w="222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Акция привилегированная</w:t>
            </w:r>
          </w:p>
        </w:tc>
      </w:tr>
      <w:tr w:rsidR="00D602D4">
        <w:trPr>
          <w:trHeight w:val="480"/>
          <w:jc w:val="center"/>
        </w:trPr>
        <w:tc>
          <w:tcPr>
            <w:tcW w:w="4809"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f2"/>
              <w:widowControl w:val="0"/>
              <w:ind w:firstLine="0"/>
            </w:pPr>
            <w:r>
              <w:t>Государственный регистрационный номер выпуска (дополнительного выпуска)</w:t>
            </w:r>
          </w:p>
        </w:tc>
        <w:tc>
          <w:tcPr>
            <w:tcW w:w="1947"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1-01-12044-</w:t>
            </w:r>
            <w:r>
              <w:rPr>
                <w:rFonts w:ascii="Times New Roman" w:hAnsi="Times New Roman" w:cs="Times New Roman"/>
                <w:sz w:val="24"/>
                <w:szCs w:val="24"/>
                <w:lang w:val="en-US"/>
              </w:rPr>
              <w:t>F</w:t>
            </w:r>
          </w:p>
        </w:tc>
        <w:tc>
          <w:tcPr>
            <w:tcW w:w="222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2-01-12044-</w:t>
            </w:r>
            <w:r>
              <w:rPr>
                <w:rFonts w:ascii="Times New Roman" w:hAnsi="Times New Roman" w:cs="Times New Roman"/>
                <w:sz w:val="24"/>
                <w:szCs w:val="24"/>
                <w:lang w:val="en-US"/>
              </w:rPr>
              <w:t>F</w:t>
            </w:r>
          </w:p>
        </w:tc>
      </w:tr>
      <w:tr w:rsidR="00D602D4">
        <w:trPr>
          <w:trHeight w:val="113"/>
          <w:jc w:val="center"/>
        </w:trPr>
        <w:tc>
          <w:tcPr>
            <w:tcW w:w="4809"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fb"/>
              <w:widowControl w:val="0"/>
              <w:spacing w:after="0"/>
            </w:pPr>
            <w:r>
              <w:t>Количество размещенных акций, шт.</w:t>
            </w:r>
          </w:p>
        </w:tc>
        <w:tc>
          <w:tcPr>
            <w:tcW w:w="1947"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94 815 163 249</w:t>
            </w:r>
          </w:p>
        </w:tc>
        <w:tc>
          <w:tcPr>
            <w:tcW w:w="222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hAnsi="Times New Roman" w:cs="Times New Roman"/>
                <w:sz w:val="24"/>
                <w:szCs w:val="24"/>
                <w:lang w:val="en-US"/>
              </w:rPr>
            </w:pPr>
            <w:r>
              <w:rPr>
                <w:rFonts w:ascii="Times New Roman" w:hAnsi="Times New Roman" w:cs="Times New Roman"/>
                <w:color w:val="000000"/>
                <w:sz w:val="24"/>
                <w:szCs w:val="24"/>
              </w:rPr>
              <w:t>5 071 030 570</w:t>
            </w:r>
            <w:r>
              <w:rPr>
                <w:rFonts w:ascii="Times New Roman" w:hAnsi="Times New Roman" w:cs="Times New Roman"/>
                <w:color w:val="000000"/>
                <w:sz w:val="24"/>
                <w:szCs w:val="24"/>
                <w:lang w:val="en-US"/>
              </w:rPr>
              <w:t>*</w:t>
            </w:r>
          </w:p>
        </w:tc>
      </w:tr>
      <w:tr w:rsidR="00D602D4">
        <w:trPr>
          <w:trHeight w:val="113"/>
          <w:jc w:val="center"/>
        </w:trPr>
        <w:tc>
          <w:tcPr>
            <w:tcW w:w="4809"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fb"/>
              <w:widowControl w:val="0"/>
              <w:spacing w:after="0"/>
            </w:pPr>
            <w:r>
              <w:t>Доля в уставном капитале, %</w:t>
            </w:r>
          </w:p>
        </w:tc>
        <w:tc>
          <w:tcPr>
            <w:tcW w:w="1947" w:type="dxa"/>
            <w:tcBorders>
              <w:top w:val="single" w:sz="4" w:space="0" w:color="000000"/>
              <w:left w:val="single" w:sz="4" w:space="0" w:color="000000"/>
              <w:bottom w:val="single" w:sz="4" w:space="0" w:color="000000"/>
            </w:tcBorders>
            <w:vAlign w:val="center"/>
          </w:tcPr>
          <w:p w:rsidR="00D602D4" w:rsidRDefault="000B4C86">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94,9</w:t>
            </w:r>
          </w:p>
        </w:tc>
        <w:tc>
          <w:tcPr>
            <w:tcW w:w="2222" w:type="dxa"/>
            <w:tcBorders>
              <w:top w:val="single" w:sz="4" w:space="0" w:color="000000"/>
              <w:left w:val="single" w:sz="4" w:space="0" w:color="000000"/>
              <w:bottom w:val="single" w:sz="4" w:space="0" w:color="000000"/>
            </w:tcBorders>
            <w:vAlign w:val="center"/>
          </w:tcPr>
          <w:p w:rsidR="00D602D4" w:rsidRDefault="000B4C86">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5,1</w:t>
            </w:r>
          </w:p>
        </w:tc>
      </w:tr>
      <w:tr w:rsidR="00D602D4">
        <w:trPr>
          <w:trHeight w:val="113"/>
          <w:jc w:val="center"/>
        </w:trPr>
        <w:tc>
          <w:tcPr>
            <w:tcW w:w="4809"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fb"/>
              <w:widowControl w:val="0"/>
              <w:spacing w:after="0"/>
            </w:pPr>
            <w:r>
              <w:t>Номинальная стоимость одной акции, руб.</w:t>
            </w:r>
          </w:p>
        </w:tc>
        <w:tc>
          <w:tcPr>
            <w:tcW w:w="4169" w:type="dxa"/>
            <w:gridSpan w:val="2"/>
            <w:tcBorders>
              <w:top w:val="single" w:sz="4" w:space="0" w:color="000000"/>
              <w:left w:val="single" w:sz="4" w:space="0" w:color="000000"/>
              <w:bottom w:val="single" w:sz="4" w:space="0" w:color="000000"/>
            </w:tcBorders>
            <w:vAlign w:val="center"/>
          </w:tcPr>
          <w:p w:rsidR="00D602D4" w:rsidRDefault="000B4C86">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0,10</w:t>
            </w:r>
          </w:p>
        </w:tc>
      </w:tr>
      <w:tr w:rsidR="00D602D4">
        <w:trPr>
          <w:trHeight w:val="113"/>
          <w:jc w:val="center"/>
        </w:trPr>
        <w:tc>
          <w:tcPr>
            <w:tcW w:w="4809" w:type="dxa"/>
            <w:tcBorders>
              <w:top w:val="single" w:sz="4" w:space="0" w:color="000000"/>
              <w:left w:val="single" w:sz="4" w:space="0" w:color="000000"/>
              <w:bottom w:val="single" w:sz="4" w:space="0" w:color="000000"/>
              <w:right w:val="single" w:sz="4" w:space="0" w:color="000000"/>
            </w:tcBorders>
            <w:vAlign w:val="center"/>
          </w:tcPr>
          <w:p w:rsidR="00D602D4" w:rsidRDefault="000B4C86">
            <w:pPr>
              <w:pStyle w:val="afb"/>
              <w:widowControl w:val="0"/>
              <w:spacing w:after="0"/>
            </w:pPr>
            <w:r>
              <w:t xml:space="preserve">Количество объявленных акций, шт. </w:t>
            </w:r>
          </w:p>
        </w:tc>
        <w:tc>
          <w:tcPr>
            <w:tcW w:w="1947"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1 157 512 902</w:t>
            </w:r>
          </w:p>
        </w:tc>
        <w:tc>
          <w:tcPr>
            <w:tcW w:w="2222" w:type="dxa"/>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r>
    </w:tbl>
    <w:p w:rsidR="00D602D4" w:rsidRDefault="000B4C86">
      <w:pPr>
        <w:widowControl w:val="0"/>
        <w:spacing w:after="0" w:line="240" w:lineRule="auto"/>
        <w:ind w:firstLine="426"/>
        <w:rPr>
          <w:rFonts w:ascii="Times New Roman" w:hAnsi="Times New Roman" w:cs="Times New Roman"/>
          <w:sz w:val="24"/>
          <w:szCs w:val="24"/>
        </w:rPr>
      </w:pPr>
      <w:r>
        <w:rPr>
          <w:rFonts w:ascii="Times New Roman" w:hAnsi="Times New Roman" w:cs="Times New Roman"/>
          <w:sz w:val="24"/>
          <w:szCs w:val="24"/>
        </w:rPr>
        <w:t>* - 100% привилегированных акций принадлежит ПАО «Россети».</w:t>
      </w:r>
    </w:p>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Акции ПАО «Россети Сибирь» не включены в биржевые индексы и в </w:t>
      </w:r>
      <w:r>
        <w:rPr>
          <w:rFonts w:ascii="Times New Roman" w:eastAsia="Times New Roman" w:hAnsi="Times New Roman" w:cs="Times New Roman"/>
          <w:sz w:val="24"/>
          <w:szCs w:val="24"/>
          <w:lang w:eastAsia="ru-RU"/>
        </w:rPr>
        <w:t xml:space="preserve">ESG-индексы. </w:t>
      </w:r>
    </w:p>
    <w:p w:rsidR="00D602D4" w:rsidRDefault="00D602D4">
      <w:pPr>
        <w:widowControl w:val="0"/>
        <w:spacing w:after="0" w:line="240" w:lineRule="auto"/>
        <w:jc w:val="both"/>
        <w:rPr>
          <w:rFonts w:ascii="Times New Roman" w:hAnsi="Times New Roman" w:cs="Times New Roman"/>
          <w:sz w:val="24"/>
          <w:szCs w:val="24"/>
        </w:rPr>
      </w:pPr>
    </w:p>
    <w:p w:rsidR="00D602D4" w:rsidRDefault="000B4C86">
      <w:pPr>
        <w:spacing w:after="0" w:line="240" w:lineRule="auto"/>
        <w:jc w:val="center"/>
        <w:rPr>
          <w:lang w:eastAsia="ru-RU"/>
        </w:rPr>
      </w:pPr>
      <w:r>
        <w:rPr>
          <w:noProof/>
          <w:lang w:eastAsia="ru-RU"/>
        </w:rPr>
        <w:drawing>
          <wp:inline distT="0" distB="0" distL="0" distR="0">
            <wp:extent cx="4572000" cy="2743200"/>
            <wp:effectExtent l="0" t="0" r="0" b="0"/>
            <wp:docPr id="14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D602D4" w:rsidRDefault="00D602D4">
      <w:pPr>
        <w:spacing w:after="0" w:line="240" w:lineRule="auto"/>
        <w:jc w:val="center"/>
        <w:rPr>
          <w:lang w:eastAsia="ru-RU"/>
        </w:rPr>
      </w:pPr>
    </w:p>
    <w:p w:rsidR="00D602D4" w:rsidRDefault="000B4C86">
      <w:pPr>
        <w:widowControl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Рис. 32 - Структура акционерного капитала Общества по состоянию на 31.12.2024 (указаны доли акционеров в % от уставного капитала.)</w:t>
      </w:r>
    </w:p>
    <w:p w:rsidR="00D602D4" w:rsidRDefault="00D602D4">
      <w:pPr>
        <w:spacing w:after="0" w:line="240" w:lineRule="auto"/>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color w:val="000000"/>
          <w:sz w:val="24"/>
          <w:szCs w:val="24"/>
          <w:shd w:val="clear" w:color="auto" w:fill="FFFFFF"/>
        </w:rPr>
      </w:pPr>
      <w:r>
        <w:rPr>
          <w:rFonts w:ascii="Times New Roman" w:eastAsia="PFDinTextCondPro-Regular" w:hAnsi="Times New Roman" w:cs="Times New Roman"/>
          <w:color w:val="1A1A18"/>
          <w:sz w:val="24"/>
          <w:szCs w:val="24"/>
        </w:rPr>
        <w:t xml:space="preserve">По состоянию на 31.12.2024 ПАО «Россети» являлось крупнейшим акционером и владело 55,65% обыкновенных (голосующих) акций Общества. </w:t>
      </w:r>
      <w:r>
        <w:rPr>
          <w:rFonts w:ascii="Times New Roman" w:hAnsi="Times New Roman" w:cs="Times New Roman"/>
          <w:color w:val="000000"/>
          <w:sz w:val="24"/>
          <w:szCs w:val="24"/>
          <w:shd w:val="clear" w:color="auto" w:fill="FFFFFF"/>
        </w:rPr>
        <w:t>Контролирующим акционером ПАО «Россети» является государство в лице Федерального агентства по управлению государственным имуществом.</w:t>
      </w:r>
    </w:p>
    <w:p w:rsidR="00D602D4" w:rsidRDefault="000B4C86">
      <w:pPr>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111</w:t>
      </w:r>
    </w:p>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Изменения в составе лиц, которые имеют право прямо или косвенно</w:t>
      </w:r>
    </w:p>
    <w:p w:rsidR="00D602D4" w:rsidRDefault="000B4C86">
      <w:pPr>
        <w:widowControl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 распоряжаться не менее чем 5% акций Общества</w:t>
      </w:r>
    </w:p>
    <w:tbl>
      <w:tblPr>
        <w:tblW w:w="9209" w:type="dxa"/>
        <w:jc w:val="center"/>
        <w:tblLook w:val="04A0" w:firstRow="1" w:lastRow="0" w:firstColumn="1" w:lastColumn="0" w:noHBand="0" w:noVBand="1"/>
      </w:tblPr>
      <w:tblGrid>
        <w:gridCol w:w="3180"/>
        <w:gridCol w:w="1785"/>
        <w:gridCol w:w="1267"/>
        <w:gridCol w:w="1751"/>
        <w:gridCol w:w="1226"/>
      </w:tblGrid>
      <w:tr w:rsidR="00D602D4">
        <w:trPr>
          <w:trHeight w:val="170"/>
          <w:jc w:val="center"/>
        </w:trPr>
        <w:tc>
          <w:tcPr>
            <w:tcW w:w="3180" w:type="dxa"/>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Акционер</w:t>
            </w:r>
          </w:p>
        </w:tc>
        <w:tc>
          <w:tcPr>
            <w:tcW w:w="3052" w:type="dxa"/>
            <w:gridSpan w:val="2"/>
            <w:tcBorders>
              <w:top w:val="singl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31.12.2024</w:t>
            </w:r>
          </w:p>
        </w:tc>
        <w:tc>
          <w:tcPr>
            <w:tcW w:w="2977" w:type="dxa"/>
            <w:gridSpan w:val="2"/>
            <w:tcBorders>
              <w:top w:val="singl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color w:val="000000"/>
                <w:sz w:val="24"/>
                <w:szCs w:val="24"/>
                <w:lang w:eastAsia="ru-RU"/>
              </w:rPr>
              <w:t>31.12.2023</w:t>
            </w:r>
          </w:p>
        </w:tc>
      </w:tr>
      <w:tr w:rsidR="00D602D4">
        <w:trPr>
          <w:trHeight w:val="170"/>
          <w:jc w:val="center"/>
        </w:trPr>
        <w:tc>
          <w:tcPr>
            <w:tcW w:w="318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color w:val="000000"/>
                <w:sz w:val="24"/>
                <w:szCs w:val="24"/>
                <w:lang w:eastAsia="ru-RU"/>
              </w:rPr>
            </w:pPr>
          </w:p>
        </w:tc>
        <w:tc>
          <w:tcPr>
            <w:tcW w:w="1785"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Кол-во, шт.</w:t>
            </w:r>
          </w:p>
        </w:tc>
        <w:tc>
          <w:tcPr>
            <w:tcW w:w="126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Доля, %</w:t>
            </w:r>
          </w:p>
        </w:tc>
        <w:tc>
          <w:tcPr>
            <w:tcW w:w="175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Кол-во, шт.</w:t>
            </w:r>
          </w:p>
        </w:tc>
        <w:tc>
          <w:tcPr>
            <w:tcW w:w="122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Доля, %</w:t>
            </w:r>
          </w:p>
        </w:tc>
      </w:tr>
      <w:tr w:rsidR="00D602D4">
        <w:trPr>
          <w:trHeight w:val="170"/>
          <w:jc w:val="center"/>
        </w:trPr>
        <w:tc>
          <w:tcPr>
            <w:tcW w:w="318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ПАО «Россети»</w:t>
            </w:r>
          </w:p>
        </w:tc>
        <w:tc>
          <w:tcPr>
            <w:tcW w:w="1785"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highlight w:val="white"/>
              </w:rPr>
            </w:pPr>
            <w:r>
              <w:rPr>
                <w:rFonts w:ascii="Times New Roman" w:hAnsi="Times New Roman" w:cs="Times New Roman"/>
                <w:color w:val="000000"/>
                <w:sz w:val="24"/>
                <w:szCs w:val="24"/>
                <w:highlight w:val="white"/>
              </w:rPr>
              <w:t>57 831 619 028</w:t>
            </w:r>
          </w:p>
        </w:tc>
        <w:tc>
          <w:tcPr>
            <w:tcW w:w="126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highlight w:val="white"/>
              </w:rPr>
            </w:pPr>
            <w:r>
              <w:rPr>
                <w:rFonts w:ascii="Times New Roman" w:hAnsi="Times New Roman" w:cs="Times New Roman"/>
                <w:color w:val="000000"/>
                <w:sz w:val="24"/>
                <w:szCs w:val="24"/>
                <w:highlight w:val="white"/>
              </w:rPr>
              <w:t>57,90%</w:t>
            </w:r>
          </w:p>
        </w:tc>
        <w:tc>
          <w:tcPr>
            <w:tcW w:w="175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highlight w:val="white"/>
              </w:rPr>
            </w:pPr>
            <w:r>
              <w:rPr>
                <w:rFonts w:ascii="Times New Roman" w:hAnsi="Times New Roman" w:cs="Times New Roman"/>
                <w:color w:val="000000"/>
                <w:sz w:val="24"/>
                <w:szCs w:val="24"/>
                <w:highlight w:val="white"/>
              </w:rPr>
              <w:t>57 831 619 028</w:t>
            </w:r>
          </w:p>
        </w:tc>
        <w:tc>
          <w:tcPr>
            <w:tcW w:w="122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highlight w:val="white"/>
              </w:rPr>
            </w:pPr>
            <w:r>
              <w:rPr>
                <w:rFonts w:ascii="Times New Roman" w:hAnsi="Times New Roman" w:cs="Times New Roman"/>
                <w:color w:val="000000"/>
                <w:sz w:val="24"/>
                <w:szCs w:val="24"/>
                <w:highlight w:val="white"/>
              </w:rPr>
              <w:t>57,90%</w:t>
            </w:r>
          </w:p>
        </w:tc>
      </w:tr>
      <w:tr w:rsidR="00D602D4">
        <w:trPr>
          <w:trHeight w:val="170"/>
          <w:jc w:val="center"/>
        </w:trPr>
        <w:tc>
          <w:tcPr>
            <w:tcW w:w="318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rPr>
              <w:t>Эрглис Лимитед</w:t>
            </w:r>
          </w:p>
        </w:tc>
        <w:tc>
          <w:tcPr>
            <w:tcW w:w="1785"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highlight w:val="white"/>
              </w:rPr>
            </w:pPr>
            <w:r>
              <w:rPr>
                <w:rFonts w:ascii="Times New Roman" w:hAnsi="Times New Roman" w:cs="Times New Roman"/>
                <w:color w:val="000000"/>
                <w:sz w:val="24"/>
                <w:szCs w:val="24"/>
                <w:highlight w:val="white"/>
              </w:rPr>
              <w:t>20 660 490 000</w:t>
            </w:r>
          </w:p>
        </w:tc>
        <w:tc>
          <w:tcPr>
            <w:tcW w:w="126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highlight w:val="white"/>
              </w:rPr>
            </w:pPr>
            <w:r>
              <w:rPr>
                <w:rFonts w:ascii="Times New Roman" w:hAnsi="Times New Roman" w:cs="Times New Roman"/>
                <w:color w:val="000000"/>
                <w:sz w:val="24"/>
                <w:szCs w:val="24"/>
                <w:highlight w:val="white"/>
              </w:rPr>
              <w:t>20,68%</w:t>
            </w:r>
          </w:p>
        </w:tc>
        <w:tc>
          <w:tcPr>
            <w:tcW w:w="175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highlight w:val="white"/>
              </w:rPr>
            </w:pPr>
            <w:r>
              <w:rPr>
                <w:rFonts w:ascii="Times New Roman" w:hAnsi="Times New Roman" w:cs="Times New Roman"/>
                <w:color w:val="000000"/>
                <w:sz w:val="24"/>
                <w:szCs w:val="24"/>
                <w:highlight w:val="white"/>
              </w:rPr>
              <w:t>20 660 490 000</w:t>
            </w:r>
          </w:p>
        </w:tc>
        <w:tc>
          <w:tcPr>
            <w:tcW w:w="122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highlight w:val="white"/>
              </w:rPr>
            </w:pPr>
            <w:r>
              <w:rPr>
                <w:rFonts w:ascii="Times New Roman" w:hAnsi="Times New Roman" w:cs="Times New Roman"/>
                <w:color w:val="000000"/>
                <w:sz w:val="24"/>
                <w:szCs w:val="24"/>
                <w:highlight w:val="white"/>
              </w:rPr>
              <w:t>20,68%</w:t>
            </w:r>
          </w:p>
        </w:tc>
      </w:tr>
      <w:tr w:rsidR="00D602D4">
        <w:trPr>
          <w:trHeight w:val="170"/>
          <w:jc w:val="center"/>
        </w:trPr>
        <w:tc>
          <w:tcPr>
            <w:tcW w:w="318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AIM Capital SE</w:t>
            </w:r>
          </w:p>
        </w:tc>
        <w:tc>
          <w:tcPr>
            <w:tcW w:w="1785"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18 213 639 253</w:t>
            </w:r>
          </w:p>
        </w:tc>
        <w:tc>
          <w:tcPr>
            <w:tcW w:w="126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18,23%</w:t>
            </w:r>
          </w:p>
        </w:tc>
        <w:tc>
          <w:tcPr>
            <w:tcW w:w="175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18 213 639 253</w:t>
            </w:r>
          </w:p>
        </w:tc>
        <w:tc>
          <w:tcPr>
            <w:tcW w:w="122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18,23%</w:t>
            </w:r>
          </w:p>
        </w:tc>
      </w:tr>
      <w:tr w:rsidR="00D602D4">
        <w:trPr>
          <w:trHeight w:val="170"/>
          <w:jc w:val="center"/>
        </w:trPr>
        <w:tc>
          <w:tcPr>
            <w:tcW w:w="318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Прочие акционеры</w:t>
            </w:r>
          </w:p>
        </w:tc>
        <w:tc>
          <w:tcPr>
            <w:tcW w:w="1785"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3 180 445 538</w:t>
            </w:r>
          </w:p>
        </w:tc>
        <w:tc>
          <w:tcPr>
            <w:tcW w:w="126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3,18%</w:t>
            </w:r>
          </w:p>
        </w:tc>
        <w:tc>
          <w:tcPr>
            <w:tcW w:w="175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3 816 547 194</w:t>
            </w:r>
          </w:p>
        </w:tc>
        <w:tc>
          <w:tcPr>
            <w:tcW w:w="122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3,18%</w:t>
            </w:r>
          </w:p>
        </w:tc>
      </w:tr>
      <w:tr w:rsidR="00D602D4">
        <w:trPr>
          <w:trHeight w:val="170"/>
          <w:jc w:val="center"/>
        </w:trPr>
        <w:tc>
          <w:tcPr>
            <w:tcW w:w="3180"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ВСЕГО</w:t>
            </w:r>
          </w:p>
        </w:tc>
        <w:tc>
          <w:tcPr>
            <w:tcW w:w="1785"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99 886 193 819</w:t>
            </w:r>
          </w:p>
        </w:tc>
        <w:tc>
          <w:tcPr>
            <w:tcW w:w="126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100,00%</w:t>
            </w:r>
          </w:p>
        </w:tc>
        <w:tc>
          <w:tcPr>
            <w:tcW w:w="1751"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99 886 193 819</w:t>
            </w:r>
          </w:p>
        </w:tc>
        <w:tc>
          <w:tcPr>
            <w:tcW w:w="122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100,00%</w:t>
            </w:r>
          </w:p>
        </w:tc>
      </w:tr>
    </w:tbl>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Изменений в составе лиц, которые имеют право прямо или косвенно распоряжаться не менее чем 5% акций Общества, за 2024 год не произошло.</w:t>
      </w:r>
    </w:p>
    <w:p w:rsidR="00D602D4" w:rsidRDefault="000B4C86">
      <w:pPr>
        <w:spacing w:after="0" w:line="240" w:lineRule="auto"/>
        <w:ind w:firstLine="709"/>
        <w:jc w:val="both"/>
        <w:rPr>
          <w:rFonts w:ascii="Times New Roman" w:eastAsia="PFDinTextCondPro-Regular" w:hAnsi="Times New Roman" w:cs="Times New Roman"/>
          <w:color w:val="1A1A18"/>
          <w:sz w:val="24"/>
          <w:szCs w:val="24"/>
        </w:rPr>
      </w:pPr>
      <w:r>
        <w:rPr>
          <w:rFonts w:ascii="Times New Roman" w:eastAsia="PFDinTextCondPro-Regular" w:hAnsi="Times New Roman" w:cs="Times New Roman"/>
          <w:color w:val="1A1A18"/>
          <w:sz w:val="24"/>
          <w:szCs w:val="24"/>
        </w:rPr>
        <w:t>ПАО «Россети Сибирь» не владеет информацией о существовании долей владения акциями, превышающих 5 %, помимо уже раскрытых Обществом.</w:t>
      </w:r>
    </w:p>
    <w:p w:rsidR="00D602D4" w:rsidRDefault="000B4C86">
      <w:pPr>
        <w:spacing w:after="0" w:line="240" w:lineRule="auto"/>
        <w:ind w:firstLine="709"/>
        <w:jc w:val="both"/>
        <w:rPr>
          <w:rFonts w:ascii="Times New Roman" w:eastAsia="PFDinTextCondPro-Regular" w:hAnsi="Times New Roman" w:cs="Times New Roman"/>
          <w:color w:val="1A1A18"/>
          <w:sz w:val="24"/>
          <w:szCs w:val="24"/>
        </w:rPr>
      </w:pPr>
      <w:r>
        <w:rPr>
          <w:rFonts w:ascii="Times New Roman" w:eastAsia="PFDinTextCondPro-Regular" w:hAnsi="Times New Roman" w:cs="Times New Roman"/>
          <w:color w:val="1A1A18"/>
          <w:sz w:val="24"/>
          <w:szCs w:val="24"/>
        </w:rPr>
        <w:t>По состоянию на 31.12.2024 акции ПАО «Россети Сибирь» не находились в собственности дочерних и зависимых обществ Компании.</w:t>
      </w:r>
    </w:p>
    <w:p w:rsidR="00D602D4" w:rsidRDefault="000B4C86">
      <w:pPr>
        <w:spacing w:after="0" w:line="240" w:lineRule="auto"/>
        <w:ind w:firstLine="709"/>
        <w:jc w:val="both"/>
        <w:rPr>
          <w:rFonts w:ascii="Times New Roman" w:eastAsia="PFDinTextCondPro-Regular" w:hAnsi="Times New Roman" w:cs="Times New Roman"/>
          <w:color w:val="1A1A18"/>
          <w:sz w:val="24"/>
          <w:szCs w:val="24"/>
        </w:rPr>
      </w:pPr>
      <w:r>
        <w:rPr>
          <w:rFonts w:ascii="Times New Roman" w:eastAsia="PFDinTextCondPro-Regular" w:hAnsi="Times New Roman" w:cs="Times New Roman"/>
          <w:color w:val="1A1A18"/>
          <w:sz w:val="24"/>
          <w:szCs w:val="24"/>
        </w:rPr>
        <w:t>В распоряжении ПАО «Россети Сибирь» отсутствуют собственные акции.</w:t>
      </w:r>
    </w:p>
    <w:p w:rsidR="00D602D4" w:rsidRDefault="000B4C86">
      <w:pPr>
        <w:widowControl w:val="0"/>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112</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Статистическая информация о структуре акционерного капитала Общества</w:t>
      </w:r>
      <w:r>
        <w:rPr>
          <w:rFonts w:ascii="Times New Roman" w:eastAsia="Times New Roman" w:hAnsi="Times New Roman" w:cs="Times New Roman"/>
          <w:color w:val="000000"/>
          <w:sz w:val="24"/>
          <w:szCs w:val="24"/>
          <w:highlight w:val="white"/>
          <w:vertAlign w:val="superscript"/>
          <w:lang w:eastAsia="ru-RU"/>
        </w:rPr>
        <w:footnoteReference w:id="38"/>
      </w:r>
    </w:p>
    <w:tbl>
      <w:tblPr>
        <w:tblW w:w="9635" w:type="dxa"/>
        <w:tblInd w:w="108" w:type="dxa"/>
        <w:tblLayout w:type="fixed"/>
        <w:tblLook w:val="04A0" w:firstRow="1" w:lastRow="0" w:firstColumn="1" w:lastColumn="0" w:noHBand="0" w:noVBand="1"/>
      </w:tblPr>
      <w:tblGrid>
        <w:gridCol w:w="4785"/>
        <w:gridCol w:w="1127"/>
        <w:gridCol w:w="1353"/>
        <w:gridCol w:w="1127"/>
        <w:gridCol w:w="1243"/>
      </w:tblGrid>
      <w:tr w:rsidR="00D602D4">
        <w:trPr>
          <w:trHeight w:val="300"/>
        </w:trPr>
        <w:tc>
          <w:tcPr>
            <w:tcW w:w="4785" w:type="dxa"/>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Тип держателя акций</w:t>
            </w:r>
          </w:p>
        </w:tc>
        <w:tc>
          <w:tcPr>
            <w:tcW w:w="2480" w:type="dxa"/>
            <w:gridSpan w:val="2"/>
            <w:tcBorders>
              <w:top w:val="singl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31.12.2024</w:t>
            </w:r>
          </w:p>
        </w:tc>
        <w:tc>
          <w:tcPr>
            <w:tcW w:w="2370" w:type="dxa"/>
            <w:gridSpan w:val="2"/>
            <w:tcBorders>
              <w:top w:val="singl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31.12.2023</w:t>
            </w:r>
          </w:p>
        </w:tc>
      </w:tr>
      <w:tr w:rsidR="00D602D4">
        <w:trPr>
          <w:trHeight w:val="300"/>
        </w:trPr>
        <w:tc>
          <w:tcPr>
            <w:tcW w:w="4785"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color w:val="000000"/>
                <w:sz w:val="24"/>
                <w:szCs w:val="24"/>
                <w:lang w:eastAsia="ru-RU"/>
              </w:rPr>
            </w:pP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Кол-во, шт.</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Доля в УК, %</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Кол-во, шт.</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Доля в УК, %</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Физические лица</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24 199</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1,9177</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24 254</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1,9458</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Юридические лица</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163</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0,2201</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163</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0,2201</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Номинальные держатели</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24</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97,8248</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97,7961</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Федеральная собственность (</w:t>
            </w:r>
            <w:r>
              <w:rPr>
                <w:rFonts w:ascii="Times New Roman" w:eastAsia="Times New Roman" w:hAnsi="Times New Roman" w:cs="Times New Roman"/>
                <w:sz w:val="24"/>
                <w:szCs w:val="24"/>
              </w:rPr>
              <w:t>Российская Федерация</w:t>
            </w:r>
            <w:r>
              <w:rPr>
                <w:rFonts w:ascii="Times New Roman" w:eastAsia="Times New Roman" w:hAnsi="Times New Roman" w:cs="Times New Roman"/>
                <w:color w:val="000000"/>
                <w:sz w:val="24"/>
                <w:szCs w:val="24"/>
                <w:lang w:eastAsia="ru-RU"/>
              </w:rPr>
              <w:t xml:space="preserve">, субъекты </w:t>
            </w:r>
            <w:r>
              <w:rPr>
                <w:rFonts w:ascii="Times New Roman" w:eastAsia="Times New Roman" w:hAnsi="Times New Roman" w:cs="Times New Roman"/>
                <w:sz w:val="24"/>
                <w:szCs w:val="24"/>
              </w:rPr>
              <w:t>Российской Федерации</w:t>
            </w:r>
            <w:r>
              <w:rPr>
                <w:rFonts w:ascii="Times New Roman" w:eastAsia="Times New Roman" w:hAnsi="Times New Roman" w:cs="Times New Roman"/>
                <w:color w:val="000000"/>
                <w:sz w:val="24"/>
                <w:szCs w:val="24"/>
                <w:lang w:eastAsia="ru-RU"/>
              </w:rPr>
              <w:t>)</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0</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0</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0</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Муниципальная собственность</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1</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0,0002</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0,0002</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Счета совместного владения</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132</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0,0241</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133</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0,0247</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Счета неустановленных лиц</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1</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0,0131</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0,0131</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ВСЕГО</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24 520</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100</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24 559</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100</w:t>
            </w:r>
          </w:p>
        </w:tc>
      </w:tr>
    </w:tbl>
    <w:p w:rsidR="00D602D4" w:rsidRDefault="000B4C8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D602D4" w:rsidRDefault="000B4C86">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Таблица 113</w:t>
      </w:r>
    </w:p>
    <w:tbl>
      <w:tblPr>
        <w:tblW w:w="9609" w:type="dxa"/>
        <w:tblInd w:w="108" w:type="dxa"/>
        <w:tblLayout w:type="fixed"/>
        <w:tblLook w:val="04A0" w:firstRow="1" w:lastRow="0" w:firstColumn="1" w:lastColumn="0" w:noHBand="0" w:noVBand="1"/>
      </w:tblPr>
      <w:tblGrid>
        <w:gridCol w:w="4785"/>
        <w:gridCol w:w="1127"/>
        <w:gridCol w:w="1353"/>
        <w:gridCol w:w="1127"/>
        <w:gridCol w:w="1217"/>
      </w:tblGrid>
      <w:tr w:rsidR="00D602D4">
        <w:trPr>
          <w:trHeight w:val="300"/>
        </w:trPr>
        <w:tc>
          <w:tcPr>
            <w:tcW w:w="4785" w:type="dxa"/>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Тип держателя акций</w:t>
            </w:r>
          </w:p>
        </w:tc>
        <w:tc>
          <w:tcPr>
            <w:tcW w:w="2480" w:type="dxa"/>
            <w:gridSpan w:val="2"/>
            <w:tcBorders>
              <w:top w:val="singl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31.12.2024</w:t>
            </w:r>
          </w:p>
        </w:tc>
        <w:tc>
          <w:tcPr>
            <w:tcW w:w="2344" w:type="dxa"/>
            <w:gridSpan w:val="2"/>
            <w:tcBorders>
              <w:top w:val="singl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31.12.2023</w:t>
            </w:r>
          </w:p>
        </w:tc>
      </w:tr>
      <w:tr w:rsidR="00D602D4">
        <w:trPr>
          <w:trHeight w:val="300"/>
        </w:trPr>
        <w:tc>
          <w:tcPr>
            <w:tcW w:w="4785"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color w:val="000000"/>
                <w:sz w:val="24"/>
                <w:szCs w:val="24"/>
                <w:lang w:eastAsia="ru-RU"/>
              </w:rPr>
            </w:pP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Кол-во, шт.</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Доля в УК, %</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Кол-во, шт.</w:t>
            </w:r>
          </w:p>
        </w:tc>
        <w:tc>
          <w:tcPr>
            <w:tcW w:w="121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Доля в УК, %</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Резиденты </w:t>
            </w:r>
            <w:r>
              <w:rPr>
                <w:rFonts w:ascii="Times New Roman" w:eastAsia="Times New Roman" w:hAnsi="Times New Roman" w:cs="Times New Roman"/>
                <w:sz w:val="24"/>
                <w:szCs w:val="24"/>
              </w:rPr>
              <w:t>Российской Федерации</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24 459</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99,9212</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24 498</w:t>
            </w:r>
          </w:p>
        </w:tc>
        <w:tc>
          <w:tcPr>
            <w:tcW w:w="121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99,9212</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Нерезиденты </w:t>
            </w:r>
            <w:r>
              <w:rPr>
                <w:rFonts w:ascii="Times New Roman" w:eastAsia="Times New Roman" w:hAnsi="Times New Roman" w:cs="Times New Roman"/>
                <w:sz w:val="24"/>
                <w:szCs w:val="24"/>
              </w:rPr>
              <w:t>Российской Федерации</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60</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0,0657</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60</w:t>
            </w:r>
          </w:p>
        </w:tc>
        <w:tc>
          <w:tcPr>
            <w:tcW w:w="121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0,0657</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Счета неустановленных лиц</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1</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0,0131</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121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0,0131</w:t>
            </w:r>
          </w:p>
        </w:tc>
      </w:tr>
      <w:tr w:rsidR="00D602D4">
        <w:trPr>
          <w:trHeight w:val="300"/>
        </w:trPr>
        <w:tc>
          <w:tcPr>
            <w:tcW w:w="478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ИТОГО</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24 520</w:t>
            </w:r>
          </w:p>
        </w:tc>
        <w:tc>
          <w:tcPr>
            <w:tcW w:w="135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sz w:val="24"/>
              </w:rPr>
              <w:t>100</w:t>
            </w:r>
          </w:p>
        </w:tc>
        <w:tc>
          <w:tcPr>
            <w:tcW w:w="112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24 559</w:t>
            </w:r>
          </w:p>
        </w:tc>
        <w:tc>
          <w:tcPr>
            <w:tcW w:w="121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100</w:t>
            </w:r>
          </w:p>
        </w:tc>
      </w:tr>
    </w:tbl>
    <w:p w:rsidR="00D602D4" w:rsidRDefault="00D602D4">
      <w:pPr>
        <w:spacing w:after="0" w:line="240" w:lineRule="auto"/>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Решение об использовании специального права на участие Российской Федерации в управлении Обществом («золотая акция») не принималось.</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Основные показатели торгов ценными бумагами Общества</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PFDinTextCondPro-Regular" w:hAnsi="Times New Roman" w:cs="Times New Roman"/>
          <w:color w:val="1A1A18"/>
          <w:sz w:val="24"/>
          <w:szCs w:val="24"/>
        </w:rPr>
        <w:t>Обыкновенные акции ПАО «Россети Сибирь» допущены к торгам на организованном рынке ценных бумаг с 2008 года. В настоящее время ценные бумаги Компании обращаются на российской фондовой бирже ПАО Московская Биржа в котировальном Списке ценных бумаг Второго уровня.</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С 06.11.2024 обыкновенные акции ПАО «Россети Сибирь» включены в Некотировальную часть списка ценных бумаг, допущенных к торгам, организуемым ПАО «СПБ Биржа». За период 06.11.2024-31.12.2024 сделки с акциями ПАО «Россети Сибирь» на ПАО «СПБ Биржа» отсутствуют. </w:t>
      </w:r>
    </w:p>
    <w:p w:rsidR="00D602D4" w:rsidRDefault="00D602D4">
      <w:pPr>
        <w:widowControl w:val="0"/>
        <w:spacing w:after="0" w:line="240" w:lineRule="auto"/>
        <w:ind w:firstLine="709"/>
        <w:jc w:val="right"/>
        <w:rPr>
          <w:rFonts w:ascii="Times New Roman" w:hAnsi="Times New Roman" w:cs="Times New Roman"/>
          <w:sz w:val="24"/>
          <w:szCs w:val="24"/>
        </w:rPr>
      </w:pPr>
    </w:p>
    <w:p w:rsidR="00D602D4" w:rsidRDefault="00D602D4">
      <w:pPr>
        <w:widowControl w:val="0"/>
        <w:spacing w:after="0" w:line="240" w:lineRule="auto"/>
        <w:ind w:firstLine="709"/>
        <w:jc w:val="right"/>
        <w:rPr>
          <w:rFonts w:ascii="Times New Roman" w:hAnsi="Times New Roman" w:cs="Times New Roman"/>
          <w:sz w:val="24"/>
          <w:szCs w:val="24"/>
        </w:rPr>
      </w:pPr>
    </w:p>
    <w:p w:rsidR="00D602D4" w:rsidRDefault="00D602D4">
      <w:pPr>
        <w:widowControl w:val="0"/>
        <w:spacing w:after="0" w:line="240" w:lineRule="auto"/>
        <w:ind w:firstLine="709"/>
        <w:jc w:val="right"/>
        <w:rPr>
          <w:rFonts w:ascii="Times New Roman" w:hAnsi="Times New Roman" w:cs="Times New Roman"/>
          <w:sz w:val="24"/>
          <w:szCs w:val="24"/>
        </w:rPr>
      </w:pPr>
    </w:p>
    <w:p w:rsidR="00D602D4" w:rsidRDefault="00D602D4">
      <w:pPr>
        <w:widowControl w:val="0"/>
        <w:spacing w:after="0" w:line="240" w:lineRule="auto"/>
        <w:ind w:firstLine="709"/>
        <w:jc w:val="right"/>
        <w:rPr>
          <w:rFonts w:ascii="Times New Roman" w:hAnsi="Times New Roman" w:cs="Times New Roman"/>
          <w:sz w:val="24"/>
          <w:szCs w:val="24"/>
        </w:rPr>
      </w:pPr>
    </w:p>
    <w:p w:rsidR="00D602D4" w:rsidRDefault="000B4C86">
      <w:pPr>
        <w:widowControl w:val="0"/>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Таблица 114</w:t>
      </w:r>
    </w:p>
    <w:p w:rsidR="00D602D4" w:rsidRDefault="000B4C86">
      <w:pPr>
        <w:spacing w:after="0" w:line="240" w:lineRule="auto"/>
        <w:ind w:firstLine="709"/>
        <w:jc w:val="center"/>
        <w:rPr>
          <w:rFonts w:ascii="Times New Roman" w:hAnsi="Times New Roman" w:cs="Times New Roman"/>
          <w:b/>
          <w:bCs/>
          <w:sz w:val="24"/>
          <w:szCs w:val="24"/>
        </w:rPr>
      </w:pPr>
      <w:r>
        <w:rPr>
          <w:rFonts w:ascii="Times New Roman" w:hAnsi="Times New Roman" w:cs="Times New Roman"/>
          <w:b/>
          <w:sz w:val="24"/>
          <w:szCs w:val="24"/>
        </w:rPr>
        <w:t xml:space="preserve">Основные показатели торгов ценными бумагами Общества на </w:t>
      </w:r>
    </w:p>
    <w:p w:rsidR="00D602D4" w:rsidRDefault="000B4C86">
      <w:pPr>
        <w:spacing w:after="0" w:line="240" w:lineRule="auto"/>
        <w:ind w:firstLine="709"/>
        <w:jc w:val="center"/>
        <w:rPr>
          <w:rFonts w:ascii="Times New Roman" w:hAnsi="Times New Roman" w:cs="Times New Roman"/>
          <w:b/>
          <w:bCs/>
          <w:sz w:val="24"/>
          <w:szCs w:val="24"/>
        </w:rPr>
      </w:pPr>
      <w:r>
        <w:rPr>
          <w:rFonts w:ascii="Times New Roman" w:hAnsi="Times New Roman" w:cs="Times New Roman"/>
          <w:b/>
          <w:sz w:val="24"/>
          <w:szCs w:val="24"/>
        </w:rPr>
        <w:t>ПАО Московская Биржа</w:t>
      </w:r>
    </w:p>
    <w:tbl>
      <w:tblPr>
        <w:tblW w:w="9214" w:type="dxa"/>
        <w:jc w:val="center"/>
        <w:tblLook w:val="04A0" w:firstRow="1" w:lastRow="0" w:firstColumn="1" w:lastColumn="0" w:noHBand="0" w:noVBand="1"/>
      </w:tblPr>
      <w:tblGrid>
        <w:gridCol w:w="2835"/>
        <w:gridCol w:w="1134"/>
        <w:gridCol w:w="1240"/>
        <w:gridCol w:w="1240"/>
        <w:gridCol w:w="1110"/>
        <w:gridCol w:w="1655"/>
      </w:tblGrid>
      <w:tr w:rsidR="00D602D4">
        <w:trPr>
          <w:trHeight w:val="170"/>
          <w:jc w:val="center"/>
        </w:trPr>
        <w:tc>
          <w:tcPr>
            <w:tcW w:w="283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Показатели</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Ед.изм.</w:t>
            </w:r>
          </w:p>
        </w:tc>
        <w:tc>
          <w:tcPr>
            <w:tcW w:w="124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jc w:val="center"/>
            </w:pPr>
            <w:r>
              <w:rPr>
                <w:rFonts w:ascii="Times New Roman" w:eastAsia="Times New Roman" w:hAnsi="Times New Roman" w:cs="Times New Roman"/>
                <w:b/>
                <w:color w:val="000000"/>
              </w:rPr>
              <w:t>2022 год</w:t>
            </w:r>
          </w:p>
        </w:tc>
        <w:tc>
          <w:tcPr>
            <w:tcW w:w="124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jc w:val="center"/>
            </w:pPr>
            <w:r>
              <w:rPr>
                <w:rFonts w:ascii="Times New Roman" w:eastAsia="Times New Roman" w:hAnsi="Times New Roman" w:cs="Times New Roman"/>
                <w:b/>
                <w:color w:val="000000"/>
              </w:rPr>
              <w:t>2023 год</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jc w:val="center"/>
            </w:pPr>
            <w:r>
              <w:rPr>
                <w:rFonts w:ascii="Times New Roman" w:eastAsia="Times New Roman" w:hAnsi="Times New Roman" w:cs="Times New Roman"/>
                <w:b/>
                <w:color w:val="000000"/>
              </w:rPr>
              <w:t>2024 год</w:t>
            </w:r>
          </w:p>
        </w:tc>
        <w:tc>
          <w:tcPr>
            <w:tcW w:w="1655"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center"/>
            </w:pPr>
            <w:r>
              <w:rPr>
                <w:rFonts w:ascii="Times New Roman" w:eastAsia="Times New Roman" w:hAnsi="Times New Roman" w:cs="Times New Roman"/>
                <w:b/>
                <w:color w:val="000000"/>
              </w:rPr>
              <w:t>изменение</w:t>
            </w:r>
          </w:p>
        </w:tc>
      </w:tr>
      <w:tr w:rsidR="00D602D4">
        <w:trPr>
          <w:trHeight w:val="170"/>
          <w:jc w:val="center"/>
        </w:trPr>
        <w:tc>
          <w:tcPr>
            <w:tcW w:w="2835"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bCs/>
                <w:color w:val="000000"/>
                <w:lang w:eastAsia="ru-RU"/>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bCs/>
                <w:color w:val="000000"/>
                <w:lang w:eastAsia="ru-RU"/>
              </w:rPr>
            </w:pPr>
          </w:p>
        </w:tc>
        <w:tc>
          <w:tcPr>
            <w:tcW w:w="124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bCs/>
                <w:color w:val="000000"/>
                <w:lang w:eastAsia="ru-RU"/>
              </w:rPr>
            </w:pPr>
          </w:p>
        </w:tc>
        <w:tc>
          <w:tcPr>
            <w:tcW w:w="124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bCs/>
                <w:color w:val="000000"/>
                <w:lang w:eastAsia="ru-RU"/>
              </w:rPr>
            </w:pPr>
          </w:p>
        </w:tc>
        <w:tc>
          <w:tcPr>
            <w:tcW w:w="1110"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spacing w:after="0" w:line="240" w:lineRule="auto"/>
              <w:rPr>
                <w:rFonts w:ascii="Times New Roman" w:eastAsia="Times New Roman" w:hAnsi="Times New Roman" w:cs="Times New Roman"/>
                <w:b/>
                <w:bCs/>
                <w:color w:val="000000"/>
                <w:lang w:eastAsia="ru-RU"/>
              </w:rPr>
            </w:pPr>
          </w:p>
        </w:tc>
        <w:tc>
          <w:tcPr>
            <w:tcW w:w="165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center"/>
            </w:pPr>
            <w:r>
              <w:rPr>
                <w:rFonts w:ascii="Times New Roman" w:eastAsia="Times New Roman" w:hAnsi="Times New Roman" w:cs="Times New Roman"/>
                <w:b/>
                <w:color w:val="000000"/>
              </w:rPr>
              <w:t>2024/2023, %</w:t>
            </w:r>
          </w:p>
        </w:tc>
      </w:tr>
      <w:tr w:rsidR="00D602D4">
        <w:trPr>
          <w:trHeight w:val="170"/>
          <w:jc w:val="center"/>
        </w:trPr>
        <w:tc>
          <w:tcPr>
            <w:tcW w:w="283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Рыночная капитализация на последний день торгов</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млрд руб. </w:t>
            </w:r>
          </w:p>
        </w:tc>
        <w:tc>
          <w:tcPr>
            <w:tcW w:w="124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rPr>
              <w:t>23,4</w:t>
            </w:r>
          </w:p>
        </w:tc>
        <w:tc>
          <w:tcPr>
            <w:tcW w:w="124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D602D4" w:rsidRDefault="000B4C86">
            <w:pPr>
              <w:spacing w:after="0"/>
              <w:jc w:val="right"/>
            </w:pPr>
            <w:r>
              <w:rPr>
                <w:rFonts w:ascii="Times New Roman" w:eastAsia="Times New Roman" w:hAnsi="Times New Roman" w:cs="Times New Roman"/>
                <w:color w:val="000000"/>
              </w:rPr>
              <w:t>66,0</w:t>
            </w:r>
          </w:p>
        </w:tc>
        <w:tc>
          <w:tcPr>
            <w:tcW w:w="111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right"/>
            </w:pPr>
            <w:r>
              <w:rPr>
                <w:rFonts w:ascii="Times New Roman" w:eastAsia="Times New Roman" w:hAnsi="Times New Roman" w:cs="Times New Roman"/>
                <w:color w:val="000000"/>
              </w:rPr>
              <w:t>54,4</w:t>
            </w:r>
          </w:p>
        </w:tc>
        <w:tc>
          <w:tcPr>
            <w:tcW w:w="165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right"/>
            </w:pPr>
            <w:r>
              <w:rPr>
                <w:rFonts w:ascii="Times New Roman" w:eastAsia="Times New Roman" w:hAnsi="Times New Roman" w:cs="Times New Roman"/>
                <w:color w:val="000000"/>
              </w:rPr>
              <w:t>-17,6</w:t>
            </w:r>
          </w:p>
        </w:tc>
      </w:tr>
      <w:tr w:rsidR="00D602D4">
        <w:trPr>
          <w:trHeight w:val="170"/>
          <w:jc w:val="center"/>
        </w:trPr>
        <w:tc>
          <w:tcPr>
            <w:tcW w:w="283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Объем торгов акциями (динамика)</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млн руб.</w:t>
            </w:r>
          </w:p>
        </w:tc>
        <w:tc>
          <w:tcPr>
            <w:tcW w:w="124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right"/>
            </w:pPr>
            <w:r>
              <w:rPr>
                <w:rFonts w:ascii="Times New Roman" w:eastAsia="Times New Roman" w:hAnsi="Times New Roman" w:cs="Times New Roman"/>
                <w:color w:val="000000"/>
              </w:rPr>
              <w:t>971,1</w:t>
            </w:r>
          </w:p>
        </w:tc>
        <w:tc>
          <w:tcPr>
            <w:tcW w:w="124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right"/>
            </w:pPr>
            <w:r>
              <w:rPr>
                <w:rFonts w:ascii="Times New Roman" w:eastAsia="Times New Roman" w:hAnsi="Times New Roman" w:cs="Times New Roman"/>
                <w:color w:val="000000"/>
              </w:rPr>
              <w:t>10 952,2</w:t>
            </w:r>
          </w:p>
        </w:tc>
        <w:tc>
          <w:tcPr>
            <w:tcW w:w="111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right"/>
            </w:pPr>
            <w:r>
              <w:rPr>
                <w:rFonts w:ascii="Times New Roman" w:eastAsia="Times New Roman" w:hAnsi="Times New Roman" w:cs="Times New Roman"/>
                <w:color w:val="000000"/>
              </w:rPr>
              <w:t>8 243,4</w:t>
            </w:r>
          </w:p>
        </w:tc>
        <w:tc>
          <w:tcPr>
            <w:tcW w:w="165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right"/>
            </w:pPr>
            <w:r>
              <w:rPr>
                <w:rFonts w:ascii="Times New Roman" w:eastAsia="Times New Roman" w:hAnsi="Times New Roman" w:cs="Times New Roman"/>
                <w:color w:val="000000"/>
              </w:rPr>
              <w:t>-24,7</w:t>
            </w:r>
          </w:p>
        </w:tc>
      </w:tr>
      <w:tr w:rsidR="00D602D4">
        <w:trPr>
          <w:trHeight w:val="170"/>
          <w:jc w:val="center"/>
        </w:trPr>
        <w:tc>
          <w:tcPr>
            <w:tcW w:w="283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spacing w:after="0" w:line="240" w:lineRule="auto"/>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Количество совершенных сделок с акциями (динамика)</w:t>
            </w:r>
          </w:p>
        </w:tc>
        <w:tc>
          <w:tcPr>
            <w:tcW w:w="1134"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тыс. шт.</w:t>
            </w:r>
          </w:p>
        </w:tc>
        <w:tc>
          <w:tcPr>
            <w:tcW w:w="124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right"/>
            </w:pPr>
            <w:r>
              <w:rPr>
                <w:rFonts w:ascii="Times New Roman" w:eastAsia="Times New Roman" w:hAnsi="Times New Roman" w:cs="Times New Roman"/>
                <w:color w:val="000000"/>
              </w:rPr>
              <w:t>68,5</w:t>
            </w:r>
          </w:p>
        </w:tc>
        <w:tc>
          <w:tcPr>
            <w:tcW w:w="124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right"/>
            </w:pPr>
            <w:r>
              <w:rPr>
                <w:rFonts w:ascii="Times New Roman" w:eastAsia="Times New Roman" w:hAnsi="Times New Roman" w:cs="Times New Roman"/>
                <w:color w:val="000000"/>
              </w:rPr>
              <w:t>489,6</w:t>
            </w:r>
          </w:p>
        </w:tc>
        <w:tc>
          <w:tcPr>
            <w:tcW w:w="1110"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right"/>
            </w:pPr>
            <w:r>
              <w:rPr>
                <w:rFonts w:ascii="Times New Roman" w:eastAsia="Times New Roman" w:hAnsi="Times New Roman" w:cs="Times New Roman"/>
                <w:color w:val="000000"/>
              </w:rPr>
              <w:t>360,8</w:t>
            </w:r>
          </w:p>
        </w:tc>
        <w:tc>
          <w:tcPr>
            <w:tcW w:w="1655" w:type="dxa"/>
            <w:tcBorders>
              <w:top w:val="none" w:sz="4" w:space="0" w:color="000000"/>
              <w:left w:val="none" w:sz="4" w:space="0" w:color="000000"/>
              <w:bottom w:val="single" w:sz="4" w:space="0" w:color="000000"/>
              <w:right w:val="single" w:sz="4" w:space="0" w:color="000000"/>
            </w:tcBorders>
            <w:shd w:val="clear" w:color="FFFFFF" w:fill="FFFFFF"/>
            <w:vAlign w:val="center"/>
          </w:tcPr>
          <w:p w:rsidR="00D602D4" w:rsidRDefault="000B4C86">
            <w:pPr>
              <w:spacing w:after="0"/>
              <w:jc w:val="right"/>
            </w:pPr>
            <w:r>
              <w:rPr>
                <w:rFonts w:ascii="Times New Roman" w:eastAsia="Times New Roman" w:hAnsi="Times New Roman" w:cs="Times New Roman"/>
                <w:color w:val="000000"/>
              </w:rPr>
              <w:t>-26,3</w:t>
            </w:r>
          </w:p>
        </w:tc>
      </w:tr>
    </w:tbl>
    <w:p w:rsidR="00D602D4" w:rsidRDefault="00D602D4">
      <w:pPr>
        <w:spacing w:after="0" w:line="240" w:lineRule="auto"/>
        <w:jc w:val="both"/>
        <w:rPr>
          <w:rFonts w:ascii="Times New Roman" w:hAnsi="Times New Roman" w:cs="Times New Roman"/>
          <w:sz w:val="24"/>
          <w:szCs w:val="24"/>
        </w:rPr>
      </w:pPr>
    </w:p>
    <w:p w:rsidR="00D602D4" w:rsidRDefault="000B4C86">
      <w:pPr>
        <w:pBdr>
          <w:top w:val="none" w:sz="4" w:space="0" w:color="000000"/>
          <w:left w:val="none" w:sz="4" w:space="0" w:color="000000"/>
          <w:bottom w:val="none" w:sz="4" w:space="0" w:color="000000"/>
          <w:right w:val="none" w:sz="4" w:space="0" w:color="000000"/>
        </w:pBdr>
        <w:ind w:firstLine="709"/>
        <w:jc w:val="both"/>
        <w:rPr>
          <w:rFonts w:ascii="Times New Roman" w:hAnsi="Times New Roman" w:cs="Times New Roman"/>
          <w:sz w:val="24"/>
          <w:szCs w:val="24"/>
        </w:rPr>
      </w:pPr>
      <w:r>
        <w:rPr>
          <w:rFonts w:ascii="Times New Roman" w:eastAsia="Times New Roman" w:hAnsi="Times New Roman" w:cs="Times New Roman"/>
          <w:color w:val="000000"/>
          <w:sz w:val="24"/>
          <w:szCs w:val="24"/>
        </w:rPr>
        <w:t>Ликвидность акций в 2024 году обеспечивали привлеченные маркет-мейкеры: АО «ИК РИКОМ-ТРАСТ» (с 01.01.2024 по 28.02.2024), АО ИК «ФИНАМ» (с 01.01.2024 по 28.02.2024), АО «ИВА Партнерс» (с 29.03.2024 по 04.12.2024) и ООО «Цифра брокер» (с 12.03.2024 по 31.12.2024).</w:t>
      </w:r>
    </w:p>
    <w:p w:rsidR="00D602D4" w:rsidRDefault="00D602D4">
      <w:pPr>
        <w:spacing w:after="0" w:line="240" w:lineRule="auto"/>
        <w:jc w:val="both"/>
        <w:rPr>
          <w:rFonts w:ascii="Times New Roman" w:hAnsi="Times New Roman" w:cs="Times New Roman"/>
          <w:sz w:val="24"/>
          <w:szCs w:val="24"/>
        </w:rPr>
      </w:pPr>
    </w:p>
    <w:p w:rsidR="00D602D4" w:rsidRDefault="000B4C86">
      <w:pPr>
        <w:spacing w:after="0" w:line="240" w:lineRule="auto"/>
        <w:rPr>
          <w:rFonts w:ascii="Times New Roman" w:hAnsi="Times New Roman" w:cs="Times New Roman"/>
          <w:sz w:val="24"/>
          <w:szCs w:val="24"/>
        </w:rPr>
      </w:pPr>
      <w:r>
        <w:rPr>
          <w:noProof/>
          <w:lang w:eastAsia="ru-RU"/>
        </w:rPr>
        <w:drawing>
          <wp:inline distT="0" distB="0" distL="0" distR="0">
            <wp:extent cx="6196352" cy="2816693"/>
            <wp:effectExtent l="4762" t="4762" r="4762" b="4762"/>
            <wp:docPr id="150" name="Диаграмма 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D602D4" w:rsidRDefault="000B4C86">
      <w:pPr>
        <w:spacing w:after="0" w:line="240" w:lineRule="auto"/>
        <w:jc w:val="both"/>
        <w:rPr>
          <w:rFonts w:ascii="Times New Roman" w:hAnsi="Times New Roman" w:cs="Times New Roman"/>
          <w:sz w:val="24"/>
          <w:szCs w:val="24"/>
        </w:rPr>
      </w:pPr>
      <w:r>
        <w:rPr>
          <w:rFonts w:ascii="Times New Roman" w:hAnsi="Times New Roman" w:cs="Times New Roman"/>
          <w:iCs/>
          <w:color w:val="1A1A18"/>
          <w:sz w:val="24"/>
          <w:szCs w:val="24"/>
        </w:rPr>
        <w:t>Рис. 33 - Динамика котировок акций ПАО «Россети Сибирь» в сравнении с динамикой Индекса ПАО Московская Биржа (IMOEX) и Индекса ПАО Московская Биржа Электроэнергетика (MOEXEU) в 2024 году</w:t>
      </w:r>
    </w:p>
    <w:p w:rsidR="00D602D4" w:rsidRDefault="00D602D4">
      <w:pPr>
        <w:widowControl w:val="0"/>
        <w:spacing w:after="0" w:line="240" w:lineRule="auto"/>
        <w:ind w:firstLine="709"/>
        <w:jc w:val="both"/>
        <w:rPr>
          <w:rFonts w:ascii="Times New Roman" w:hAnsi="Times New Roman" w:cs="Times New Roman"/>
          <w:b/>
          <w:sz w:val="24"/>
          <w:szCs w:val="24"/>
        </w:rPr>
      </w:pPr>
    </w:p>
    <w:p w:rsidR="00D602D4" w:rsidRDefault="000B4C86">
      <w:pPr>
        <w:widowControl w:val="0"/>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Капитализация.</w:t>
      </w:r>
    </w:p>
    <w:p w:rsidR="00D602D4" w:rsidRDefault="000B4C86">
      <w:pPr>
        <w:widowControl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За период с 29.12.2023 по 30.12.2024 средневзвешенная цена акции ПАО «Россети Сибирь» снизилась на 17,6% (с 0,6960 руб. до 0,5735 руб.). Капитализация Общества на 30.12.2024 составила </w:t>
      </w:r>
      <w:r>
        <w:rPr>
          <w:rFonts w:ascii="Times New Roman" w:hAnsi="Times New Roman" w:cs="Times New Roman"/>
          <w:b/>
          <w:sz w:val="24"/>
          <w:szCs w:val="24"/>
        </w:rPr>
        <w:t>54</w:t>
      </w:r>
      <w:r>
        <w:rPr>
          <w:rFonts w:ascii="Times New Roman" w:hAnsi="Times New Roman" w:cs="Times New Roman"/>
          <w:b/>
          <w:bCs/>
          <w:sz w:val="24"/>
          <w:szCs w:val="24"/>
        </w:rPr>
        <w:t>,4</w:t>
      </w:r>
      <w:r>
        <w:rPr>
          <w:rFonts w:ascii="Times New Roman" w:hAnsi="Times New Roman" w:cs="Times New Roman"/>
          <w:sz w:val="24"/>
          <w:szCs w:val="24"/>
        </w:rPr>
        <w:t xml:space="preserve"> млрд руб., снижение за 2024 год на 17,6%.</w:t>
      </w:r>
    </w:p>
    <w:p w:rsidR="00D602D4" w:rsidRDefault="000B4C86">
      <w:pPr>
        <w:widowControl w:val="0"/>
        <w:spacing w:after="0" w:line="240" w:lineRule="auto"/>
        <w:ind w:firstLine="709"/>
        <w:jc w:val="both"/>
        <w:rPr>
          <w:rFonts w:ascii="Times New Roman" w:hAnsi="Times New Roman"/>
          <w:sz w:val="24"/>
          <w:szCs w:val="24"/>
        </w:rPr>
      </w:pPr>
      <w:r>
        <w:rPr>
          <w:rFonts w:ascii="Times New Roman" w:hAnsi="Times New Roman"/>
          <w:sz w:val="24"/>
          <w:szCs w:val="24"/>
        </w:rPr>
        <w:t>Факторы, которые могли оказать влияние на цену акций и капитализацию ПАО «Россети Сибирь» в 2024 году:</w:t>
      </w:r>
    </w:p>
    <w:p w:rsidR="00D602D4" w:rsidRDefault="000B4C86">
      <w:pPr>
        <w:pStyle w:val="Default"/>
        <w:ind w:firstLine="709"/>
        <w:jc w:val="both"/>
        <w:rPr>
          <w:rFonts w:ascii="Times New Roman" w:eastAsiaTheme="minorEastAsia" w:hAnsi="Times New Roman" w:cs="Times New Roman"/>
          <w:color w:val="auto"/>
        </w:rPr>
      </w:pPr>
      <w:r>
        <w:rPr>
          <w:rFonts w:ascii="Times New Roman" w:eastAsiaTheme="minorEastAsia" w:hAnsi="Times New Roman" w:cs="Times New Roman"/>
          <w:color w:val="auto"/>
        </w:rPr>
        <w:t xml:space="preserve">- общее снижение рынка акций (снижение индекса Мосбиржи 7,0%, индекса электроэнергетики 14,9%); </w:t>
      </w:r>
    </w:p>
    <w:p w:rsidR="00D602D4" w:rsidRDefault="000B4C86">
      <w:pPr>
        <w:pStyle w:val="Default"/>
        <w:ind w:firstLine="709"/>
        <w:jc w:val="both"/>
        <w:rPr>
          <w:rFonts w:ascii="Times New Roman" w:eastAsiaTheme="minorEastAsia" w:hAnsi="Times New Roman" w:cs="Times New Roman"/>
          <w:color w:val="auto"/>
          <w:sz w:val="26"/>
          <w:szCs w:val="26"/>
        </w:rPr>
      </w:pPr>
      <w:r>
        <w:rPr>
          <w:rFonts w:ascii="Times New Roman" w:eastAsiaTheme="minorEastAsia" w:hAnsi="Times New Roman" w:cs="Times New Roman"/>
          <w:color w:val="auto"/>
        </w:rPr>
        <w:t>- публикация бухгалтерской (финансовой) отчетности по РСБУ за 12 месяцев 2023 года, 3, 6 и 9 месяцев 2024 года;</w:t>
      </w:r>
    </w:p>
    <w:p w:rsidR="00D602D4" w:rsidRDefault="000B4C86">
      <w:pPr>
        <w:pStyle w:val="Default"/>
        <w:ind w:firstLine="709"/>
        <w:jc w:val="both"/>
        <w:rPr>
          <w:rFonts w:ascii="Times New Roman" w:eastAsiaTheme="minorEastAsia" w:hAnsi="Times New Roman" w:cs="Times New Roman"/>
          <w:color w:val="auto"/>
          <w:sz w:val="26"/>
          <w:szCs w:val="26"/>
        </w:rPr>
      </w:pPr>
      <w:r>
        <w:rPr>
          <w:rFonts w:ascii="Times New Roman" w:eastAsiaTheme="minorEastAsia" w:hAnsi="Times New Roman" w:cs="Times New Roman"/>
          <w:color w:val="auto"/>
        </w:rPr>
        <w:lastRenderedPageBreak/>
        <w:t>- публикация бухгалтерской (финансовой) отчетности по МСФО за 12 месяцев 2023 года и 1 полугодие 2024 года;</w:t>
      </w:r>
    </w:p>
    <w:p w:rsidR="00D602D4" w:rsidRDefault="000B4C86">
      <w:pPr>
        <w:pStyle w:val="Default"/>
        <w:ind w:firstLine="709"/>
        <w:jc w:val="both"/>
        <w:rPr>
          <w:rFonts w:ascii="Times New Roman" w:eastAsiaTheme="minorEastAsia" w:hAnsi="Times New Roman" w:cs="Times New Roman"/>
          <w:color w:val="auto"/>
          <w:sz w:val="26"/>
          <w:szCs w:val="26"/>
        </w:rPr>
      </w:pPr>
      <w:r>
        <w:rPr>
          <w:rFonts w:ascii="Times New Roman" w:eastAsiaTheme="minorEastAsia" w:hAnsi="Times New Roman" w:cs="Times New Roman"/>
          <w:color w:val="auto"/>
        </w:rPr>
        <w:t>- проведение интернет-конференций на сайте Общества: 29.03.2024 – по итогам 2023 года, 17.06.2024 – по итогам 1 квартала 2024 года, 29.08.2024 - по итогам 1 полугодия 2024 года и 05.12.2024 - по итогам 9 месяцев 2024 года;</w:t>
      </w:r>
    </w:p>
    <w:p w:rsidR="00D602D4" w:rsidRDefault="000B4C86">
      <w:pPr>
        <w:pStyle w:val="Default"/>
        <w:numPr>
          <w:ilvl w:val="0"/>
          <w:numId w:val="25"/>
        </w:numPr>
        <w:tabs>
          <w:tab w:val="left" w:pos="992"/>
        </w:tabs>
        <w:ind w:left="0" w:firstLine="709"/>
        <w:jc w:val="both"/>
        <w:rPr>
          <w:rFonts w:ascii="Times New Roman" w:eastAsiaTheme="minorEastAsia" w:hAnsi="Times New Roman" w:cs="Times New Roman"/>
          <w:color w:val="auto"/>
          <w:sz w:val="26"/>
          <w:szCs w:val="26"/>
        </w:rPr>
      </w:pPr>
      <w:r>
        <w:rPr>
          <w:rFonts w:ascii="Times New Roman" w:eastAsiaTheme="minorEastAsia" w:hAnsi="Times New Roman" w:cs="Times New Roman"/>
          <w:color w:val="auto"/>
        </w:rPr>
        <w:t>повышение ставок по вкладам крупными банками  вслед за ростом ключевой ставки Банка России, что привело к оттоку денежных средств с биржи и снижению котировок;</w:t>
      </w:r>
    </w:p>
    <w:p w:rsidR="00D602D4" w:rsidRDefault="000B4C86">
      <w:pPr>
        <w:spacing w:after="0"/>
        <w:ind w:firstLine="709"/>
        <w:jc w:val="both"/>
        <w:rPr>
          <w:rFonts w:ascii="Times New Roman" w:eastAsiaTheme="minorEastAsia" w:hAnsi="Times New Roman"/>
          <w:sz w:val="24"/>
          <w:szCs w:val="24"/>
        </w:rPr>
      </w:pPr>
      <w:r>
        <w:rPr>
          <w:rFonts w:ascii="Times New Roman" w:eastAsiaTheme="minorEastAsia" w:hAnsi="Times New Roman" w:cs="Times New Roman"/>
          <w:sz w:val="24"/>
          <w:szCs w:val="24"/>
        </w:rPr>
        <w:t>- принятие на ГОСА 18.06.2024 решения о невыплате дивидендов.</w:t>
      </w:r>
    </w:p>
    <w:p w:rsidR="00D602D4" w:rsidRDefault="000B4C86">
      <w:pPr>
        <w:spacing w:after="0" w:line="240" w:lineRule="auto"/>
        <w:jc w:val="both"/>
        <w:rPr>
          <w:rFonts w:ascii="Times New Roman" w:hAnsi="Times New Roman" w:cs="Times New Roman"/>
          <w:sz w:val="24"/>
          <w:szCs w:val="24"/>
        </w:rPr>
      </w:pPr>
      <w:r>
        <w:rPr>
          <w:noProof/>
          <w:lang w:eastAsia="ru-RU"/>
        </w:rPr>
        <w:drawing>
          <wp:inline distT="0" distB="0" distL="0" distR="0">
            <wp:extent cx="6215403" cy="2248127"/>
            <wp:effectExtent l="4762" t="4762" r="4762" b="4762"/>
            <wp:docPr id="1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D602D4" w:rsidRDefault="000B4C86">
      <w:pPr>
        <w:spacing w:after="0" w:line="240" w:lineRule="auto"/>
        <w:jc w:val="both"/>
        <w:rPr>
          <w:rFonts w:ascii="Times New Roman" w:hAnsi="Times New Roman" w:cs="Times New Roman"/>
          <w:sz w:val="24"/>
          <w:szCs w:val="24"/>
        </w:rPr>
      </w:pPr>
      <w:r>
        <w:rPr>
          <w:rFonts w:ascii="Times New Roman" w:hAnsi="Times New Roman" w:cs="Times New Roman"/>
          <w:iCs/>
          <w:color w:val="1A1A18"/>
          <w:sz w:val="24"/>
          <w:szCs w:val="24"/>
        </w:rPr>
        <w:t>Рис. 34 - Динамика цены и объема торгов акциями ПАО «Россети Сибирь» на ПАО Московская Биржа в 2024году</w:t>
      </w:r>
    </w:p>
    <w:p w:rsidR="00D602D4" w:rsidRDefault="00D602D4">
      <w:pPr>
        <w:spacing w:after="0" w:line="240" w:lineRule="auto"/>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Распределение прибыли и дивидендная политика</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tabs>
          <w:tab w:val="left" w:pos="9356"/>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Дивидендная политика Общества направлена на повышение инвестиционной привлекательности Общества и увеличение его рыночной капитализации. Политика основывается на балансе интересов Общества и его акционеров.</w:t>
      </w:r>
    </w:p>
    <w:p w:rsidR="00D602D4" w:rsidRDefault="000B4C86">
      <w:pPr>
        <w:pStyle w:val="afd"/>
        <w:widowControl w:val="0"/>
        <w:spacing w:after="0" w:line="240" w:lineRule="auto"/>
        <w:ind w:firstLine="709"/>
        <w:jc w:val="both"/>
      </w:pPr>
      <w:r>
        <w:t xml:space="preserve">01.02.2018 (протокол от 01.02.2018 № 264/18) Советом директоров утверждено Положение о дивидендной политике ПАО «Россети Сибирь», согласно которому дивидендная политика Общества основывается на следующих принципах: </w:t>
      </w:r>
    </w:p>
    <w:p w:rsidR="00D602D4" w:rsidRDefault="000B4C86">
      <w:pPr>
        <w:pStyle w:val="afd"/>
        <w:widowControl w:val="0"/>
        <w:spacing w:after="0" w:line="240" w:lineRule="auto"/>
        <w:ind w:firstLine="709"/>
        <w:jc w:val="both"/>
      </w:pPr>
      <w:r>
        <w:t>- соответствие принятой в Обществе практики начисления и выплаты дивидендов законодательству Российской Федерации (распоряжение Правительства Российской Федерации от 29.05.2017 №1094-р) и стандартам корпоративного управления;</w:t>
      </w:r>
    </w:p>
    <w:p w:rsidR="00D602D4" w:rsidRDefault="000B4C86">
      <w:pPr>
        <w:pStyle w:val="afd"/>
        <w:widowControl w:val="0"/>
        <w:spacing w:after="0" w:line="240" w:lineRule="auto"/>
        <w:ind w:firstLine="709"/>
        <w:jc w:val="both"/>
      </w:pPr>
      <w:r>
        <w:t>- оптимальное сочетание интересов Общества и акционеров;</w:t>
      </w:r>
    </w:p>
    <w:p w:rsidR="00D602D4" w:rsidRDefault="000B4C86">
      <w:pPr>
        <w:pStyle w:val="afd"/>
        <w:widowControl w:val="0"/>
        <w:spacing w:after="0" w:line="240" w:lineRule="auto"/>
        <w:ind w:firstLine="709"/>
        <w:jc w:val="both"/>
      </w:pPr>
      <w:r>
        <w:t>- определение размера дивидендов в объеме не менее 50% от чистой прибыли, определенной по данным финансовой отчетности, в том числе консолидированной, составленной в соответствии с Международными стандартами финансовой отчетности, и рассчитанной в соответствии с порядком, установленным Положением о дивидендной политике ПАО «Россети Сибирь»;</w:t>
      </w:r>
    </w:p>
    <w:p w:rsidR="00D602D4" w:rsidRDefault="000B4C86">
      <w:pPr>
        <w:pStyle w:val="afd"/>
        <w:widowControl w:val="0"/>
        <w:spacing w:after="0" w:line="240" w:lineRule="auto"/>
        <w:ind w:firstLine="709"/>
        <w:jc w:val="both"/>
      </w:pPr>
      <w:r>
        <w:t>- обеспечение возможности осуществления дивидендных выплат с ежеквартальной периодичностью при выполнении соответствующих критериев;</w:t>
      </w:r>
    </w:p>
    <w:p w:rsidR="00D602D4" w:rsidRDefault="000B4C86">
      <w:pPr>
        <w:pStyle w:val="afd"/>
        <w:widowControl w:val="0"/>
        <w:spacing w:after="0" w:line="240" w:lineRule="auto"/>
        <w:ind w:firstLine="709"/>
        <w:jc w:val="both"/>
      </w:pPr>
      <w:r>
        <w:t>- обеспечение максимальной прозрачности (понятности) механизма определения размера дивидендов и порядка их выплаты;</w:t>
      </w:r>
    </w:p>
    <w:p w:rsidR="00D602D4" w:rsidRDefault="000B4C86">
      <w:pPr>
        <w:pStyle w:val="afd"/>
        <w:widowControl w:val="0"/>
        <w:spacing w:after="0" w:line="240" w:lineRule="auto"/>
        <w:ind w:firstLine="709"/>
        <w:jc w:val="both"/>
      </w:pPr>
      <w:r>
        <w:t xml:space="preserve">- обеспечение положительной динамики величины дивидендных выплат при условии роста чистой прибыли Общества; </w:t>
      </w:r>
    </w:p>
    <w:p w:rsidR="00D602D4" w:rsidRDefault="000B4C86">
      <w:pPr>
        <w:pStyle w:val="afd"/>
        <w:widowControl w:val="0"/>
        <w:spacing w:after="0" w:line="240" w:lineRule="auto"/>
        <w:ind w:firstLine="709"/>
        <w:jc w:val="both"/>
      </w:pPr>
      <w:r>
        <w:t>- доступность информации для акционеров и иных заинтересованных лиц о дивидендной политике Общества;</w:t>
      </w:r>
    </w:p>
    <w:p w:rsidR="00D602D4" w:rsidRDefault="000B4C86">
      <w:pPr>
        <w:pStyle w:val="afd"/>
        <w:widowControl w:val="0"/>
        <w:spacing w:after="0" w:line="240" w:lineRule="auto"/>
        <w:ind w:firstLine="709"/>
        <w:jc w:val="both"/>
      </w:pPr>
      <w:r>
        <w:t>- необходимость поддержания требуемого уровня финансового и технического состояния Общества (выполнение инвестиционной программы), обеспечение перспектив развития Общества.</w:t>
      </w:r>
    </w:p>
    <w:p w:rsidR="00D602D4" w:rsidRDefault="00D602D4">
      <w:pPr>
        <w:pStyle w:val="afd"/>
        <w:widowControl w:val="0"/>
        <w:spacing w:after="0" w:line="240" w:lineRule="auto"/>
        <w:ind w:firstLine="709"/>
        <w:jc w:val="right"/>
      </w:pPr>
    </w:p>
    <w:p w:rsidR="00D602D4" w:rsidRDefault="00D602D4">
      <w:pPr>
        <w:pStyle w:val="afd"/>
        <w:widowControl w:val="0"/>
        <w:spacing w:after="0" w:line="240" w:lineRule="auto"/>
        <w:ind w:firstLine="709"/>
        <w:jc w:val="right"/>
      </w:pPr>
    </w:p>
    <w:p w:rsidR="00D602D4" w:rsidRDefault="00D602D4">
      <w:pPr>
        <w:pStyle w:val="afd"/>
        <w:widowControl w:val="0"/>
        <w:spacing w:after="0" w:line="240" w:lineRule="auto"/>
        <w:ind w:firstLine="709"/>
        <w:jc w:val="right"/>
      </w:pPr>
    </w:p>
    <w:p w:rsidR="00D602D4" w:rsidRDefault="000B4C86">
      <w:pPr>
        <w:pStyle w:val="afd"/>
        <w:widowControl w:val="0"/>
        <w:spacing w:after="0" w:line="240" w:lineRule="auto"/>
        <w:ind w:firstLine="709"/>
        <w:jc w:val="right"/>
      </w:pPr>
      <w:r>
        <w:t>Таблица 115</w:t>
      </w:r>
    </w:p>
    <w:p w:rsidR="00D602D4" w:rsidRDefault="000B4C86">
      <w:pPr>
        <w:pStyle w:val="afd"/>
        <w:widowControl w:val="0"/>
        <w:spacing w:after="0" w:line="240" w:lineRule="auto"/>
        <w:ind w:firstLine="709"/>
        <w:jc w:val="center"/>
        <w:rPr>
          <w:b/>
        </w:rPr>
      </w:pPr>
      <w:r>
        <w:rPr>
          <w:b/>
        </w:rPr>
        <w:t>Дивидендная история</w:t>
      </w:r>
    </w:p>
    <w:tbl>
      <w:tblPr>
        <w:tblW w:w="9784" w:type="dxa"/>
        <w:jc w:val="center"/>
        <w:shd w:val="clear" w:color="auto" w:fill="FFFFFF"/>
        <w:tblLayout w:type="fixed"/>
        <w:tblLook w:val="04A0" w:firstRow="1" w:lastRow="0" w:firstColumn="1" w:lastColumn="0" w:noHBand="0" w:noVBand="1"/>
      </w:tblPr>
      <w:tblGrid>
        <w:gridCol w:w="1560"/>
        <w:gridCol w:w="1559"/>
        <w:gridCol w:w="1701"/>
        <w:gridCol w:w="1701"/>
        <w:gridCol w:w="1560"/>
        <w:gridCol w:w="1703"/>
      </w:tblGrid>
      <w:tr w:rsidR="00D602D4">
        <w:trPr>
          <w:tblHeader/>
          <w:jc w:val="center"/>
        </w:trPr>
        <w:tc>
          <w:tcPr>
            <w:tcW w:w="156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D602D4" w:rsidRDefault="000B4C86">
            <w:pPr>
              <w:pStyle w:val="afb"/>
              <w:widowControl w:val="0"/>
              <w:spacing w:after="0"/>
              <w:jc w:val="center"/>
              <w:rPr>
                <w:b/>
                <w:sz w:val="20"/>
                <w:szCs w:val="20"/>
              </w:rPr>
            </w:pPr>
            <w:r>
              <w:rPr>
                <w:b/>
                <w:sz w:val="20"/>
                <w:szCs w:val="20"/>
              </w:rPr>
              <w:t>Период</w:t>
            </w:r>
          </w:p>
        </w:tc>
        <w:tc>
          <w:tcPr>
            <w:tcW w:w="1559" w:type="dxa"/>
            <w:tcBorders>
              <w:top w:val="single" w:sz="8" w:space="0" w:color="000000"/>
              <w:left w:val="none" w:sz="4" w:space="0" w:color="000000"/>
              <w:bottom w:val="single" w:sz="8" w:space="0" w:color="000000"/>
              <w:right w:val="single" w:sz="8" w:space="0" w:color="000000"/>
            </w:tcBorders>
            <w:shd w:val="clear" w:color="FFFFFF" w:fill="FFFFFF"/>
            <w:vAlign w:val="center"/>
          </w:tcPr>
          <w:p w:rsidR="00D602D4" w:rsidRDefault="000B4C86">
            <w:pPr>
              <w:pStyle w:val="afb"/>
              <w:widowControl w:val="0"/>
              <w:spacing w:after="0"/>
              <w:jc w:val="center"/>
              <w:rPr>
                <w:b/>
                <w:sz w:val="20"/>
                <w:szCs w:val="20"/>
              </w:rPr>
            </w:pPr>
            <w:r>
              <w:rPr>
                <w:b/>
                <w:sz w:val="20"/>
                <w:szCs w:val="20"/>
              </w:rPr>
              <w:t>Дивиденды начисленные,</w:t>
            </w:r>
          </w:p>
          <w:p w:rsidR="00D602D4" w:rsidRDefault="000B4C86">
            <w:pPr>
              <w:pStyle w:val="afb"/>
              <w:widowControl w:val="0"/>
              <w:spacing w:after="0"/>
              <w:jc w:val="center"/>
              <w:rPr>
                <w:b/>
                <w:sz w:val="20"/>
                <w:szCs w:val="20"/>
              </w:rPr>
            </w:pPr>
            <w:r>
              <w:rPr>
                <w:b/>
                <w:sz w:val="20"/>
                <w:szCs w:val="20"/>
              </w:rPr>
              <w:t>тыс. руб.</w:t>
            </w:r>
          </w:p>
        </w:tc>
        <w:tc>
          <w:tcPr>
            <w:tcW w:w="1701" w:type="dxa"/>
            <w:tcBorders>
              <w:top w:val="single" w:sz="8" w:space="0" w:color="000000"/>
              <w:left w:val="none" w:sz="4" w:space="0" w:color="000000"/>
              <w:bottom w:val="single" w:sz="8" w:space="0" w:color="000000"/>
              <w:right w:val="single" w:sz="8" w:space="0" w:color="000000"/>
            </w:tcBorders>
            <w:shd w:val="clear" w:color="FFFFFF" w:fill="FFFFFF"/>
            <w:vAlign w:val="center"/>
          </w:tcPr>
          <w:p w:rsidR="00D602D4" w:rsidRDefault="000B4C86">
            <w:pPr>
              <w:pStyle w:val="afb"/>
              <w:widowControl w:val="0"/>
              <w:spacing w:after="0"/>
              <w:jc w:val="center"/>
              <w:rPr>
                <w:b/>
                <w:sz w:val="20"/>
                <w:szCs w:val="20"/>
              </w:rPr>
            </w:pPr>
            <w:r>
              <w:rPr>
                <w:b/>
                <w:sz w:val="20"/>
                <w:szCs w:val="20"/>
              </w:rPr>
              <w:t>Дивиденды выплаченные, включая налоги,</w:t>
            </w:r>
          </w:p>
          <w:p w:rsidR="00D602D4" w:rsidRDefault="000B4C86">
            <w:pPr>
              <w:pStyle w:val="afb"/>
              <w:widowControl w:val="0"/>
              <w:spacing w:after="0"/>
              <w:jc w:val="center"/>
              <w:rPr>
                <w:b/>
                <w:sz w:val="20"/>
                <w:szCs w:val="20"/>
              </w:rPr>
            </w:pPr>
            <w:r>
              <w:rPr>
                <w:b/>
                <w:sz w:val="20"/>
                <w:szCs w:val="20"/>
              </w:rPr>
              <w:t>тыс. руб.</w:t>
            </w:r>
          </w:p>
        </w:tc>
        <w:tc>
          <w:tcPr>
            <w:tcW w:w="1701" w:type="dxa"/>
            <w:tcBorders>
              <w:top w:val="single" w:sz="8" w:space="0" w:color="000000"/>
              <w:left w:val="none" w:sz="4" w:space="0" w:color="000000"/>
              <w:bottom w:val="single" w:sz="8" w:space="0" w:color="000000"/>
              <w:right w:val="single" w:sz="4" w:space="0" w:color="000000"/>
            </w:tcBorders>
            <w:shd w:val="clear" w:color="FFFFFF" w:fill="FFFFFF"/>
            <w:vAlign w:val="center"/>
          </w:tcPr>
          <w:p w:rsidR="00D602D4" w:rsidRDefault="000B4C86">
            <w:pPr>
              <w:pStyle w:val="afb"/>
              <w:widowControl w:val="0"/>
              <w:spacing w:after="0"/>
              <w:jc w:val="center"/>
              <w:rPr>
                <w:b/>
                <w:sz w:val="20"/>
                <w:szCs w:val="20"/>
              </w:rPr>
            </w:pPr>
            <w:r>
              <w:rPr>
                <w:b/>
                <w:sz w:val="20"/>
                <w:szCs w:val="20"/>
              </w:rPr>
              <w:t>Размер дивидендов на 1 обыкновенную акцию, руб.</w:t>
            </w:r>
          </w:p>
        </w:tc>
        <w:tc>
          <w:tcPr>
            <w:tcW w:w="1560" w:type="dxa"/>
            <w:tcBorders>
              <w:top w:val="single" w:sz="8" w:space="0" w:color="000000"/>
              <w:left w:val="none" w:sz="4" w:space="0" w:color="000000"/>
              <w:bottom w:val="single" w:sz="8" w:space="0" w:color="000000"/>
              <w:right w:val="single" w:sz="4" w:space="0" w:color="000000"/>
            </w:tcBorders>
            <w:shd w:val="clear" w:color="FFFFFF" w:fill="FFFFFF"/>
            <w:vAlign w:val="center"/>
          </w:tcPr>
          <w:p w:rsidR="00D602D4" w:rsidRDefault="000B4C86">
            <w:pPr>
              <w:pStyle w:val="afb"/>
              <w:widowControl w:val="0"/>
              <w:spacing w:after="0"/>
              <w:jc w:val="center"/>
              <w:rPr>
                <w:b/>
                <w:sz w:val="20"/>
                <w:szCs w:val="20"/>
              </w:rPr>
            </w:pPr>
            <w:r>
              <w:rPr>
                <w:b/>
                <w:sz w:val="20"/>
                <w:szCs w:val="20"/>
              </w:rPr>
              <w:t>Доля выплаченных дивидендов, %</w:t>
            </w:r>
          </w:p>
        </w:tc>
        <w:tc>
          <w:tcPr>
            <w:tcW w:w="1703" w:type="dxa"/>
            <w:tcBorders>
              <w:top w:val="single" w:sz="8" w:space="0" w:color="000000"/>
              <w:left w:val="single" w:sz="4" w:space="0" w:color="000000"/>
              <w:bottom w:val="single" w:sz="8" w:space="0" w:color="000000"/>
              <w:right w:val="single" w:sz="8" w:space="0" w:color="000000"/>
            </w:tcBorders>
            <w:shd w:val="clear" w:color="FFFFFF" w:fill="FFFFFF"/>
            <w:vAlign w:val="center"/>
          </w:tcPr>
          <w:p w:rsidR="00D602D4" w:rsidRDefault="000B4C86">
            <w:pPr>
              <w:pStyle w:val="afb"/>
              <w:widowControl w:val="0"/>
              <w:spacing w:after="0"/>
              <w:jc w:val="center"/>
              <w:rPr>
                <w:b/>
                <w:sz w:val="20"/>
                <w:szCs w:val="20"/>
              </w:rPr>
            </w:pPr>
            <w:r>
              <w:rPr>
                <w:b/>
                <w:sz w:val="20"/>
                <w:szCs w:val="20"/>
              </w:rPr>
              <w:t>Размер дивидендов на 1 привилегированную акцию, руб.</w:t>
            </w:r>
          </w:p>
        </w:tc>
      </w:tr>
      <w:tr w:rsidR="00D602D4">
        <w:trPr>
          <w:jc w:val="center"/>
        </w:trPr>
        <w:tc>
          <w:tcPr>
            <w:tcW w:w="15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fb"/>
              <w:widowControl w:val="0"/>
              <w:spacing w:after="0"/>
              <w:jc w:val="center"/>
              <w:rPr>
                <w:sz w:val="20"/>
                <w:szCs w:val="20"/>
              </w:rPr>
            </w:pPr>
            <w:r>
              <w:rPr>
                <w:sz w:val="20"/>
                <w:szCs w:val="20"/>
              </w:rPr>
              <w:t>ГОСА</w:t>
            </w:r>
          </w:p>
          <w:p w:rsidR="00D602D4" w:rsidRDefault="000B4C86">
            <w:pPr>
              <w:pStyle w:val="afb"/>
              <w:widowControl w:val="0"/>
              <w:spacing w:after="0"/>
              <w:jc w:val="center"/>
              <w:rPr>
                <w:sz w:val="20"/>
                <w:szCs w:val="20"/>
              </w:rPr>
            </w:pPr>
            <w:r>
              <w:rPr>
                <w:sz w:val="20"/>
                <w:szCs w:val="20"/>
              </w:rPr>
              <w:t xml:space="preserve"> по итогам 2019 года (дата проведения 29.05.2020)</w:t>
            </w:r>
          </w:p>
        </w:tc>
        <w:tc>
          <w:tcPr>
            <w:tcW w:w="822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fb"/>
              <w:widowControl w:val="0"/>
              <w:spacing w:after="0"/>
              <w:jc w:val="center"/>
              <w:rPr>
                <w:sz w:val="20"/>
                <w:szCs w:val="20"/>
              </w:rPr>
            </w:pPr>
            <w:r>
              <w:rPr>
                <w:sz w:val="20"/>
                <w:szCs w:val="20"/>
              </w:rPr>
              <w:t>На годовом Общем собрании акционеров Общества принято решение не выплачивать дивиденды по обыкновенным и привилегированным акциям по итогам 2019 года.</w:t>
            </w:r>
          </w:p>
        </w:tc>
      </w:tr>
      <w:tr w:rsidR="00D602D4">
        <w:trPr>
          <w:jc w:val="center"/>
        </w:trPr>
        <w:tc>
          <w:tcPr>
            <w:tcW w:w="15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fb"/>
              <w:widowControl w:val="0"/>
              <w:spacing w:after="0"/>
              <w:jc w:val="center"/>
              <w:rPr>
                <w:sz w:val="20"/>
                <w:szCs w:val="20"/>
              </w:rPr>
            </w:pPr>
            <w:r>
              <w:rPr>
                <w:sz w:val="20"/>
                <w:szCs w:val="20"/>
              </w:rPr>
              <w:t>ГОСА</w:t>
            </w:r>
          </w:p>
          <w:p w:rsidR="00D602D4" w:rsidRDefault="000B4C86">
            <w:pPr>
              <w:pStyle w:val="afb"/>
              <w:widowControl w:val="0"/>
              <w:spacing w:after="0"/>
              <w:jc w:val="center"/>
              <w:rPr>
                <w:sz w:val="20"/>
                <w:szCs w:val="20"/>
              </w:rPr>
            </w:pPr>
            <w:r>
              <w:rPr>
                <w:sz w:val="20"/>
                <w:szCs w:val="20"/>
              </w:rPr>
              <w:t xml:space="preserve"> по итогам 2020 года (дата проведения 03.06.2021)</w:t>
            </w:r>
          </w:p>
        </w:tc>
        <w:tc>
          <w:tcPr>
            <w:tcW w:w="822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fb"/>
              <w:widowControl w:val="0"/>
              <w:spacing w:after="0"/>
              <w:jc w:val="center"/>
              <w:rPr>
                <w:sz w:val="20"/>
                <w:szCs w:val="20"/>
              </w:rPr>
            </w:pPr>
            <w:r>
              <w:rPr>
                <w:sz w:val="20"/>
                <w:szCs w:val="20"/>
              </w:rPr>
              <w:t>На годовом Общем собрании акционеров Общества принято решение не выплачивать дивиденды по обыкновенным и привилегированным акциям по итогам 2020 года.</w:t>
            </w:r>
          </w:p>
        </w:tc>
      </w:tr>
      <w:tr w:rsidR="00D602D4">
        <w:trPr>
          <w:jc w:val="center"/>
        </w:trPr>
        <w:tc>
          <w:tcPr>
            <w:tcW w:w="15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fb"/>
              <w:widowControl w:val="0"/>
              <w:spacing w:after="0"/>
              <w:jc w:val="center"/>
              <w:rPr>
                <w:sz w:val="20"/>
                <w:szCs w:val="20"/>
              </w:rPr>
            </w:pPr>
            <w:r>
              <w:rPr>
                <w:sz w:val="20"/>
                <w:szCs w:val="20"/>
              </w:rPr>
              <w:t>ГОСА</w:t>
            </w:r>
          </w:p>
          <w:p w:rsidR="00D602D4" w:rsidRDefault="000B4C86">
            <w:pPr>
              <w:pStyle w:val="afb"/>
              <w:widowControl w:val="0"/>
              <w:spacing w:after="0"/>
              <w:jc w:val="center"/>
              <w:rPr>
                <w:sz w:val="20"/>
                <w:szCs w:val="20"/>
              </w:rPr>
            </w:pPr>
            <w:r>
              <w:rPr>
                <w:sz w:val="20"/>
                <w:szCs w:val="20"/>
              </w:rPr>
              <w:t xml:space="preserve"> по итогам 2021 года (дата проведения 17.06.2022)</w:t>
            </w:r>
          </w:p>
        </w:tc>
        <w:tc>
          <w:tcPr>
            <w:tcW w:w="822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fb"/>
              <w:widowControl w:val="0"/>
              <w:spacing w:after="0"/>
              <w:jc w:val="center"/>
              <w:rPr>
                <w:sz w:val="20"/>
                <w:szCs w:val="20"/>
              </w:rPr>
            </w:pPr>
            <w:r>
              <w:rPr>
                <w:sz w:val="20"/>
                <w:szCs w:val="20"/>
              </w:rPr>
              <w:t>На годовом Общем собрании акционеров Общества принято решение не выплачивать дивиденды по обыкновенным и привилегированным акциям по итогам 2021 года.</w:t>
            </w:r>
          </w:p>
        </w:tc>
      </w:tr>
      <w:tr w:rsidR="00D602D4">
        <w:trPr>
          <w:jc w:val="center"/>
        </w:trPr>
        <w:tc>
          <w:tcPr>
            <w:tcW w:w="156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fb"/>
              <w:widowControl w:val="0"/>
              <w:spacing w:after="0"/>
              <w:jc w:val="center"/>
              <w:rPr>
                <w:sz w:val="20"/>
                <w:szCs w:val="20"/>
              </w:rPr>
            </w:pPr>
            <w:r>
              <w:rPr>
                <w:sz w:val="20"/>
                <w:szCs w:val="20"/>
              </w:rPr>
              <w:t>ГОСА</w:t>
            </w:r>
          </w:p>
          <w:p w:rsidR="00D602D4" w:rsidRDefault="000B4C86">
            <w:pPr>
              <w:pStyle w:val="afb"/>
              <w:widowControl w:val="0"/>
              <w:spacing w:after="0"/>
              <w:jc w:val="center"/>
              <w:rPr>
                <w:sz w:val="20"/>
                <w:szCs w:val="20"/>
              </w:rPr>
            </w:pPr>
            <w:r>
              <w:rPr>
                <w:sz w:val="20"/>
                <w:szCs w:val="20"/>
              </w:rPr>
              <w:t xml:space="preserve"> по итогам 2022 года (дата проведения 09.06.2023)</w:t>
            </w:r>
          </w:p>
        </w:tc>
        <w:tc>
          <w:tcPr>
            <w:tcW w:w="8224"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fb"/>
              <w:widowControl w:val="0"/>
              <w:spacing w:after="0"/>
              <w:jc w:val="center"/>
              <w:rPr>
                <w:sz w:val="20"/>
                <w:szCs w:val="20"/>
              </w:rPr>
            </w:pPr>
            <w:r>
              <w:rPr>
                <w:sz w:val="20"/>
                <w:szCs w:val="20"/>
              </w:rPr>
              <w:t>На годовом Общем собрании акционеров Общества принято решение не выплачивать дивиденды по обыкновенным и привилегированным акциям по итогам 2022 года.</w:t>
            </w:r>
          </w:p>
        </w:tc>
      </w:tr>
      <w:tr w:rsidR="00D602D4">
        <w:trPr>
          <w:trHeight w:val="230"/>
          <w:jc w:val="center"/>
        </w:trPr>
        <w:tc>
          <w:tcPr>
            <w:tcW w:w="1560"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fb"/>
              <w:widowControl w:val="0"/>
              <w:spacing w:after="0"/>
              <w:jc w:val="center"/>
              <w:rPr>
                <w:sz w:val="20"/>
                <w:szCs w:val="20"/>
              </w:rPr>
            </w:pPr>
            <w:r>
              <w:rPr>
                <w:sz w:val="20"/>
                <w:szCs w:val="20"/>
              </w:rPr>
              <w:t>ГОСА</w:t>
            </w:r>
          </w:p>
          <w:p w:rsidR="00D602D4" w:rsidRDefault="000B4C86">
            <w:pPr>
              <w:pStyle w:val="afb"/>
              <w:widowControl w:val="0"/>
              <w:spacing w:after="0"/>
              <w:jc w:val="center"/>
              <w:rPr>
                <w:sz w:val="20"/>
                <w:szCs w:val="20"/>
              </w:rPr>
            </w:pPr>
            <w:r>
              <w:rPr>
                <w:sz w:val="20"/>
                <w:szCs w:val="20"/>
              </w:rPr>
              <w:t xml:space="preserve"> по итогам 2023 года (дата проведения 18.06.2024)</w:t>
            </w:r>
          </w:p>
        </w:tc>
        <w:tc>
          <w:tcPr>
            <w:tcW w:w="8224" w:type="dxa"/>
            <w:gridSpan w:val="5"/>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pStyle w:val="afb"/>
              <w:widowControl w:val="0"/>
              <w:spacing w:after="0"/>
              <w:jc w:val="center"/>
              <w:rPr>
                <w:sz w:val="20"/>
                <w:szCs w:val="20"/>
              </w:rPr>
            </w:pPr>
            <w:r>
              <w:rPr>
                <w:sz w:val="20"/>
                <w:szCs w:val="20"/>
              </w:rPr>
              <w:t>На годовом Общем собрании акционеров Общества принято решение не выплачивать дивиденды по обыкновенным и привилегированным акциям по итогам 2023 года.</w:t>
            </w:r>
          </w:p>
        </w:tc>
      </w:tr>
    </w:tbl>
    <w:p w:rsidR="00D602D4" w:rsidRDefault="000B4C86">
      <w:pPr>
        <w:tabs>
          <w:tab w:val="left" w:pos="9356"/>
        </w:tabs>
        <w:spacing w:after="0" w:line="240" w:lineRule="auto"/>
        <w:jc w:val="both"/>
        <w:rPr>
          <w:rFonts w:ascii="Times New Roman" w:hAnsi="Times New Roman"/>
          <w:sz w:val="24"/>
          <w:szCs w:val="24"/>
        </w:rPr>
      </w:pPr>
      <w:r>
        <w:rPr>
          <w:rFonts w:ascii="Times New Roman" w:hAnsi="Times New Roman"/>
          <w:sz w:val="24"/>
          <w:szCs w:val="24"/>
        </w:rPr>
        <w:t>*Причины невыплаты объявленных дивидендов по обыкновенным акциям Общества в полном объеме: отсутствие в анкетах зарегистрированных лиц, имеющих право на получение дивидендов, всех данных, необходимых для осуществления выплаты дивидендов. Задолженность по выплате дивидендов по привилегированным акциям отсутствует (дивиденды выплачены в полном объеме в установленные сроки).</w:t>
      </w:r>
    </w:p>
    <w:p w:rsidR="00D602D4" w:rsidRDefault="00D602D4">
      <w:pPr>
        <w:tabs>
          <w:tab w:val="left" w:pos="9356"/>
        </w:tabs>
        <w:spacing w:after="0" w:line="240" w:lineRule="auto"/>
        <w:ind w:right="-2" w:firstLine="709"/>
        <w:jc w:val="right"/>
        <w:rPr>
          <w:rFonts w:ascii="Times New Roman" w:eastAsia="Calibri" w:hAnsi="Times New Roman" w:cs="Times New Roman"/>
          <w:sz w:val="24"/>
          <w:szCs w:val="24"/>
        </w:rPr>
      </w:pPr>
    </w:p>
    <w:p w:rsidR="00D602D4" w:rsidRDefault="000B4C86">
      <w:pPr>
        <w:tabs>
          <w:tab w:val="left" w:pos="9356"/>
        </w:tabs>
        <w:spacing w:after="0" w:line="240" w:lineRule="auto"/>
        <w:ind w:right="-2" w:firstLine="709"/>
        <w:jc w:val="right"/>
        <w:rPr>
          <w:rFonts w:ascii="Times New Roman" w:eastAsia="Calibri" w:hAnsi="Times New Roman" w:cs="Times New Roman"/>
          <w:sz w:val="24"/>
          <w:szCs w:val="24"/>
        </w:rPr>
      </w:pPr>
      <w:r>
        <w:rPr>
          <w:rFonts w:ascii="Times New Roman" w:eastAsia="Calibri" w:hAnsi="Times New Roman" w:cs="Times New Roman"/>
          <w:sz w:val="24"/>
          <w:szCs w:val="24"/>
        </w:rPr>
        <w:t>Таблица 116</w:t>
      </w:r>
    </w:p>
    <w:p w:rsidR="00D602D4" w:rsidRDefault="000B4C86">
      <w:pPr>
        <w:tabs>
          <w:tab w:val="left" w:pos="9356"/>
        </w:tabs>
        <w:spacing w:after="0" w:line="240" w:lineRule="auto"/>
        <w:jc w:val="both"/>
        <w:rPr>
          <w:rFonts w:ascii="Times New Roman" w:hAnsi="Times New Roman"/>
          <w:b/>
          <w:sz w:val="24"/>
          <w:szCs w:val="24"/>
        </w:rPr>
      </w:pPr>
      <w:r>
        <w:rPr>
          <w:rFonts w:ascii="Times New Roman" w:hAnsi="Times New Roman"/>
          <w:b/>
          <w:sz w:val="24"/>
          <w:szCs w:val="24"/>
        </w:rPr>
        <w:t>Сумма дивидендов, перечисленная в федеральный бюджет в отчетном периоде (рублей)</w:t>
      </w:r>
    </w:p>
    <w:tbl>
      <w:tblPr>
        <w:tblStyle w:val="83"/>
        <w:tblW w:w="0" w:type="auto"/>
        <w:tblInd w:w="5" w:type="dxa"/>
        <w:tblLook w:val="04A0" w:firstRow="1" w:lastRow="0" w:firstColumn="1" w:lastColumn="0" w:noHBand="0" w:noVBand="1"/>
      </w:tblPr>
      <w:tblGrid>
        <w:gridCol w:w="4785"/>
        <w:gridCol w:w="4785"/>
      </w:tblGrid>
      <w:tr w:rsidR="00D602D4">
        <w:tc>
          <w:tcPr>
            <w:tcW w:w="4785"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ind w:left="170" w:right="170"/>
              <w:jc w:val="both"/>
              <w:rPr>
                <w:rFonts w:ascii="Times New Roman" w:hAnsi="Times New Roman"/>
                <w:sz w:val="20"/>
                <w:szCs w:val="20"/>
              </w:rPr>
            </w:pPr>
            <w:r>
              <w:rPr>
                <w:rFonts w:ascii="Times New Roman" w:hAnsi="Times New Roman"/>
                <w:sz w:val="20"/>
                <w:szCs w:val="20"/>
              </w:rPr>
              <w:t xml:space="preserve">Сумма дивидендов, перечисленная в федеральный бюджет в отчетном периоде </w:t>
            </w:r>
          </w:p>
        </w:tc>
        <w:tc>
          <w:tcPr>
            <w:tcW w:w="4785"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ind w:left="170" w:right="170"/>
              <w:jc w:val="both"/>
              <w:rPr>
                <w:rFonts w:ascii="Times New Roman" w:hAnsi="Times New Roman"/>
                <w:sz w:val="20"/>
                <w:szCs w:val="20"/>
              </w:rPr>
            </w:pPr>
            <w:r>
              <w:rPr>
                <w:rFonts w:ascii="Times New Roman" w:hAnsi="Times New Roman"/>
                <w:sz w:val="20"/>
                <w:szCs w:val="20"/>
              </w:rPr>
              <w:t xml:space="preserve">Задолженность по выплате дивидендов перед федеральным бюджетом </w:t>
            </w:r>
          </w:p>
        </w:tc>
      </w:tr>
      <w:tr w:rsidR="00D602D4">
        <w:tc>
          <w:tcPr>
            <w:tcW w:w="9570" w:type="dxa"/>
            <w:gridSpan w:val="2"/>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ind w:left="170" w:right="170"/>
              <w:jc w:val="center"/>
              <w:rPr>
                <w:rFonts w:ascii="Times New Roman" w:hAnsi="Times New Roman"/>
                <w:sz w:val="20"/>
                <w:szCs w:val="20"/>
              </w:rPr>
            </w:pPr>
            <w:r>
              <w:rPr>
                <w:rFonts w:ascii="Times New Roman" w:hAnsi="Times New Roman"/>
                <w:b/>
                <w:sz w:val="20"/>
                <w:szCs w:val="20"/>
              </w:rPr>
              <w:t>по итогам 2023 года</w:t>
            </w:r>
          </w:p>
        </w:tc>
      </w:tr>
      <w:tr w:rsidR="00D602D4">
        <w:tc>
          <w:tcPr>
            <w:tcW w:w="4785"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ind w:left="170" w:right="170"/>
              <w:jc w:val="center"/>
              <w:rPr>
                <w:rFonts w:ascii="Times New Roman" w:hAnsi="Times New Roman"/>
                <w:sz w:val="20"/>
                <w:szCs w:val="20"/>
              </w:rPr>
            </w:pPr>
            <w:r>
              <w:rPr>
                <w:rFonts w:ascii="Times New Roman" w:hAnsi="Times New Roman"/>
                <w:sz w:val="20"/>
                <w:szCs w:val="20"/>
              </w:rPr>
              <w:t>0</w:t>
            </w:r>
          </w:p>
        </w:tc>
        <w:tc>
          <w:tcPr>
            <w:tcW w:w="4785" w:type="dxa"/>
            <w:tcBorders>
              <w:top w:val="single" w:sz="4" w:space="0" w:color="000000"/>
              <w:left w:val="single" w:sz="4" w:space="0" w:color="000000"/>
              <w:bottom w:val="single" w:sz="4" w:space="0" w:color="000000"/>
              <w:right w:val="single" w:sz="4" w:space="0" w:color="000000"/>
            </w:tcBorders>
          </w:tcPr>
          <w:p w:rsidR="00D602D4" w:rsidRDefault="000B4C86">
            <w:pPr>
              <w:tabs>
                <w:tab w:val="left" w:pos="9356"/>
              </w:tabs>
              <w:ind w:left="170" w:right="170"/>
              <w:jc w:val="center"/>
              <w:rPr>
                <w:rFonts w:ascii="Times New Roman" w:hAnsi="Times New Roman"/>
                <w:sz w:val="20"/>
                <w:szCs w:val="20"/>
              </w:rPr>
            </w:pPr>
            <w:r>
              <w:rPr>
                <w:rFonts w:ascii="Times New Roman" w:hAnsi="Times New Roman"/>
                <w:sz w:val="20"/>
                <w:szCs w:val="20"/>
              </w:rPr>
              <w:t>0</w:t>
            </w:r>
          </w:p>
        </w:tc>
      </w:tr>
    </w:tbl>
    <w:p w:rsidR="00D602D4" w:rsidRDefault="00D602D4">
      <w:pPr>
        <w:tabs>
          <w:tab w:val="left" w:pos="9356"/>
        </w:tabs>
        <w:spacing w:after="0" w:line="240" w:lineRule="auto"/>
        <w:jc w:val="both"/>
        <w:rPr>
          <w:rFonts w:ascii="Times New Roman" w:hAnsi="Times New Roman"/>
          <w:sz w:val="24"/>
          <w:szCs w:val="24"/>
        </w:rPr>
      </w:pPr>
    </w:p>
    <w:p w:rsidR="00D602D4" w:rsidRDefault="000B4C86">
      <w:pPr>
        <w:spacing w:after="0" w:line="240" w:lineRule="auto"/>
        <w:ind w:firstLine="709"/>
        <w:jc w:val="both"/>
        <w:rPr>
          <w:rFonts w:ascii="Times New Roman" w:hAnsi="Times New Roman"/>
          <w:sz w:val="24"/>
          <w:szCs w:val="24"/>
        </w:rPr>
      </w:pPr>
      <w:r>
        <w:rPr>
          <w:rFonts w:ascii="Times New Roman" w:hAnsi="Times New Roman"/>
          <w:sz w:val="24"/>
          <w:szCs w:val="24"/>
        </w:rPr>
        <w:t>В соответствии с п. 9 ст. 42 Федерального закона «Об акционерных обществах» на 31.12.2022 выплата дивидендов за 2008, 2012, 2014, 2017, 2018 года, за 9 месяцев 2019 года Обществом прекращена.</w:t>
      </w:r>
    </w:p>
    <w:p w:rsidR="00D602D4" w:rsidRDefault="000B4C86">
      <w:pPr>
        <w:tabs>
          <w:tab w:val="left" w:pos="9356"/>
        </w:tabs>
        <w:spacing w:after="0" w:line="240" w:lineRule="auto"/>
        <w:ind w:right="-2" w:firstLine="709"/>
        <w:jc w:val="right"/>
        <w:rPr>
          <w:rFonts w:ascii="Times New Roman" w:hAnsi="Times New Roman"/>
          <w:sz w:val="24"/>
          <w:szCs w:val="24"/>
        </w:rPr>
      </w:pPr>
      <w:r>
        <w:rPr>
          <w:rFonts w:ascii="Times New Roman" w:hAnsi="Times New Roman"/>
          <w:sz w:val="24"/>
          <w:szCs w:val="24"/>
        </w:rPr>
        <w:t>Таблица 117</w:t>
      </w:r>
    </w:p>
    <w:p w:rsidR="00D602D4" w:rsidRDefault="000B4C86">
      <w:pPr>
        <w:tabs>
          <w:tab w:val="left" w:pos="9356"/>
        </w:tabs>
        <w:spacing w:after="0" w:line="240" w:lineRule="auto"/>
        <w:ind w:right="-143" w:firstLine="709"/>
        <w:jc w:val="center"/>
        <w:rPr>
          <w:rFonts w:ascii="Times New Roman" w:eastAsia="Calibri" w:hAnsi="Times New Roman" w:cs="Times New Roman"/>
          <w:b/>
          <w:sz w:val="24"/>
          <w:szCs w:val="24"/>
        </w:rPr>
      </w:pPr>
      <w:r>
        <w:rPr>
          <w:rFonts w:ascii="Times New Roman" w:eastAsia="Calibri" w:hAnsi="Times New Roman" w:cs="Times New Roman"/>
          <w:b/>
          <w:sz w:val="24"/>
          <w:szCs w:val="24"/>
        </w:rPr>
        <w:t>Распределение прибыли за 2021-2023 года, тыс. руб.*</w:t>
      </w:r>
    </w:p>
    <w:tbl>
      <w:tblPr>
        <w:tblW w:w="93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4106"/>
        <w:gridCol w:w="1843"/>
        <w:gridCol w:w="1701"/>
        <w:gridCol w:w="1691"/>
      </w:tblGrid>
      <w:tr w:rsidR="00D602D4">
        <w:trPr>
          <w:trHeight w:val="170"/>
          <w:jc w:val="center"/>
        </w:trPr>
        <w:tc>
          <w:tcPr>
            <w:tcW w:w="4106" w:type="dxa"/>
          </w:tcPr>
          <w:p w:rsidR="00D602D4" w:rsidRDefault="00D602D4">
            <w:pPr>
              <w:tabs>
                <w:tab w:val="left" w:pos="9356"/>
              </w:tabs>
              <w:spacing w:after="0" w:line="240" w:lineRule="auto"/>
              <w:ind w:right="-143"/>
              <w:jc w:val="center"/>
              <w:rPr>
                <w:rFonts w:ascii="Times New Roman" w:eastAsia="Times New Roman" w:hAnsi="Times New Roman" w:cs="Times New Roman"/>
                <w:sz w:val="24"/>
                <w:szCs w:val="24"/>
                <w:lang w:eastAsia="ru-RU"/>
              </w:rPr>
            </w:pPr>
          </w:p>
        </w:tc>
        <w:tc>
          <w:tcPr>
            <w:tcW w:w="1843"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 2021 год</w:t>
            </w:r>
          </w:p>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(ГОСА 2022)</w:t>
            </w:r>
          </w:p>
        </w:tc>
        <w:tc>
          <w:tcPr>
            <w:tcW w:w="170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 2022 год</w:t>
            </w:r>
          </w:p>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(ГОСА 2023)</w:t>
            </w:r>
          </w:p>
        </w:tc>
        <w:tc>
          <w:tcPr>
            <w:tcW w:w="169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 2023 год</w:t>
            </w:r>
          </w:p>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(ГОСА 2024)</w:t>
            </w:r>
          </w:p>
        </w:tc>
      </w:tr>
      <w:tr w:rsidR="00D602D4">
        <w:trPr>
          <w:trHeight w:val="170"/>
          <w:jc w:val="center"/>
        </w:trPr>
        <w:tc>
          <w:tcPr>
            <w:tcW w:w="4106" w:type="dxa"/>
          </w:tcPr>
          <w:p w:rsidR="00D602D4" w:rsidRDefault="000B4C86">
            <w:pPr>
              <w:tabs>
                <w:tab w:val="left" w:pos="0"/>
                <w:tab w:val="left" w:pos="9356"/>
              </w:tabs>
              <w:spacing w:after="0" w:line="240" w:lineRule="auto"/>
              <w:ind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Нераспределенная прибыль (убыток)</w:t>
            </w:r>
          </w:p>
          <w:p w:rsidR="00D602D4" w:rsidRDefault="000B4C86">
            <w:pPr>
              <w:tabs>
                <w:tab w:val="left" w:pos="0"/>
                <w:tab w:val="left" w:pos="9356"/>
              </w:tabs>
              <w:spacing w:after="0" w:line="240" w:lineRule="auto"/>
              <w:ind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отчетного периода, в т.ч.:</w:t>
            </w:r>
          </w:p>
        </w:tc>
        <w:tc>
          <w:tcPr>
            <w:tcW w:w="1843"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1 103</w:t>
            </w:r>
          </w:p>
        </w:tc>
        <w:tc>
          <w:tcPr>
            <w:tcW w:w="170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(207 039)</w:t>
            </w:r>
          </w:p>
        </w:tc>
        <w:tc>
          <w:tcPr>
            <w:tcW w:w="169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(728 974)</w:t>
            </w:r>
          </w:p>
        </w:tc>
      </w:tr>
      <w:tr w:rsidR="00D602D4">
        <w:trPr>
          <w:trHeight w:val="170"/>
          <w:jc w:val="center"/>
        </w:trPr>
        <w:tc>
          <w:tcPr>
            <w:tcW w:w="4106" w:type="dxa"/>
          </w:tcPr>
          <w:p w:rsidR="00D602D4" w:rsidRDefault="000B4C86">
            <w:pPr>
              <w:tabs>
                <w:tab w:val="left" w:pos="142"/>
                <w:tab w:val="left" w:pos="9356"/>
              </w:tabs>
              <w:spacing w:after="0" w:line="240" w:lineRule="auto"/>
              <w:ind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Резервный фонд</w:t>
            </w:r>
          </w:p>
        </w:tc>
        <w:tc>
          <w:tcPr>
            <w:tcW w:w="1843"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55</w:t>
            </w:r>
          </w:p>
        </w:tc>
        <w:tc>
          <w:tcPr>
            <w:tcW w:w="170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69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r>
      <w:tr w:rsidR="00D602D4">
        <w:trPr>
          <w:trHeight w:val="170"/>
          <w:jc w:val="center"/>
        </w:trPr>
        <w:tc>
          <w:tcPr>
            <w:tcW w:w="4106" w:type="dxa"/>
          </w:tcPr>
          <w:p w:rsidR="00D602D4" w:rsidRDefault="000B4C86">
            <w:pPr>
              <w:tabs>
                <w:tab w:val="left" w:pos="142"/>
                <w:tab w:val="left" w:pos="9356"/>
              </w:tabs>
              <w:spacing w:after="0" w:line="240" w:lineRule="auto"/>
              <w:ind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Прибыль на развитие</w:t>
            </w:r>
          </w:p>
        </w:tc>
        <w:tc>
          <w:tcPr>
            <w:tcW w:w="1843"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1 048</w:t>
            </w:r>
          </w:p>
        </w:tc>
        <w:tc>
          <w:tcPr>
            <w:tcW w:w="170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69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r>
      <w:tr w:rsidR="00D602D4">
        <w:trPr>
          <w:trHeight w:val="170"/>
          <w:jc w:val="center"/>
        </w:trPr>
        <w:tc>
          <w:tcPr>
            <w:tcW w:w="4106" w:type="dxa"/>
          </w:tcPr>
          <w:p w:rsidR="00D602D4" w:rsidRDefault="000B4C86">
            <w:pPr>
              <w:tabs>
                <w:tab w:val="left" w:pos="142"/>
                <w:tab w:val="left" w:pos="9356"/>
              </w:tabs>
              <w:spacing w:after="0" w:line="240" w:lineRule="auto"/>
              <w:ind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   Дивиденды</w:t>
            </w:r>
          </w:p>
        </w:tc>
        <w:tc>
          <w:tcPr>
            <w:tcW w:w="1843"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70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69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r>
      <w:tr w:rsidR="00D602D4">
        <w:trPr>
          <w:trHeight w:val="170"/>
          <w:jc w:val="center"/>
        </w:trPr>
        <w:tc>
          <w:tcPr>
            <w:tcW w:w="4106" w:type="dxa"/>
          </w:tcPr>
          <w:p w:rsidR="00D602D4" w:rsidRDefault="000B4C86">
            <w:pPr>
              <w:tabs>
                <w:tab w:val="left" w:pos="142"/>
                <w:tab w:val="left" w:pos="9356"/>
              </w:tabs>
              <w:spacing w:after="0" w:line="240" w:lineRule="auto"/>
              <w:ind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Погашение убытков прошлых лет</w:t>
            </w:r>
          </w:p>
        </w:tc>
        <w:tc>
          <w:tcPr>
            <w:tcW w:w="1843"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70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691" w:type="dxa"/>
            <w:tcMar>
              <w:top w:w="0" w:type="dxa"/>
              <w:left w:w="108" w:type="dxa"/>
              <w:bottom w:w="0" w:type="dxa"/>
              <w:right w:w="108" w:type="dxa"/>
            </w:tcMar>
            <w:vAlign w:val="center"/>
          </w:tcPr>
          <w:p w:rsidR="00D602D4" w:rsidRDefault="000B4C86">
            <w:pPr>
              <w:tabs>
                <w:tab w:val="left" w:pos="9356"/>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r>
    </w:tbl>
    <w:p w:rsidR="00D602D4" w:rsidRDefault="00D602D4">
      <w:pPr>
        <w:tabs>
          <w:tab w:val="left" w:pos="9356"/>
        </w:tabs>
        <w:spacing w:after="0" w:line="240" w:lineRule="auto"/>
        <w:ind w:right="-143" w:firstLine="709"/>
        <w:jc w:val="both"/>
        <w:rPr>
          <w:rFonts w:ascii="Times New Roman" w:eastAsia="Times New Roman" w:hAnsi="Times New Roman" w:cs="Times New Roman"/>
          <w:sz w:val="24"/>
          <w:szCs w:val="24"/>
          <w:lang w:eastAsia="ru-RU"/>
        </w:rPr>
      </w:pPr>
    </w:p>
    <w:p w:rsidR="00D602D4" w:rsidRDefault="000B4C86">
      <w:pPr>
        <w:tabs>
          <w:tab w:val="left" w:pos="9356"/>
        </w:tabs>
        <w:spacing w:after="0" w:line="240" w:lineRule="auto"/>
        <w:ind w:right="-2"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*Информация о распределении прибыли в соответствии с решениями годовых общих собраний (ГОСА):</w:t>
      </w:r>
    </w:p>
    <w:p w:rsidR="00D602D4" w:rsidRDefault="000B4C86">
      <w:pPr>
        <w:widowControl w:val="0"/>
        <w:spacing w:after="0" w:line="240" w:lineRule="auto"/>
        <w:ind w:right="-2" w:firstLine="709"/>
        <w:jc w:val="both"/>
        <w:rPr>
          <w:rFonts w:ascii="Times New Roman" w:hAnsi="Times New Roman" w:cs="Times New Roman"/>
          <w:sz w:val="24"/>
          <w:szCs w:val="24"/>
        </w:rPr>
      </w:pPr>
      <w:r>
        <w:rPr>
          <w:rFonts w:ascii="Times New Roman" w:hAnsi="Times New Roman" w:cs="Times New Roman"/>
          <w:sz w:val="24"/>
          <w:szCs w:val="24"/>
        </w:rPr>
        <w:t>- годовое Общее собрание акционеров в 2022 году (за 2021 год) - протокол годового Общего собрания акционеров от 21.06.2022 № 20;</w:t>
      </w:r>
    </w:p>
    <w:p w:rsidR="00D602D4" w:rsidRDefault="000B4C86">
      <w:pPr>
        <w:widowControl w:val="0"/>
        <w:spacing w:after="0" w:line="240" w:lineRule="auto"/>
        <w:ind w:right="-2" w:firstLine="709"/>
        <w:jc w:val="both"/>
        <w:rPr>
          <w:rFonts w:ascii="Times New Roman" w:hAnsi="Times New Roman" w:cs="Times New Roman"/>
          <w:sz w:val="24"/>
          <w:szCs w:val="24"/>
        </w:rPr>
      </w:pPr>
      <w:r>
        <w:rPr>
          <w:rFonts w:ascii="Times New Roman" w:hAnsi="Times New Roman" w:cs="Times New Roman"/>
          <w:sz w:val="24"/>
          <w:szCs w:val="24"/>
        </w:rPr>
        <w:t>- годовое Общее собрание акционеров в 2023 году (за 2022 год) - протокол годового Общего собрания акционеров от 14.06.2023 № 21;</w:t>
      </w:r>
    </w:p>
    <w:p w:rsidR="00D602D4" w:rsidRDefault="000B4C86">
      <w:pPr>
        <w:widowControl w:val="0"/>
        <w:spacing w:after="0" w:line="240" w:lineRule="auto"/>
        <w:ind w:right="-2" w:firstLine="709"/>
        <w:jc w:val="both"/>
        <w:rPr>
          <w:rFonts w:ascii="Times New Roman" w:hAnsi="Times New Roman" w:cs="Times New Roman"/>
          <w:sz w:val="24"/>
          <w:szCs w:val="24"/>
        </w:rPr>
      </w:pPr>
      <w:r>
        <w:rPr>
          <w:rFonts w:ascii="Times New Roman" w:hAnsi="Times New Roman" w:cs="Times New Roman"/>
          <w:sz w:val="24"/>
          <w:szCs w:val="24"/>
        </w:rPr>
        <w:t>- годовое Общее собрание акционеров в 2024 году (за 2023 год) - протокол годового Общего собрания акционеров от 20.06.2024 № 22.</w:t>
      </w:r>
    </w:p>
    <w:p w:rsidR="00D602D4" w:rsidRDefault="000B4C86">
      <w:pPr>
        <w:tabs>
          <w:tab w:val="left" w:pos="9356"/>
        </w:tabs>
        <w:spacing w:after="0" w:line="240" w:lineRule="auto"/>
        <w:ind w:right="-2"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соответствии с Уставом Общества решение о распределении прибыли по итогам 2024 года будет принято по итогам решения годового заседания общего собрания акционеров (ГЗОСА) в 2025 году.</w:t>
      </w:r>
    </w:p>
    <w:p w:rsidR="00D602D4" w:rsidRDefault="00D602D4">
      <w:pPr>
        <w:pStyle w:val="afd"/>
        <w:widowControl w:val="0"/>
        <w:spacing w:after="0" w:line="240" w:lineRule="auto"/>
        <w:ind w:right="-2"/>
        <w:jc w:val="both"/>
      </w:pPr>
    </w:p>
    <w:p w:rsidR="00D602D4" w:rsidRDefault="000B4C86">
      <w:pPr>
        <w:spacing w:after="0" w:line="240" w:lineRule="auto"/>
        <w:ind w:right="-2" w:firstLine="709"/>
        <w:jc w:val="both"/>
        <w:rPr>
          <w:rFonts w:ascii="Times New Roman" w:hAnsi="Times New Roman" w:cs="Times New Roman"/>
          <w:b/>
          <w:sz w:val="24"/>
          <w:szCs w:val="24"/>
        </w:rPr>
      </w:pPr>
      <w:r>
        <w:rPr>
          <w:rFonts w:ascii="Times New Roman" w:hAnsi="Times New Roman" w:cs="Times New Roman"/>
          <w:b/>
          <w:sz w:val="24"/>
          <w:szCs w:val="24"/>
        </w:rPr>
        <w:t>Взаимодействие с акционерами и инвесторами</w:t>
      </w:r>
    </w:p>
    <w:p w:rsidR="00D602D4" w:rsidRDefault="000B4C86">
      <w:pPr>
        <w:spacing w:after="0" w:line="240" w:lineRule="auto"/>
        <w:ind w:right="-2" w:firstLine="709"/>
        <w:jc w:val="both"/>
        <w:rPr>
          <w:rFonts w:ascii="Times New Roman" w:hAnsi="Times New Roman" w:cs="Times New Roman"/>
          <w:sz w:val="24"/>
          <w:szCs w:val="24"/>
        </w:rPr>
      </w:pPr>
      <w:r>
        <w:rPr>
          <w:rFonts w:ascii="Times New Roman" w:hAnsi="Times New Roman" w:cs="Times New Roman"/>
          <w:sz w:val="24"/>
          <w:szCs w:val="24"/>
        </w:rPr>
        <w:t>Одним из принципов, на котором основывается корпоративное управление в Компании, является прозрачность, обеспечение своевременного раскрытия достоверной информации обо всех существенных фактах, касающихся деятельности Компании, а также свободный доступ к такой информации всех заинтересованных лиц.</w:t>
      </w:r>
    </w:p>
    <w:p w:rsidR="00D602D4" w:rsidRDefault="000B4C86">
      <w:pPr>
        <w:spacing w:after="0" w:line="240" w:lineRule="auto"/>
        <w:ind w:right="-2" w:firstLine="709"/>
        <w:jc w:val="both"/>
        <w:rPr>
          <w:rFonts w:ascii="Times New Roman" w:hAnsi="Times New Roman" w:cs="Times New Roman"/>
          <w:sz w:val="24"/>
          <w:szCs w:val="24"/>
        </w:rPr>
      </w:pPr>
      <w:r>
        <w:rPr>
          <w:rFonts w:ascii="Times New Roman" w:hAnsi="Times New Roman" w:cs="Times New Roman"/>
          <w:sz w:val="24"/>
          <w:szCs w:val="24"/>
        </w:rPr>
        <w:t>В 2024 году действовало Положение об информационной политике, утвержденное решением Совета директоров Общества от 25.02.2022 (протокол № 444/22).</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ПАО «Россети Сибирь» проводит активную корпоративную политику в сфере раскрытия информации: помимо обязательного раскрытия, осуществляемого в рамках действующего законодательства, Общество на постоянной основе публикует на своем сайте дополнительные материалы, содержащие существенную информацию для акционеров и потенциальных инвесторов. Так, на ежеквартальной основе Общество готовит IR-релизы, освещающие операционные и финансовые результаты деятельности (по РСБУ и МСФО) за отчетный период. Ежеквартально и по итогам финансового года готовятся презентации для инвесторов, содержащие информацию о ключевых результатах и долгосрочных прогнозах, предоставляются необходимые комментарии и проводятся интернет-конференции. </w:t>
      </w:r>
    </w:p>
    <w:p w:rsidR="00D602D4" w:rsidRDefault="000B4C86">
      <w:pPr>
        <w:spacing w:after="0" w:line="240" w:lineRule="auto"/>
        <w:ind w:firstLine="709"/>
        <w:jc w:val="both"/>
        <w:rPr>
          <w:rFonts w:ascii="Times New Roman" w:eastAsia="PFDinTextCondPro-Regular" w:hAnsi="Times New Roman" w:cs="Times New Roman"/>
          <w:color w:val="1A1A18"/>
          <w:sz w:val="24"/>
          <w:szCs w:val="24"/>
        </w:rPr>
      </w:pPr>
      <w:r>
        <w:rPr>
          <w:rFonts w:ascii="Times New Roman" w:eastAsia="PFDinTextCondPro-Regular" w:hAnsi="Times New Roman" w:cs="Times New Roman"/>
          <w:color w:val="1A1A18"/>
          <w:sz w:val="24"/>
          <w:szCs w:val="24"/>
        </w:rPr>
        <w:t>В качестве средства информирования заинтересованных лиц ПАО «Россети Сибирь» использует сайт Общества (</w:t>
      </w:r>
      <w:hyperlink r:id="rId115" w:tooltip="http://www.rosseti-sib.ru" w:history="1">
        <w:r>
          <w:rPr>
            <w:rStyle w:val="ab"/>
            <w:rFonts w:ascii="Times New Roman" w:eastAsia="PFDinTextCondPro-Regular" w:hAnsi="Times New Roman"/>
            <w:sz w:val="24"/>
            <w:szCs w:val="24"/>
          </w:rPr>
          <w:t>www.</w:t>
        </w:r>
        <w:r>
          <w:rPr>
            <w:rStyle w:val="ab"/>
            <w:rFonts w:ascii="Times New Roman" w:eastAsia="PFDinTextCondPro-Regular" w:hAnsi="Times New Roman"/>
            <w:sz w:val="24"/>
            <w:szCs w:val="24"/>
            <w:lang w:val="en-US"/>
          </w:rPr>
          <w:t>rosseti</w:t>
        </w:r>
        <w:r>
          <w:rPr>
            <w:rStyle w:val="ab"/>
            <w:rFonts w:ascii="Times New Roman" w:eastAsia="PFDinTextCondPro-Regular" w:hAnsi="Times New Roman"/>
            <w:sz w:val="24"/>
            <w:szCs w:val="24"/>
          </w:rPr>
          <w:t>-</w:t>
        </w:r>
        <w:r>
          <w:rPr>
            <w:rStyle w:val="ab"/>
            <w:rFonts w:ascii="Times New Roman" w:eastAsia="PFDinTextCondPro-Regular" w:hAnsi="Times New Roman"/>
            <w:sz w:val="24"/>
            <w:szCs w:val="24"/>
            <w:lang w:val="en-US"/>
          </w:rPr>
          <w:t>sib</w:t>
        </w:r>
        <w:r>
          <w:rPr>
            <w:rStyle w:val="ab"/>
            <w:rFonts w:ascii="Times New Roman" w:eastAsia="PFDinTextCondPro-Regular" w:hAnsi="Times New Roman"/>
            <w:sz w:val="24"/>
            <w:szCs w:val="24"/>
          </w:rPr>
          <w:t>.ru</w:t>
        </w:r>
      </w:hyperlink>
      <w:r>
        <w:rPr>
          <w:rFonts w:ascii="Times New Roman" w:eastAsia="PFDinTextCondPro-Regular" w:hAnsi="Times New Roman" w:cs="Times New Roman"/>
          <w:color w:val="1A1A18"/>
          <w:sz w:val="24"/>
          <w:szCs w:val="24"/>
        </w:rPr>
        <w:t xml:space="preserve">). В соответствии с законодательством Российской Федерации, информация, подлежащая раскрытию в соответствии с требованиями, установленными Банком России, публикуется на странице в сети Интернет, предоставляемой службой раскрытия информации Интерфакс-ЦРКИ по адресу </w:t>
      </w:r>
      <w:hyperlink r:id="rId116" w:tooltip="https://e-disclosure.ru/portal/company.aspx?id=12072" w:history="1">
        <w:r>
          <w:rPr>
            <w:rStyle w:val="ab"/>
            <w:rFonts w:ascii="Times New Roman" w:eastAsia="PFDinTextCondPro-Regular" w:hAnsi="Times New Roman"/>
            <w:sz w:val="24"/>
            <w:szCs w:val="24"/>
          </w:rPr>
          <w:t>https://e-disclosure.ru/portal/company.aspx?id=12072</w:t>
        </w:r>
      </w:hyperlink>
      <w:r>
        <w:rPr>
          <w:rFonts w:ascii="Times New Roman" w:eastAsia="PFDinTextCondPro-Regular" w:hAnsi="Times New Roman" w:cs="Times New Roman"/>
          <w:color w:val="1A1A18"/>
          <w:sz w:val="24"/>
          <w:szCs w:val="24"/>
        </w:rPr>
        <w:t>.</w:t>
      </w:r>
    </w:p>
    <w:p w:rsidR="00D602D4" w:rsidRDefault="000B4C86">
      <w:pPr>
        <w:spacing w:after="0" w:line="240" w:lineRule="auto"/>
        <w:ind w:firstLine="709"/>
        <w:jc w:val="both"/>
        <w:rPr>
          <w:rFonts w:ascii="Times New Roman" w:eastAsia="PFDinTextCondPro-Regular" w:hAnsi="Times New Roman" w:cs="Times New Roman"/>
          <w:color w:val="1A1A18"/>
          <w:sz w:val="24"/>
          <w:szCs w:val="24"/>
        </w:rPr>
      </w:pPr>
      <w:r>
        <w:rPr>
          <w:rFonts w:ascii="Times New Roman" w:eastAsia="PFDinTextCondPro-Regular" w:hAnsi="Times New Roman" w:cs="Times New Roman"/>
          <w:color w:val="1A1A18"/>
          <w:sz w:val="24"/>
          <w:szCs w:val="24"/>
        </w:rPr>
        <w:t>Общество раскрывает понятие и перечень инсайдерской информации, а также порядок ее раскрытия, который определен Положением об инсайдерской информации Общества</w:t>
      </w:r>
      <w:r>
        <w:rPr>
          <w:rStyle w:val="af1"/>
          <w:rFonts w:eastAsia="Times New Roman"/>
        </w:rPr>
        <w:footnoteReference w:id="39"/>
      </w:r>
      <w:r>
        <w:rPr>
          <w:rFonts w:ascii="Times New Roman" w:eastAsia="PFDinTextCondPro-Regular" w:hAnsi="Times New Roman" w:cs="Times New Roman"/>
          <w:color w:val="1A1A18"/>
          <w:sz w:val="24"/>
          <w:szCs w:val="24"/>
        </w:rPr>
        <w:t>.</w:t>
      </w:r>
    </w:p>
    <w:p w:rsidR="00D602D4" w:rsidRDefault="000B4C86">
      <w:pPr>
        <w:spacing w:after="0" w:line="240" w:lineRule="auto"/>
        <w:ind w:firstLine="709"/>
        <w:jc w:val="both"/>
        <w:rPr>
          <w:rFonts w:ascii="Times New Roman" w:hAnsi="Times New Roman" w:cs="Times New Roman"/>
          <w:sz w:val="24"/>
          <w:szCs w:val="24"/>
        </w:rPr>
      </w:pPr>
      <w:r>
        <w:rPr>
          <w:rFonts w:ascii="Times New Roman" w:eastAsia="PFDinTextCondPro-Regular" w:hAnsi="Times New Roman" w:cs="Times New Roman"/>
          <w:color w:val="1A1A18"/>
          <w:sz w:val="24"/>
          <w:szCs w:val="24"/>
        </w:rPr>
        <w:t>Для обеспечения равного доступа к информации всех заинтересованных сторон Компания поддерживает англоязычную версию сайта Общества.</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Отчет о проведенных мероприятиях в 2024 году.</w:t>
      </w:r>
    </w:p>
    <w:p w:rsidR="00D602D4" w:rsidRDefault="000B4C86">
      <w:pPr>
        <w:pStyle w:val="ac"/>
        <w:numPr>
          <w:ilvl w:val="0"/>
          <w:numId w:val="26"/>
        </w:numPr>
        <w:spacing w:after="0" w:line="240" w:lineRule="auto"/>
        <w:ind w:left="992" w:hanging="283"/>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29.03.2024 проведена интернет-конференция по итогам 2023 года;</w:t>
      </w:r>
    </w:p>
    <w:p w:rsidR="00D602D4" w:rsidRDefault="000B4C86">
      <w:pPr>
        <w:pStyle w:val="ac"/>
        <w:numPr>
          <w:ilvl w:val="0"/>
          <w:numId w:val="26"/>
        </w:numPr>
        <w:spacing w:after="0" w:line="240" w:lineRule="auto"/>
        <w:ind w:left="992" w:hanging="283"/>
        <w:jc w:val="both"/>
        <w:rPr>
          <w:rFonts w:ascii="Times New Roman" w:hAnsi="Times New Roman" w:cs="Times New Roman"/>
          <w:sz w:val="24"/>
          <w:szCs w:val="24"/>
        </w:rPr>
      </w:pPr>
      <w:r>
        <w:rPr>
          <w:rFonts w:ascii="Times New Roman" w:hAnsi="Times New Roman" w:cs="Times New Roman"/>
          <w:sz w:val="24"/>
          <w:szCs w:val="24"/>
          <w:shd w:val="clear" w:color="auto" w:fill="FFFFFF"/>
        </w:rPr>
        <w:t>17.06.2024 проведена интернет-конференция по итогам 1 квартала 2024 года;</w:t>
      </w:r>
    </w:p>
    <w:p w:rsidR="00D602D4" w:rsidRDefault="000B4C86">
      <w:pPr>
        <w:pStyle w:val="ac"/>
        <w:numPr>
          <w:ilvl w:val="0"/>
          <w:numId w:val="26"/>
        </w:numPr>
        <w:spacing w:after="0" w:line="240" w:lineRule="auto"/>
        <w:ind w:left="992" w:hanging="283"/>
        <w:jc w:val="both"/>
        <w:rPr>
          <w:rFonts w:ascii="Times New Roman" w:hAnsi="Times New Roman" w:cs="Times New Roman"/>
          <w:sz w:val="24"/>
          <w:szCs w:val="24"/>
        </w:rPr>
      </w:pPr>
      <w:r>
        <w:rPr>
          <w:rFonts w:ascii="Times New Roman" w:hAnsi="Times New Roman" w:cs="Times New Roman"/>
          <w:sz w:val="24"/>
          <w:szCs w:val="24"/>
          <w:shd w:val="clear" w:color="auto" w:fill="FFFFFF"/>
        </w:rPr>
        <w:t>29.08.2024 проведена интернет-конференция по итогам 1 полугодия 2024 года;</w:t>
      </w:r>
    </w:p>
    <w:p w:rsidR="00D602D4" w:rsidRDefault="000B4C86">
      <w:pPr>
        <w:pStyle w:val="ac"/>
        <w:numPr>
          <w:ilvl w:val="0"/>
          <w:numId w:val="26"/>
        </w:numPr>
        <w:spacing w:after="0" w:line="240" w:lineRule="auto"/>
        <w:ind w:left="992" w:hanging="283"/>
        <w:jc w:val="both"/>
        <w:rPr>
          <w:rFonts w:ascii="Times New Roman" w:hAnsi="Times New Roman" w:cs="Times New Roman"/>
          <w:sz w:val="24"/>
          <w:szCs w:val="24"/>
        </w:rPr>
      </w:pPr>
      <w:r>
        <w:rPr>
          <w:rFonts w:ascii="Times New Roman" w:hAnsi="Times New Roman" w:cs="Times New Roman"/>
          <w:sz w:val="24"/>
          <w:szCs w:val="24"/>
          <w:shd w:val="clear" w:color="auto" w:fill="FFFFFF"/>
        </w:rPr>
        <w:t>05.12.2024 проведена интернет-конференция по итогам 9 месяцев 2024 года.</w:t>
      </w:r>
    </w:p>
    <w:p w:rsidR="00D602D4" w:rsidRDefault="00D602D4">
      <w:pPr>
        <w:ind w:firstLine="709"/>
        <w:jc w:val="both"/>
      </w:pPr>
    </w:p>
    <w:p w:rsidR="00D602D4" w:rsidRDefault="000B4C86">
      <w:pPr>
        <w:ind w:firstLine="709"/>
        <w:jc w:val="both"/>
        <w:rPr>
          <w:rFonts w:ascii="Times New Roman" w:hAnsi="Times New Roman" w:cs="Times New Roman"/>
          <w:sz w:val="24"/>
          <w:szCs w:val="24"/>
        </w:rPr>
      </w:pPr>
      <w:r>
        <w:rPr>
          <w:rFonts w:ascii="Times New Roman" w:hAnsi="Times New Roman" w:cs="Times New Roman"/>
          <w:sz w:val="24"/>
          <w:szCs w:val="24"/>
        </w:rPr>
        <w:t xml:space="preserve">Подразделением ПАО «Россети Сибирь», ответственным за взаимодействие с акционерами и инвесторами, является Департамент корпоративного управления и взаимодействия с акционерами. Контактная информация размещена на сайте Общества: </w:t>
      </w:r>
      <w:hyperlink r:id="rId117" w:tooltip="https://www.rosseti-sib.ru/shareholders_and_investors/kontakty/" w:history="1">
        <w:r>
          <w:rPr>
            <w:rStyle w:val="ab"/>
            <w:rFonts w:ascii="Times New Roman" w:hAnsi="Times New Roman"/>
            <w:sz w:val="24"/>
            <w:szCs w:val="24"/>
          </w:rPr>
          <w:t>https://www.rosseti-sib.ru/shareholders_and_investors/kontakty/</w:t>
        </w:r>
      </w:hyperlink>
      <w:r>
        <w:rPr>
          <w:rFonts w:ascii="Times New Roman" w:hAnsi="Times New Roman" w:cs="Times New Roman"/>
          <w:sz w:val="24"/>
          <w:szCs w:val="24"/>
        </w:rPr>
        <w:t>.</w:t>
      </w:r>
    </w:p>
    <w:p w:rsidR="00D602D4" w:rsidRDefault="00D602D4">
      <w:pPr>
        <w:spacing w:after="0" w:line="240" w:lineRule="auto"/>
        <w:rPr>
          <w:rFonts w:ascii="Times New Roman" w:hAnsi="Times New Roman" w:cs="Times New Roman"/>
          <w:sz w:val="24"/>
          <w:szCs w:val="24"/>
        </w:rPr>
      </w:pPr>
    </w:p>
    <w:p w:rsidR="00D602D4" w:rsidRDefault="00D602D4">
      <w:pPr>
        <w:pStyle w:val="13"/>
        <w:spacing w:before="0" w:line="240" w:lineRule="auto"/>
        <w:rPr>
          <w:rFonts w:ascii="Times New Roman" w:hAnsi="Times New Roman" w:cs="Times New Roman"/>
          <w:sz w:val="24"/>
          <w:szCs w:val="24"/>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sectPr w:rsidR="00D602D4">
          <w:pgSz w:w="11906" w:h="16838"/>
          <w:pgMar w:top="1134" w:right="851" w:bottom="425" w:left="1276" w:header="708" w:footer="697" w:gutter="0"/>
          <w:cols w:space="708"/>
          <w:docGrid w:linePitch="360"/>
        </w:sectPr>
      </w:pPr>
    </w:p>
    <w:p w:rsidR="00D602D4" w:rsidRDefault="000B4C86">
      <w:pPr>
        <w:pStyle w:val="13"/>
        <w:spacing w:before="0" w:line="240" w:lineRule="auto"/>
        <w:rPr>
          <w:rFonts w:ascii="Times New Roman" w:hAnsi="Times New Roman" w:cs="Times New Roman"/>
          <w:b/>
          <w:color w:val="auto"/>
          <w:sz w:val="26"/>
          <w:szCs w:val="26"/>
        </w:rPr>
      </w:pPr>
      <w:bookmarkStart w:id="133" w:name="_Toc170"/>
      <w:r>
        <w:rPr>
          <w:rFonts w:ascii="Times New Roman" w:eastAsia="Times New Roman" w:hAnsi="Times New Roman" w:cs="Times New Roman"/>
          <w:b/>
          <w:color w:val="auto"/>
          <w:sz w:val="26"/>
          <w:szCs w:val="26"/>
        </w:rPr>
        <w:lastRenderedPageBreak/>
        <w:t>Приложения</w:t>
      </w:r>
      <w:bookmarkEnd w:id="133"/>
    </w:p>
    <w:p w:rsidR="00D602D4" w:rsidRDefault="00D602D4">
      <w:pPr>
        <w:pStyle w:val="13"/>
        <w:spacing w:before="0" w:line="240" w:lineRule="auto"/>
        <w:rPr>
          <w:rFonts w:ascii="Times New Roman" w:hAnsi="Times New Roman" w:cs="Times New Roman"/>
          <w:b/>
          <w:color w:val="auto"/>
          <w:sz w:val="26"/>
          <w:szCs w:val="26"/>
        </w:rPr>
      </w:pPr>
    </w:p>
    <w:p w:rsidR="00D602D4" w:rsidRDefault="000B4C86">
      <w:pPr>
        <w:pStyle w:val="220"/>
        <w:spacing w:after="0"/>
        <w:ind w:left="0" w:firstLine="709"/>
        <w:jc w:val="both"/>
      </w:pPr>
      <w:bookmarkStart w:id="134" w:name="_Toc171"/>
      <w:r>
        <w:t>Приложение 1. Отчет ПАО «Россети Сибирь» о соблюдении принципов и рекомендаций Кодекса корпоративного управления, утвержденного Советом директоров Банка России 21.03.2014 и рекомендованного к применению письмом Банка России от 10.04.2014 № 06-52/2463 акционерными обществами, ценные бумаги которых допущены к организованным торгам</w:t>
      </w:r>
      <w:bookmarkEnd w:id="134"/>
    </w:p>
    <w:p w:rsidR="00D602D4" w:rsidRDefault="00D602D4">
      <w:pPr>
        <w:pStyle w:val="ConsPlusNormal"/>
        <w:ind w:firstLine="709"/>
        <w:jc w:val="both"/>
        <w:rPr>
          <w:rFonts w:ascii="Times New Roman" w:hAnsi="Times New Roman" w:cs="Times New Roman"/>
          <w:sz w:val="24"/>
          <w:szCs w:val="24"/>
        </w:rPr>
      </w:pPr>
    </w:p>
    <w:p w:rsidR="00D602D4" w:rsidRDefault="000B4C86">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Настоящий Отчет о соблюдении принципов и рекомендаций Кодекса корпоративного управления (далее по тексту – Отчет) был рассмотрен Советом директоров ПАО «Россети Сибирь»</w:t>
      </w:r>
      <w:r w:rsidR="00CA6697">
        <w:rPr>
          <w:rFonts w:ascii="Times New Roman" w:hAnsi="Times New Roman" w:cs="Times New Roman"/>
          <w:sz w:val="24"/>
          <w:szCs w:val="24"/>
        </w:rPr>
        <w:t xml:space="preserve"> «26</w:t>
      </w:r>
      <w:r>
        <w:rPr>
          <w:rFonts w:ascii="Times New Roman" w:hAnsi="Times New Roman" w:cs="Times New Roman"/>
          <w:sz w:val="24"/>
          <w:szCs w:val="24"/>
        </w:rPr>
        <w:t xml:space="preserve">» мая 2025 года (протокол № </w:t>
      </w:r>
      <w:r w:rsidR="00CA6697" w:rsidRPr="00CA6697">
        <w:rPr>
          <w:rFonts w:ascii="Times New Roman" w:hAnsi="Times New Roman" w:cs="Times New Roman"/>
          <w:sz w:val="24"/>
          <w:szCs w:val="24"/>
        </w:rPr>
        <w:t>554/25</w:t>
      </w:r>
      <w:r>
        <w:rPr>
          <w:rFonts w:ascii="Times New Roman" w:hAnsi="Times New Roman" w:cs="Times New Roman"/>
          <w:sz w:val="24"/>
          <w:szCs w:val="24"/>
        </w:rPr>
        <w:t xml:space="preserve"> от «</w:t>
      </w:r>
      <w:r w:rsidR="00CA6697">
        <w:rPr>
          <w:rFonts w:ascii="Times New Roman" w:hAnsi="Times New Roman" w:cs="Times New Roman"/>
          <w:sz w:val="24"/>
          <w:szCs w:val="24"/>
        </w:rPr>
        <w:t>29</w:t>
      </w:r>
      <w:r>
        <w:rPr>
          <w:rFonts w:ascii="Times New Roman" w:hAnsi="Times New Roman" w:cs="Times New Roman"/>
          <w:sz w:val="24"/>
          <w:szCs w:val="24"/>
        </w:rPr>
        <w:t>» мая 2025 года).</w:t>
      </w:r>
    </w:p>
    <w:p w:rsidR="00D602D4" w:rsidRDefault="000B4C86">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Совет директоров ПАО «Россети Сибирь» подтверждает, что приведенные в настоящем Отчете данные содержат полную и достоверную информацию о соблюдении ПАО «Россети Сибирь» принципов и рекомендац</w:t>
      </w:r>
      <w:bookmarkStart w:id="135" w:name="_GoBack"/>
      <w:bookmarkEnd w:id="135"/>
      <w:r>
        <w:rPr>
          <w:rFonts w:ascii="Times New Roman" w:hAnsi="Times New Roman" w:cs="Times New Roman"/>
          <w:sz w:val="24"/>
          <w:szCs w:val="24"/>
        </w:rPr>
        <w:t>ий Кодекса корпоративного управления за 2024 год.</w:t>
      </w:r>
    </w:p>
    <w:p w:rsidR="00D602D4" w:rsidRDefault="000B4C86">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Оценка соблюдения принципов и рекомендаций Кодекса корпоративного управления произведена ПАО «Россети Сибирь» на основании методологических Рекомендаций по составлению отчета о соблюдении принципов и рекомендаций Кодекса корпоративного управления (информационное письмо Банка России от 27.12.2021 № ИН-06-28/102 «О раскрытии в годовом отчете публичного акционерного общества отчета о соблюдении принципов и рекомендаций Кодекса корпоративного управления»).</w:t>
      </w:r>
    </w:p>
    <w:p w:rsidR="00D602D4" w:rsidRDefault="000B4C86">
      <w:pPr>
        <w:rPr>
          <w:rFonts w:ascii="Times New Roman" w:hAnsi="Times New Roman" w:cs="Times New Roman"/>
        </w:rPr>
      </w:pPr>
      <w:r>
        <w:rPr>
          <w:rFonts w:ascii="Times New Roman" w:hAnsi="Times New Roman" w:cs="Times New Roman"/>
        </w:rPr>
        <w:t xml:space="preserve"> </w:t>
      </w:r>
    </w:p>
    <w:tbl>
      <w:tblPr>
        <w:tblW w:w="14882" w:type="dxa"/>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02" w:type="dxa"/>
          <w:left w:w="62" w:type="dxa"/>
          <w:bottom w:w="102" w:type="dxa"/>
          <w:right w:w="62" w:type="dxa"/>
        </w:tblCellMar>
        <w:tblLook w:val="04A0" w:firstRow="1" w:lastRow="0" w:firstColumn="1" w:lastColumn="0" w:noHBand="0" w:noVBand="1"/>
      </w:tblPr>
      <w:tblGrid>
        <w:gridCol w:w="779"/>
        <w:gridCol w:w="2835"/>
        <w:gridCol w:w="4399"/>
        <w:gridCol w:w="2484"/>
        <w:gridCol w:w="4385"/>
      </w:tblGrid>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w:t>
            </w:r>
          </w:p>
        </w:tc>
        <w:tc>
          <w:tcPr>
            <w:tcW w:w="2835" w:type="dxa"/>
          </w:tcPr>
          <w:p w:rsidR="00D602D4" w:rsidRDefault="000B4C86">
            <w:pPr>
              <w:rPr>
                <w:rFonts w:ascii="Times New Roman" w:hAnsi="Times New Roman" w:cs="Times New Roman"/>
              </w:rPr>
            </w:pPr>
            <w:r>
              <w:rPr>
                <w:rFonts w:ascii="Times New Roman" w:hAnsi="Times New Roman" w:cs="Times New Roman"/>
              </w:rPr>
              <w:t>Принципы корпоративного управления</w:t>
            </w:r>
          </w:p>
        </w:tc>
        <w:tc>
          <w:tcPr>
            <w:tcW w:w="4399" w:type="dxa"/>
          </w:tcPr>
          <w:p w:rsidR="00D602D4" w:rsidRDefault="000B4C86">
            <w:pPr>
              <w:rPr>
                <w:rFonts w:ascii="Times New Roman" w:hAnsi="Times New Roman" w:cs="Times New Roman"/>
              </w:rPr>
            </w:pPr>
            <w:r>
              <w:rPr>
                <w:rFonts w:ascii="Times New Roman" w:hAnsi="Times New Roman" w:cs="Times New Roman"/>
              </w:rPr>
              <w:t>Критерии оценки соблюдения принципа корпоративного управления</w:t>
            </w:r>
          </w:p>
        </w:tc>
        <w:tc>
          <w:tcPr>
            <w:tcW w:w="2484" w:type="dxa"/>
          </w:tcPr>
          <w:p w:rsidR="00D602D4" w:rsidRDefault="000B4C86">
            <w:pPr>
              <w:rPr>
                <w:rFonts w:ascii="Times New Roman" w:hAnsi="Times New Roman" w:cs="Times New Roman"/>
              </w:rPr>
            </w:pPr>
            <w:r>
              <w:rPr>
                <w:rFonts w:ascii="Times New Roman" w:hAnsi="Times New Roman" w:cs="Times New Roman"/>
              </w:rPr>
              <w:t>Статус &lt;2&gt; соответствия принципу корпоративного управления</w:t>
            </w:r>
          </w:p>
        </w:tc>
        <w:tc>
          <w:tcPr>
            <w:tcW w:w="4385" w:type="dxa"/>
          </w:tcPr>
          <w:p w:rsidR="00D602D4" w:rsidRDefault="000B4C86">
            <w:pPr>
              <w:rPr>
                <w:rFonts w:ascii="Times New Roman" w:hAnsi="Times New Roman" w:cs="Times New Roman"/>
              </w:rPr>
            </w:pPr>
            <w:r>
              <w:rPr>
                <w:rFonts w:ascii="Times New Roman" w:hAnsi="Times New Roman" w:cs="Times New Roman"/>
              </w:rPr>
              <w:t>Объяснения &lt;3&gt; отклонения от критериев оценки соблюдения принципа корпоративного управления</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2</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3</w:t>
            </w:r>
          </w:p>
        </w:tc>
        <w:tc>
          <w:tcPr>
            <w:tcW w:w="2484" w:type="dxa"/>
          </w:tcPr>
          <w:p w:rsidR="00D602D4" w:rsidRDefault="000B4C86">
            <w:pPr>
              <w:rPr>
                <w:rFonts w:ascii="Times New Roman" w:hAnsi="Times New Roman" w:cs="Times New Roman"/>
              </w:rPr>
            </w:pPr>
            <w:r>
              <w:rPr>
                <w:rFonts w:ascii="Times New Roman" w:hAnsi="Times New Roman" w:cs="Times New Roman"/>
              </w:rPr>
              <w:t>4</w:t>
            </w:r>
          </w:p>
        </w:tc>
        <w:tc>
          <w:tcPr>
            <w:tcW w:w="4385" w:type="dxa"/>
          </w:tcPr>
          <w:p w:rsidR="00D602D4" w:rsidRDefault="000B4C86">
            <w:pPr>
              <w:rPr>
                <w:rFonts w:ascii="Times New Roman" w:hAnsi="Times New Roman" w:cs="Times New Roman"/>
              </w:rPr>
            </w:pPr>
            <w:r>
              <w:rPr>
                <w:rFonts w:ascii="Times New Roman" w:hAnsi="Times New Roman" w:cs="Times New Roman"/>
              </w:rPr>
              <w:t>5</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1.1</w:t>
            </w:r>
          </w:p>
        </w:tc>
        <w:tc>
          <w:tcPr>
            <w:tcW w:w="14103" w:type="dxa"/>
            <w:gridSpan w:val="4"/>
          </w:tcPr>
          <w:p w:rsidR="00D602D4" w:rsidRDefault="000B4C86">
            <w:pPr>
              <w:jc w:val="both"/>
              <w:rPr>
                <w:rFonts w:ascii="Times New Roman" w:hAnsi="Times New Roman" w:cs="Times New Roman"/>
              </w:rPr>
            </w:pPr>
            <w:r>
              <w:rPr>
                <w:rFonts w:ascii="Times New Roman" w:hAnsi="Times New Roman" w:cs="Times New Roman"/>
              </w:rPr>
              <w:t>Общество должно обеспечивать равное и справедливое отношение ко всем акционерам при реализации ими права на участие в управлении обществом</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1.1.1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Общество создает для акционеров максимально благоприятные условия для участия в общем собрании, условия для выработки обоснованной позиции по вопросам повестки дня общего собрания, </w:t>
            </w:r>
            <w:r>
              <w:rPr>
                <w:rFonts w:ascii="Times New Roman" w:hAnsi="Times New Roman" w:cs="Times New Roman"/>
              </w:rPr>
              <w:lastRenderedPageBreak/>
              <w:t>координации своих действий, а также возможность высказать свое мнение по рассматриваемым вопросам</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Общество предоставляет доступный способ коммуникации с обществом, такой как горячая линия, электронная почта или форум в сети Интернет, позволяющий акционерам высказать свое мнение и направить вопросы в отношении повестки дня в процессе подготовки к проведению </w:t>
            </w:r>
            <w:r>
              <w:rPr>
                <w:rFonts w:ascii="Times New Roman" w:hAnsi="Times New Roman" w:cs="Times New Roman"/>
              </w:rPr>
              <w:lastRenderedPageBreak/>
              <w:t>общего собрания.</w:t>
            </w:r>
          </w:p>
          <w:p w:rsidR="00D602D4" w:rsidRDefault="000B4C86">
            <w:pPr>
              <w:jc w:val="both"/>
              <w:rPr>
                <w:rFonts w:ascii="Times New Roman" w:hAnsi="Times New Roman" w:cs="Times New Roman"/>
              </w:rPr>
            </w:pPr>
            <w:r>
              <w:rPr>
                <w:rFonts w:ascii="Times New Roman" w:hAnsi="Times New Roman" w:cs="Times New Roman"/>
              </w:rPr>
              <w:t>Указанные способы коммуникации были организованы обществом и предоставлены акционерам в ходе подготовки к проведению каждого общего собрания, прошедшего в отчетный период</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1.1.2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Порядок сообщения о проведении общего собрания и предоставления материалов к общему собранию дает акционерам возможность надлежащим образом подготовиться к участию в нем</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отчетном периоде сообщение о проведении общего собрания акционеров размещено (опубликовано) на сайте общества в сети Интернет не позднее чем за 30 дней до даты проведения общего собрания, если законодательством не предусмотрен больший срок.</w:t>
            </w:r>
          </w:p>
          <w:p w:rsidR="00D602D4" w:rsidRDefault="000B4C86">
            <w:pPr>
              <w:jc w:val="both"/>
              <w:rPr>
                <w:rFonts w:ascii="Times New Roman" w:hAnsi="Times New Roman" w:cs="Times New Roman"/>
              </w:rPr>
            </w:pPr>
            <w:r>
              <w:rPr>
                <w:rFonts w:ascii="Times New Roman" w:hAnsi="Times New Roman" w:cs="Times New Roman"/>
              </w:rPr>
              <w:t>2. В сообщении о проведении собрания указаны документы, необходимые для допуска в помещение.</w:t>
            </w:r>
          </w:p>
          <w:p w:rsidR="00D602D4" w:rsidRDefault="000B4C86">
            <w:pPr>
              <w:jc w:val="both"/>
              <w:rPr>
                <w:rFonts w:ascii="Times New Roman" w:hAnsi="Times New Roman" w:cs="Times New Roman"/>
              </w:rPr>
            </w:pPr>
            <w:r>
              <w:rPr>
                <w:rFonts w:ascii="Times New Roman" w:hAnsi="Times New Roman" w:cs="Times New Roman"/>
              </w:rPr>
              <w:t>3. Акционерам был обеспечен доступ к информации о том, кем предложены вопросы повестки дня и кем выдвинуты кандидаты в совет директоров и ревизионную комиссию общества (в случае, если ее формирование предусмотрено уставом общества)</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1.1.3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В ходе подготовки и проведения общего собрания акционеры имели возможность беспрепятственно и своевременно получать информацию о собрании и материалы к нему, задавать </w:t>
            </w:r>
            <w:r>
              <w:rPr>
                <w:rFonts w:ascii="Times New Roman" w:hAnsi="Times New Roman" w:cs="Times New Roman"/>
              </w:rPr>
              <w:lastRenderedPageBreak/>
              <w:t>вопросы исполнительным органам и членам совета директоров общества, общаться друг с другом</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1. В отчетном периоде акционерам была предоставлена возможность задать вопросы членам исполнительных органов и членам совета директоров общества в период подготовки к собранию и в ходе проведения общего собрания.</w:t>
            </w:r>
          </w:p>
          <w:p w:rsidR="00D602D4" w:rsidRDefault="000B4C86">
            <w:pPr>
              <w:jc w:val="both"/>
              <w:rPr>
                <w:rFonts w:ascii="Times New Roman" w:hAnsi="Times New Roman" w:cs="Times New Roman"/>
              </w:rPr>
            </w:pPr>
            <w:r>
              <w:rPr>
                <w:rFonts w:ascii="Times New Roman" w:hAnsi="Times New Roman" w:cs="Times New Roman"/>
              </w:rPr>
              <w:t xml:space="preserve">2. Позиция совета директоров (включая </w:t>
            </w:r>
            <w:r>
              <w:rPr>
                <w:rFonts w:ascii="Times New Roman" w:hAnsi="Times New Roman" w:cs="Times New Roman"/>
              </w:rPr>
              <w:lastRenderedPageBreak/>
              <w:t>внесенные в протокол особые мнения (при наличии) по каждому вопросу повестки общих собраний, проведенных в отчетный период, была включена в состав материалов к общему собранию.</w:t>
            </w:r>
          </w:p>
          <w:p w:rsidR="00D602D4" w:rsidRDefault="000B4C86">
            <w:pPr>
              <w:jc w:val="both"/>
              <w:rPr>
                <w:rFonts w:ascii="Times New Roman" w:hAnsi="Times New Roman" w:cs="Times New Roman"/>
              </w:rPr>
            </w:pPr>
            <w:r>
              <w:rPr>
                <w:rFonts w:ascii="Times New Roman" w:hAnsi="Times New Roman" w:cs="Times New Roman"/>
              </w:rPr>
              <w:t>3. Общество предоставляло акционерам, имеющим на это право, доступ к списку лиц, имеющих право на участие в общем собрании, начиная с даты получения его обществом во всех случаях проведения общих собраний в отчетном периоде</w:t>
            </w:r>
          </w:p>
        </w:tc>
        <w:tc>
          <w:tcPr>
            <w:tcW w:w="2484" w:type="dxa"/>
          </w:tcPr>
          <w:p w:rsidR="00D602D4" w:rsidRDefault="000B4C86">
            <w:pPr>
              <w:rPr>
                <w:rFonts w:ascii="Times New Roman" w:hAnsi="Times New Roman" w:cs="Times New Roman"/>
              </w:rPr>
            </w:pPr>
            <w:r>
              <w:rPr>
                <w:rFonts w:ascii="Times New Roman" w:hAnsi="Times New Roman" w:cs="Times New Roman"/>
              </w:rPr>
              <w:lastRenderedPageBreak/>
              <w:t xml:space="preserve"> </w:t>
            </w: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0B4C86">
            <w:pPr>
              <w:pStyle w:val="afb"/>
              <w:widowControl w:val="0"/>
              <w:jc w:val="both"/>
              <w:rPr>
                <w:rFonts w:eastAsiaTheme="minorHAnsi"/>
                <w:sz w:val="22"/>
                <w:szCs w:val="22"/>
              </w:rPr>
            </w:pPr>
            <w:r>
              <w:rPr>
                <w:rFonts w:eastAsiaTheme="minorHAnsi"/>
                <w:sz w:val="22"/>
                <w:szCs w:val="22"/>
              </w:rPr>
              <w:t xml:space="preserve">На основании решения Совета директоров Общества (протокол от 16.05.2024 № 524/24), принятого в соответствии со ст. 12 Федерального закона от 25.12.2023 № 625-ФЗ «О внесении изменений в статью 98 Федерального закона «О государственном контроле (надзоре) и муниципальном контроле в Российской Федерации» и </w:t>
            </w:r>
            <w:r>
              <w:rPr>
                <w:rFonts w:eastAsiaTheme="minorHAnsi"/>
                <w:sz w:val="22"/>
                <w:szCs w:val="22"/>
              </w:rPr>
              <w:lastRenderedPageBreak/>
              <w:t>отдельные законодательные акты Российской Федерации» годовое Общее собрание акционеров ПАО «Россети Сибирь» проводилось в 2024 году в форме заочного голосования.</w:t>
            </w:r>
          </w:p>
          <w:p w:rsidR="00D602D4" w:rsidRDefault="000B4C86">
            <w:pPr>
              <w:pStyle w:val="afb"/>
              <w:widowControl w:val="0"/>
              <w:jc w:val="both"/>
              <w:rPr>
                <w:rFonts w:eastAsiaTheme="minorHAnsi"/>
                <w:sz w:val="22"/>
                <w:szCs w:val="22"/>
              </w:rPr>
            </w:pPr>
            <w:r>
              <w:rPr>
                <w:rFonts w:eastAsiaTheme="minorHAnsi"/>
                <w:sz w:val="22"/>
                <w:szCs w:val="22"/>
              </w:rPr>
              <w:t>Проведение Общего собрания акционеров Общества в форме заочного голосования является причиной частичного соблюдения критерия 1 в части предоставления акционерам возможности задать вопросы членам исполнительных органов Общества и членам Совета директоров Общества в ходе проведения Общего собрания. Тем не менее акционеры могли задать вопросы членам исполнительных органов и членам Совета директоров Общества по электронной почте и/или посредством форума в сети Интернет (https://forum.rosseti-sib.ru/), а также позвонив на горячую линию</w:t>
            </w:r>
          </w:p>
          <w:p w:rsidR="00D602D4" w:rsidRDefault="000B4C86">
            <w:pPr>
              <w:pStyle w:val="afb"/>
              <w:widowControl w:val="0"/>
              <w:jc w:val="both"/>
              <w:rPr>
                <w:rFonts w:eastAsiaTheme="minorHAnsi"/>
                <w:sz w:val="22"/>
                <w:szCs w:val="22"/>
              </w:rPr>
            </w:pPr>
            <w:r>
              <w:t xml:space="preserve"> </w:t>
            </w:r>
            <w:r>
              <w:rPr>
                <w:rFonts w:eastAsiaTheme="minorHAnsi"/>
                <w:sz w:val="22"/>
                <w:szCs w:val="22"/>
              </w:rPr>
              <w:t xml:space="preserve">Общество планирует в 2025 году проведение годового заседания Общего собрания акционеров Общества. </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1.1.4</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Реализация права акционера требовать созыва общего собрания, выдвигать кандидатов в органы управления и вносить предложения для включения в повестку дня общего собрания не была сопряжена с неоправданными сложностями</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Уставом общества установлен срок внесения акционерами предложений для включения в повестку дня годового общего собрания, составляющий не менее 60 дней после окончания соответствующего календарного года.</w:t>
            </w:r>
          </w:p>
          <w:p w:rsidR="00D602D4" w:rsidRDefault="000B4C86">
            <w:pPr>
              <w:jc w:val="both"/>
              <w:rPr>
                <w:rFonts w:ascii="Times New Roman" w:hAnsi="Times New Roman" w:cs="Times New Roman"/>
              </w:rPr>
            </w:pPr>
            <w:r>
              <w:rPr>
                <w:rFonts w:ascii="Times New Roman" w:hAnsi="Times New Roman" w:cs="Times New Roman"/>
              </w:rPr>
              <w:t xml:space="preserve">2. В отчетном периоде общество не отказывало в принятии предложений в повестку дня или кандидатов в органы общества по причине опечаток и иных несущественных недостатков в предложении </w:t>
            </w:r>
            <w:r>
              <w:rPr>
                <w:rFonts w:ascii="Times New Roman" w:hAnsi="Times New Roman" w:cs="Times New Roman"/>
              </w:rPr>
              <w:lastRenderedPageBreak/>
              <w:t>акционера</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1.1.5</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Каждый акционер имел возможность беспрепятственно реализовать право голоса самым простым и удобным для него способом</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Уставом общества предусмотрена возможность заполнения электронной формы бюллетеня на сайте в сети Интернет, адрес которого указан в сообщении о проведении общего собрания акционеров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5953"/>
        </w:trPr>
        <w:tc>
          <w:tcPr>
            <w:tcW w:w="779" w:type="dxa"/>
            <w:tcBorders>
              <w:bottom w:val="none" w:sz="4" w:space="0" w:color="000000"/>
            </w:tcBorders>
          </w:tcPr>
          <w:p w:rsidR="00D602D4" w:rsidRDefault="000B4C86">
            <w:pPr>
              <w:rPr>
                <w:rFonts w:ascii="Times New Roman" w:hAnsi="Times New Roman" w:cs="Times New Roman"/>
              </w:rPr>
            </w:pPr>
            <w:r>
              <w:rPr>
                <w:rFonts w:ascii="Times New Roman" w:hAnsi="Times New Roman" w:cs="Times New Roman"/>
              </w:rPr>
              <w:t>1.1.6</w:t>
            </w:r>
          </w:p>
        </w:tc>
        <w:tc>
          <w:tcPr>
            <w:tcW w:w="2835" w:type="dxa"/>
            <w:tcBorders>
              <w:bottom w:val="none" w:sz="4" w:space="0" w:color="000000"/>
            </w:tcBorders>
          </w:tcPr>
          <w:p w:rsidR="00D602D4" w:rsidRDefault="000B4C86">
            <w:pPr>
              <w:jc w:val="both"/>
              <w:rPr>
                <w:rFonts w:ascii="Times New Roman" w:hAnsi="Times New Roman" w:cs="Times New Roman"/>
              </w:rPr>
            </w:pPr>
            <w:r>
              <w:rPr>
                <w:rFonts w:ascii="Times New Roman" w:hAnsi="Times New Roman" w:cs="Times New Roman"/>
              </w:rPr>
              <w:t>Установленный обществом порядок ведения общего собрания обеспечивает равную возможность всем лицам, присутствующим на собрании, высказать свое мнение и задать интересующие их вопросы</w:t>
            </w:r>
          </w:p>
        </w:tc>
        <w:tc>
          <w:tcPr>
            <w:tcW w:w="4399" w:type="dxa"/>
            <w:tcBorders>
              <w:bottom w:val="none" w:sz="4" w:space="0" w:color="000000"/>
            </w:tcBorders>
          </w:tcPr>
          <w:p w:rsidR="00D602D4" w:rsidRDefault="000B4C86">
            <w:pPr>
              <w:jc w:val="both"/>
              <w:rPr>
                <w:rFonts w:ascii="Times New Roman" w:hAnsi="Times New Roman" w:cs="Times New Roman"/>
              </w:rPr>
            </w:pPr>
            <w:r>
              <w:rPr>
                <w:rFonts w:ascii="Times New Roman" w:hAnsi="Times New Roman" w:cs="Times New Roman"/>
              </w:rPr>
              <w:t>1. При проведении в отчетном периоде общих собраний акционеров в форме собрания (совместного присутствия акционеров) предусматривалось достаточное время для докладов по вопросам повестки дня и время для обсуждения этих вопросов, акционерам была предоставлена возможность высказать свое мнение и задать интересующие их вопросы по повестке дня.</w:t>
            </w:r>
          </w:p>
          <w:p w:rsidR="00D602D4" w:rsidRDefault="000B4C86">
            <w:pPr>
              <w:jc w:val="both"/>
              <w:rPr>
                <w:rFonts w:ascii="Times New Roman" w:hAnsi="Times New Roman" w:cs="Times New Roman"/>
              </w:rPr>
            </w:pPr>
            <w:r>
              <w:rPr>
                <w:rFonts w:ascii="Times New Roman" w:hAnsi="Times New Roman" w:cs="Times New Roman"/>
              </w:rPr>
              <w:t>2. Обществом были приглашены кандидаты в органы управления и контроля общества и предприняты все необходимые меры для обеспечения их участия в общем собрании акционеров, на котором их кандидатуры были поставлены на голосование. Присутствовавшие на общем собрании акционеров кандидаты в органы управления и контроля общества были доступны для ответов на вопросы акционеров.</w:t>
            </w:r>
          </w:p>
        </w:tc>
        <w:tc>
          <w:tcPr>
            <w:tcW w:w="2484" w:type="dxa"/>
            <w:tcBorders>
              <w:bottom w:val="none" w:sz="4" w:space="0" w:color="000000"/>
            </w:tcBorders>
          </w:tcPr>
          <w:p w:rsidR="00D602D4" w:rsidRDefault="000B4C86">
            <w:pPr>
              <w:rPr>
                <w:rFonts w:ascii="Times New Roman" w:hAnsi="Times New Roman" w:cs="Times New Roman"/>
              </w:rPr>
            </w:pPr>
            <w:r>
              <w:rPr>
                <w:rFonts w:ascii="Webdings" w:eastAsia="Webdings" w:hAnsi="Webdings" w:cs="Webdings"/>
              </w:rPr>
              <w:t></w:t>
            </w:r>
            <w:r>
              <w:rPr>
                <w:rFonts w:ascii="Times New Roman" w:hAnsi="Times New Roman" w:cs="Times New Roman"/>
              </w:rPr>
              <w:t xml:space="preserve"> соблюдается</w:t>
            </w:r>
          </w:p>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Borders>
              <w:bottom w:val="none" w:sz="4" w:space="0" w:color="000000"/>
            </w:tcBorders>
          </w:tcPr>
          <w:p w:rsidR="00D602D4" w:rsidRDefault="000B4C86">
            <w:pPr>
              <w:pStyle w:val="afb"/>
              <w:widowControl w:val="0"/>
              <w:ind w:firstLine="357"/>
              <w:jc w:val="both"/>
              <w:rPr>
                <w:rFonts w:eastAsiaTheme="minorHAnsi"/>
                <w:sz w:val="22"/>
                <w:szCs w:val="22"/>
              </w:rPr>
            </w:pPr>
            <w:r>
              <w:rPr>
                <w:rFonts w:eastAsiaTheme="minorHAnsi"/>
                <w:sz w:val="22"/>
                <w:szCs w:val="22"/>
              </w:rPr>
              <w:t>Критерии 1,2,3 не соблюдаются:</w:t>
            </w:r>
            <w:r>
              <w:t xml:space="preserve"> </w:t>
            </w:r>
          </w:p>
          <w:p w:rsidR="00D602D4" w:rsidRDefault="000B4C86">
            <w:pPr>
              <w:pStyle w:val="afb"/>
              <w:widowControl w:val="0"/>
              <w:ind w:firstLine="283"/>
              <w:jc w:val="both"/>
              <w:rPr>
                <w:rFonts w:eastAsiaTheme="minorHAnsi"/>
                <w:sz w:val="22"/>
                <w:szCs w:val="22"/>
              </w:rPr>
            </w:pPr>
            <w:r>
              <w:rPr>
                <w:rFonts w:eastAsiaTheme="minorHAnsi"/>
                <w:sz w:val="22"/>
                <w:szCs w:val="22"/>
              </w:rPr>
              <w:t>На основании решения Совета директоров Общества (протокол от 16.05.2024 № 524/24), принятого в соответствии со ст. 12 Федерального закона от 25.12.2023 № 625-ФЗ «О внесении изменений в статью 98 Федерального закона «О государственном контроле (надзоре) и муниципальном контроле в Российской Федерации» и отдельные законодательные акты Российской Федерации» годовое Общее собрание акционеров ПАО «Россети Сибирь» проводилось в 2024 году в форме заочного голосования.</w:t>
            </w:r>
          </w:p>
          <w:p w:rsidR="00D602D4" w:rsidRDefault="000B4C86">
            <w:pPr>
              <w:spacing w:after="0" w:line="240" w:lineRule="auto"/>
              <w:ind w:firstLine="357"/>
              <w:jc w:val="both"/>
              <w:rPr>
                <w:rFonts w:ascii="Times New Roman" w:hAnsi="Times New Roman" w:cs="Times New Roman"/>
              </w:rPr>
            </w:pPr>
            <w:r>
              <w:rPr>
                <w:rFonts w:ascii="Times New Roman" w:hAnsi="Times New Roman" w:cs="Times New Roman"/>
              </w:rPr>
              <w:t>В связи с этим доклады по вопросам повестки дня Собрания и их обсуждение не осуществлялись, трансляция Собрания не проводилась.</w:t>
            </w:r>
          </w:p>
          <w:p w:rsidR="00D602D4" w:rsidRDefault="000B4C86">
            <w:pPr>
              <w:spacing w:after="0" w:line="240" w:lineRule="auto"/>
              <w:ind w:firstLine="357"/>
              <w:jc w:val="both"/>
              <w:rPr>
                <w:rFonts w:ascii="Times New Roman" w:hAnsi="Times New Roman" w:cs="Times New Roman"/>
              </w:rPr>
            </w:pPr>
            <w:r>
              <w:rPr>
                <w:rFonts w:ascii="Times New Roman" w:hAnsi="Times New Roman" w:cs="Times New Roman"/>
              </w:rPr>
              <w:t>Акционерам при подготовке к годовому Общему собранию акционеров в 2024 году была предоставлена возможность задавать вопросы, а также получать ответы на вопросы по повестке дня Собрания путем  направлении их на специальный адрес (</w:t>
            </w:r>
            <w:hyperlink r:id="rId118" w:tooltip="mailto:ir@rosseti-sib.ru" w:history="1">
              <w:r>
                <w:rPr>
                  <w:rFonts w:ascii="Times New Roman" w:hAnsi="Times New Roman" w:cs="Times New Roman"/>
                </w:rPr>
                <w:t>ir@rosseti-sib.ru</w:t>
              </w:r>
            </w:hyperlink>
            <w:r>
              <w:rPr>
                <w:rFonts w:ascii="Times New Roman" w:hAnsi="Times New Roman" w:cs="Times New Roman"/>
              </w:rPr>
              <w:t>) и/или посредством форума в сети Интернет (https://forum.rosseti-sib.ru/).</w:t>
            </w:r>
          </w:p>
          <w:p w:rsidR="00D602D4" w:rsidRDefault="000B4C86">
            <w:pPr>
              <w:jc w:val="both"/>
              <w:rPr>
                <w:rFonts w:ascii="Times New Roman" w:hAnsi="Times New Roman" w:cs="Times New Roman"/>
              </w:rPr>
            </w:pPr>
            <w:r>
              <w:rPr>
                <w:rFonts w:ascii="Times New Roman" w:hAnsi="Times New Roman" w:cs="Times New Roman"/>
              </w:rPr>
              <w:lastRenderedPageBreak/>
              <w:t xml:space="preserve"> </w:t>
            </w:r>
          </w:p>
          <w:p w:rsidR="00D602D4" w:rsidRDefault="000B4C86">
            <w:pPr>
              <w:jc w:val="both"/>
              <w:rPr>
                <w:rFonts w:ascii="Times New Roman" w:hAnsi="Times New Roman" w:cs="Times New Roman"/>
              </w:rPr>
            </w:pPr>
            <w:r>
              <w:rPr>
                <w:rFonts w:ascii="Times New Roman" w:hAnsi="Times New Roman" w:cs="Times New Roman"/>
              </w:rPr>
              <w:t xml:space="preserve">Частичное несоблюдение является ограниченным во времени. </w:t>
            </w:r>
          </w:p>
          <w:p w:rsidR="00D602D4" w:rsidRDefault="000B4C86">
            <w:pPr>
              <w:pStyle w:val="afb"/>
              <w:widowControl w:val="0"/>
              <w:jc w:val="both"/>
              <w:rPr>
                <w:rFonts w:eastAsiaTheme="minorHAnsi"/>
                <w:sz w:val="22"/>
                <w:szCs w:val="22"/>
              </w:rPr>
            </w:pPr>
            <w:r>
              <w:rPr>
                <w:rFonts w:eastAsiaTheme="minorHAnsi"/>
                <w:sz w:val="22"/>
                <w:szCs w:val="22"/>
              </w:rPr>
              <w:t>Общество планирует в 2025 году проведение годового заседания Общего собрания акционеров Общества и данный критерий будет соблюден в полной мере.</w:t>
            </w:r>
          </w:p>
        </w:tc>
      </w:tr>
      <w:tr w:rsidR="00D602D4">
        <w:trPr>
          <w:trHeight w:val="170"/>
        </w:trPr>
        <w:tc>
          <w:tcPr>
            <w:tcW w:w="779" w:type="dxa"/>
            <w:tcBorders>
              <w:top w:val="none" w:sz="4" w:space="0" w:color="000000"/>
            </w:tcBorders>
          </w:tcPr>
          <w:p w:rsidR="00D602D4" w:rsidRDefault="00D602D4">
            <w:pPr>
              <w:rPr>
                <w:rFonts w:ascii="Times New Roman" w:hAnsi="Times New Roman" w:cs="Times New Roman"/>
              </w:rPr>
            </w:pPr>
          </w:p>
        </w:tc>
        <w:tc>
          <w:tcPr>
            <w:tcW w:w="2835" w:type="dxa"/>
            <w:tcBorders>
              <w:top w:val="none" w:sz="4" w:space="0" w:color="000000"/>
            </w:tcBorders>
          </w:tcPr>
          <w:p w:rsidR="00D602D4" w:rsidRDefault="00D602D4">
            <w:pPr>
              <w:jc w:val="both"/>
              <w:rPr>
                <w:rFonts w:ascii="Times New Roman" w:hAnsi="Times New Roman" w:cs="Times New Roman"/>
              </w:rPr>
            </w:pPr>
          </w:p>
        </w:tc>
        <w:tc>
          <w:tcPr>
            <w:tcW w:w="4399" w:type="dxa"/>
            <w:tcBorders>
              <w:top w:val="none" w:sz="4" w:space="0" w:color="000000"/>
            </w:tcBorders>
          </w:tcPr>
          <w:p w:rsidR="00D602D4" w:rsidRDefault="000B4C86">
            <w:pPr>
              <w:jc w:val="both"/>
              <w:rPr>
                <w:rFonts w:ascii="Times New Roman" w:hAnsi="Times New Roman" w:cs="Times New Roman"/>
              </w:rPr>
            </w:pPr>
            <w:r>
              <w:rPr>
                <w:rFonts w:ascii="Times New Roman" w:hAnsi="Times New Roman" w:cs="Times New Roman"/>
              </w:rPr>
              <w:t>3. Единоличный исполнительный орган, лицо, ответственное за ведение бухгалтерского учета, председатель или иные члены комитета совета директоров по аудиту были доступны для ответов на вопросы акционеров на общих собраниях акционеров, проведенных в отчетном периоде.</w:t>
            </w:r>
          </w:p>
          <w:p w:rsidR="00D602D4" w:rsidRDefault="000B4C86">
            <w:pPr>
              <w:jc w:val="both"/>
              <w:rPr>
                <w:rFonts w:ascii="Times New Roman" w:hAnsi="Times New Roman" w:cs="Times New Roman"/>
              </w:rPr>
            </w:pPr>
            <w:r>
              <w:rPr>
                <w:rFonts w:ascii="Times New Roman" w:hAnsi="Times New Roman" w:cs="Times New Roman"/>
              </w:rPr>
              <w:t xml:space="preserve">4. В отчетном периоде общество использовало телекоммуникационные средства для обеспечения дистанционного доступа акционеров для участия в общих </w:t>
            </w:r>
            <w:r>
              <w:rPr>
                <w:rFonts w:ascii="Times New Roman" w:hAnsi="Times New Roman" w:cs="Times New Roman"/>
              </w:rPr>
              <w:lastRenderedPageBreak/>
              <w:t>собраниях либо советом директоров было принято обоснованное решение об отсутствии необходимости (возможности) использования таких средств в отчетном периоде</w:t>
            </w:r>
          </w:p>
        </w:tc>
        <w:tc>
          <w:tcPr>
            <w:tcW w:w="2484" w:type="dxa"/>
            <w:tcBorders>
              <w:top w:val="none" w:sz="4" w:space="0" w:color="000000"/>
            </w:tcBorders>
          </w:tcPr>
          <w:p w:rsidR="00D602D4" w:rsidRDefault="00D602D4">
            <w:pPr>
              <w:rPr>
                <w:rFonts w:ascii="Times New Roman" w:hAnsi="Times New Roman" w:cs="Times New Roman"/>
              </w:rPr>
            </w:pPr>
          </w:p>
        </w:tc>
        <w:tc>
          <w:tcPr>
            <w:tcW w:w="4385" w:type="dxa"/>
            <w:tcBorders>
              <w:top w:val="none" w:sz="4" w:space="0" w:color="000000"/>
            </w:tcBorders>
          </w:tcPr>
          <w:p w:rsidR="00D602D4" w:rsidRDefault="000B4C86">
            <w:pPr>
              <w:spacing w:after="0" w:line="240" w:lineRule="auto"/>
              <w:ind w:firstLine="357"/>
              <w:jc w:val="both"/>
              <w:rPr>
                <w:rFonts w:ascii="Times New Roman" w:hAnsi="Times New Roman" w:cs="Times New Roman"/>
              </w:rPr>
            </w:pPr>
            <w:r>
              <w:rPr>
                <w:rFonts w:ascii="Times New Roman" w:hAnsi="Times New Roman" w:cs="Times New Roman"/>
              </w:rPr>
              <w:t>Критерий 4 соблюдается.</w:t>
            </w:r>
          </w:p>
          <w:p w:rsidR="00D602D4" w:rsidRDefault="00D602D4">
            <w:pPr>
              <w:rPr>
                <w:rFonts w:ascii="Times New Roman" w:hAnsi="Times New Roman" w:cs="Times New Roman"/>
              </w:rPr>
            </w:pPr>
          </w:p>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1.2</w:t>
            </w:r>
          </w:p>
        </w:tc>
        <w:tc>
          <w:tcPr>
            <w:tcW w:w="14103" w:type="dxa"/>
            <w:gridSpan w:val="4"/>
          </w:tcPr>
          <w:p w:rsidR="00D602D4" w:rsidRDefault="000B4C86">
            <w:pPr>
              <w:jc w:val="both"/>
              <w:rPr>
                <w:rFonts w:ascii="Times New Roman" w:hAnsi="Times New Roman" w:cs="Times New Roman"/>
              </w:rPr>
            </w:pPr>
            <w:r>
              <w:rPr>
                <w:rFonts w:ascii="Times New Roman" w:hAnsi="Times New Roman" w:cs="Times New Roman"/>
              </w:rPr>
              <w:t>Акционерам предоставлена равная и справедливая возможность участвовать в прибыли общества посредством получения дивидендов</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1.2.1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Общество разработало и внедрило прозрачный и понятный механизм определения размера дивидендов и их выплаты</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Положение о дивидендной политике общества утверждено советом директоров и раскрыто на сайте общества в сети Интернет.</w:t>
            </w:r>
          </w:p>
          <w:p w:rsidR="00D602D4" w:rsidRDefault="000B4C86">
            <w:pPr>
              <w:jc w:val="both"/>
              <w:rPr>
                <w:rFonts w:ascii="Times New Roman" w:hAnsi="Times New Roman" w:cs="Times New Roman"/>
              </w:rPr>
            </w:pPr>
            <w:r>
              <w:rPr>
                <w:rFonts w:ascii="Times New Roman" w:hAnsi="Times New Roman" w:cs="Times New Roman"/>
              </w:rPr>
              <w:t>2. Если дивидендная политика общества, составляющего консолидированную финансовую отчетность, использует показатели отчетности общества для определения размера дивидендов, то соответствующие положения дивидендной политики учитывают консолидированные показатели финансовой отчетности.</w:t>
            </w:r>
          </w:p>
          <w:p w:rsidR="00D602D4" w:rsidRDefault="000B4C86">
            <w:pPr>
              <w:jc w:val="both"/>
              <w:rPr>
                <w:rFonts w:ascii="Times New Roman" w:hAnsi="Times New Roman" w:cs="Times New Roman"/>
              </w:rPr>
            </w:pPr>
            <w:r>
              <w:rPr>
                <w:rFonts w:ascii="Times New Roman" w:hAnsi="Times New Roman" w:cs="Times New Roman"/>
              </w:rPr>
              <w:t>3. Обоснование предлагаемого распределения чистой прибыли, в том числе на выплату дивидендов и собственные нужды общества, и оценка его соответствия принятой в обществе дивидендной политике, с пояснениями и экономическим обоснованием потребности в направлении определенной части чистой прибыли на собственные нужды в отчетном периоде были включены в состав материалов к общему собранию акционеров, в повестку дня которого включен вопрос о распределении прибыли (в том числе о выплате (объявлении) дивидендов)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1.2.2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Общество не принимает решение о выплате дивидендов, если такое решение, формально не нарушая ограничений, установленных законодательством, является экономически необоснованным и может привести к формированию ложных представлений о деятельности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Положении о дивидендной политике общества помимо ограничений, установленных законодательством, определены финансовые/экономические обстоятельства, при которых обществу не следует принимать решение о выплате дивидендов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1.2.3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Общество не допускает ухудшения дивидендных прав существующих акционеров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отчетном периоде общество не предпринимало действий, ведущих к ухудшению дивидендных прав существующих акционеров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1.2.4</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Общество стремится к исключению использования акционерами иных способов получения прибыли (дохода) за счет общества, помимо дивидендов и ликвидационной стоимости</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отчетном периоде иные способы получения лицами, контролирующими общество, прибыли (дохода) за счет общества помимо дивидендов (например, с помощью трансфертного ценообразования, необоснованного оказания обществу контролирующим лицом услуг по завышенным ценам, путем замещающих дивиденды внутренних займов контролирующему лицу и (или) его подконтрольным лицам) не использовались</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1.3</w:t>
            </w:r>
          </w:p>
        </w:tc>
        <w:tc>
          <w:tcPr>
            <w:tcW w:w="14103" w:type="dxa"/>
            <w:gridSpan w:val="4"/>
          </w:tcPr>
          <w:p w:rsidR="00D602D4" w:rsidRDefault="000B4C86">
            <w:pPr>
              <w:jc w:val="both"/>
              <w:rPr>
                <w:rFonts w:ascii="Times New Roman" w:hAnsi="Times New Roman" w:cs="Times New Roman"/>
              </w:rPr>
            </w:pPr>
            <w:r>
              <w:rPr>
                <w:rFonts w:ascii="Times New Roman" w:hAnsi="Times New Roman" w:cs="Times New Roman"/>
              </w:rPr>
              <w:t xml:space="preserve">Система и практика корпоративного управления обеспечивают равенство условий для всех акционеров - владельцев акций одной категории (типа), </w:t>
            </w:r>
            <w:r>
              <w:rPr>
                <w:rFonts w:ascii="Times New Roman" w:hAnsi="Times New Roman" w:cs="Times New Roman"/>
              </w:rPr>
              <w:lastRenderedPageBreak/>
              <w:t>включая миноритарных (мелких) акционеров и иностранных акционеров, и равное отношение к ним со стороны общества</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1.3.1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Общество создало условия для справедливого отношения к каждому акционеру со стороны органов управления и контролирующих лиц общества, в том числе условия, обеспечивающие недопустимость злоупотреблений со стороны крупных акционеров по отношению к миноритарным акционерам</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течение отчетного периода лица, контролирующие общество, не допускали злоупотреблений правами по отношению к акционерам общества, конфликты между контролирующими лицами общества и акционерами общества отсутствовали, а если таковые были, совет директоров уделил им надлежащее внимание</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1.3.2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Общество не предпринимает действий, которые приводят или могут привести к искусственному перераспределению корпоративного контроля</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Квазиказначейские акции отсутствуют или не участвовали в голосовании в течение отчетного периода</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1.4</w:t>
            </w:r>
          </w:p>
        </w:tc>
        <w:tc>
          <w:tcPr>
            <w:tcW w:w="14103" w:type="dxa"/>
            <w:gridSpan w:val="4"/>
          </w:tcPr>
          <w:p w:rsidR="00D602D4" w:rsidRDefault="000B4C86">
            <w:pPr>
              <w:jc w:val="both"/>
              <w:rPr>
                <w:rFonts w:ascii="Times New Roman" w:hAnsi="Times New Roman" w:cs="Times New Roman"/>
              </w:rPr>
            </w:pPr>
            <w:r>
              <w:rPr>
                <w:rFonts w:ascii="Times New Roman" w:hAnsi="Times New Roman" w:cs="Times New Roman"/>
              </w:rPr>
              <w:t>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им акций</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1.4.1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Акционерам обеспечены надежные и эффективные способы учета прав на акции, а также возможность свободного и необременительного отчуждения принадлежащих </w:t>
            </w:r>
            <w:r>
              <w:rPr>
                <w:rFonts w:ascii="Times New Roman" w:hAnsi="Times New Roman" w:cs="Times New Roman"/>
              </w:rPr>
              <w:lastRenderedPageBreak/>
              <w:t>им акций</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1. Используемые регистратором общества технологии и условия оказываемых услуг соответствуют потребностям общества и его акционеров, обеспечивают учет прав на акции и реализацию прав акционеров наиболее эффективным образом</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2.1</w:t>
            </w:r>
          </w:p>
        </w:tc>
        <w:tc>
          <w:tcPr>
            <w:tcW w:w="14103" w:type="dxa"/>
            <w:gridSpan w:val="4"/>
          </w:tcPr>
          <w:p w:rsidR="00D602D4" w:rsidRDefault="000B4C86">
            <w:pPr>
              <w:jc w:val="both"/>
              <w:rPr>
                <w:rFonts w:ascii="Times New Roman" w:hAnsi="Times New Roman" w:cs="Times New Roman"/>
              </w:rPr>
            </w:pPr>
            <w:r>
              <w:rPr>
                <w:rFonts w:ascii="Times New Roman" w:hAnsi="Times New Roman" w:cs="Times New Roman"/>
              </w:rPr>
              <w:t>Совет директоров осуществляет стратегическое управление обществом, определяет основные принципы и подходы к организации в обществе системы управления рисками и внутреннего контроля, контролирует деятельность исполнительных органов общества, а также реализует иные ключевые функции</w:t>
            </w:r>
          </w:p>
        </w:tc>
      </w:tr>
      <w:tr w:rsidR="00D602D4">
        <w:trPr>
          <w:trHeight w:val="566"/>
        </w:trPr>
        <w:tc>
          <w:tcPr>
            <w:tcW w:w="779" w:type="dxa"/>
          </w:tcPr>
          <w:p w:rsidR="00D602D4" w:rsidRDefault="000B4C86">
            <w:pPr>
              <w:rPr>
                <w:rFonts w:ascii="Times New Roman" w:hAnsi="Times New Roman" w:cs="Times New Roman"/>
              </w:rPr>
            </w:pPr>
            <w:r>
              <w:rPr>
                <w:rFonts w:ascii="Times New Roman" w:hAnsi="Times New Roman" w:cs="Times New Roman"/>
              </w:rPr>
              <w:t>2.1.1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Совет директоров отвечает за принятие решений, связанных с назначением и освобождением от занимаемых должностей исполнительных органов, в том числе в связи с ненадлежащим исполнением ими своих обязанностей. Совет директоров также осуществляет контроль за тем, чтобы исполнительные органы общества действовали в соответствии с утвержденными стратегией развития и основными направлениями деятельности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Совет директоров имеет закрепленные в уставе полномочия по назначению, освобождению от занимаемой должности и определению условий договоров в отношении членов исполнительных органов.</w:t>
            </w:r>
          </w:p>
          <w:p w:rsidR="00D602D4" w:rsidRDefault="000B4C86">
            <w:pPr>
              <w:jc w:val="both"/>
              <w:rPr>
                <w:rFonts w:ascii="Times New Roman" w:hAnsi="Times New Roman" w:cs="Times New Roman"/>
              </w:rPr>
            </w:pPr>
            <w:r>
              <w:rPr>
                <w:rFonts w:ascii="Times New Roman" w:hAnsi="Times New Roman" w:cs="Times New Roman"/>
              </w:rPr>
              <w:t>2. В отчетном периоде комитет по номинациям (назначениям, кадрам) рассмотрел вопрос о соответствии профессиональной квалификации, навыков и опыта членов исполнительных органов текущим и ожидаемым потребностям общества, продиктованным утвержденной стратегией общества.</w:t>
            </w:r>
          </w:p>
          <w:p w:rsidR="00D602D4" w:rsidRDefault="000B4C86">
            <w:pPr>
              <w:jc w:val="both"/>
              <w:rPr>
                <w:rFonts w:ascii="Times New Roman" w:hAnsi="Times New Roman" w:cs="Times New Roman"/>
              </w:rPr>
            </w:pPr>
            <w:r>
              <w:rPr>
                <w:rFonts w:ascii="Times New Roman" w:hAnsi="Times New Roman" w:cs="Times New Roman"/>
              </w:rPr>
              <w:t>3. В отчетном периоде советом директоров рассмотрен отчет (отчеты) единоличного исполнительного органа и коллегиального исполнительного органа (при наличии) о выполнении стратегии общества</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tc>
        <w:tc>
          <w:tcPr>
            <w:tcW w:w="4385" w:type="dxa"/>
          </w:tcPr>
          <w:p w:rsidR="00D602D4" w:rsidRDefault="00D602D4">
            <w:pPr>
              <w:jc w:val="both"/>
              <w:rPr>
                <w:rFonts w:ascii="Times New Roman" w:hAnsi="Times New Roman" w:cs="Times New Roman"/>
              </w:rPr>
            </w:pPr>
          </w:p>
          <w:p w:rsidR="00D602D4" w:rsidRDefault="000B4C86">
            <w:pPr>
              <w:jc w:val="both"/>
              <w:rPr>
                <w:rFonts w:ascii="Times New Roman" w:hAnsi="Times New Roman" w:cs="Times New Roman"/>
              </w:rPr>
            </w:pPr>
            <w:r>
              <w:rPr>
                <w:rFonts w:ascii="Times New Roman" w:hAnsi="Times New Roman" w:cs="Times New Roman"/>
              </w:rPr>
              <w:t>Критерий 1 соблюдаются.</w:t>
            </w:r>
          </w:p>
          <w:p w:rsidR="00D602D4" w:rsidRDefault="000B4C86">
            <w:pPr>
              <w:jc w:val="both"/>
              <w:rPr>
                <w:rFonts w:ascii="Times New Roman" w:hAnsi="Times New Roman" w:cs="Times New Roman"/>
              </w:rPr>
            </w:pPr>
            <w:r>
              <w:rPr>
                <w:rFonts w:ascii="Times New Roman" w:hAnsi="Times New Roman" w:cs="Times New Roman"/>
              </w:rPr>
              <w:t>Критерий 2 не соблюдается</w:t>
            </w:r>
          </w:p>
          <w:p w:rsidR="00D602D4" w:rsidRDefault="000B4C86">
            <w:pPr>
              <w:jc w:val="both"/>
              <w:rPr>
                <w:rFonts w:ascii="Times New Roman" w:hAnsi="Times New Roman" w:cs="Times New Roman"/>
              </w:rPr>
            </w:pPr>
            <w:r>
              <w:rPr>
                <w:rFonts w:ascii="Times New Roman" w:hAnsi="Times New Roman" w:cs="Times New Roman"/>
              </w:rPr>
              <w:t xml:space="preserve"> В отчетном периоде Комитет по кадрам и вознаграждениям Совета директоров Общества не рассматривал вопросы о соответствии профессиональной квалификации членов исполнительных органов текущим и ожидаемым потребностям общества, продиктованным утвержденной стратегией общества. При этом Совет директоров Общества, Комитет по стратегии Совета директоров Общества в течение отчетного периода рассматривали отчеты менеджмента, о реализации программ, планов и мероприятий, направленных на реализацию стратегических приоритетов Общества.</w:t>
            </w:r>
          </w:p>
          <w:p w:rsidR="00D602D4" w:rsidRDefault="000B4C86">
            <w:pPr>
              <w:jc w:val="both"/>
              <w:rPr>
                <w:rFonts w:ascii="Times New Roman" w:hAnsi="Times New Roman" w:cs="Times New Roman"/>
              </w:rPr>
            </w:pPr>
            <w:r>
              <w:rPr>
                <w:rFonts w:ascii="Times New Roman" w:hAnsi="Times New Roman" w:cs="Times New Roman"/>
              </w:rPr>
              <w:t xml:space="preserve">Поскольку Общество входит в Группу компаний, возможность утверждения собственной, отвечающей основным принципам развития компаний Группы, стратегии во многом зависит от  соответствующей инициативы контролирующего акционера Общества – </w:t>
            </w:r>
            <w:r>
              <w:rPr>
                <w:rFonts w:ascii="Times New Roman" w:hAnsi="Times New Roman" w:cs="Times New Roman"/>
              </w:rPr>
              <w:lastRenderedPageBreak/>
              <w:t xml:space="preserve">ПАО «Россети». </w:t>
            </w:r>
          </w:p>
          <w:p w:rsidR="00D602D4" w:rsidRDefault="000B4C86">
            <w:pPr>
              <w:jc w:val="both"/>
              <w:rPr>
                <w:rFonts w:ascii="Times New Roman" w:hAnsi="Times New Roman" w:cs="Times New Roman"/>
              </w:rPr>
            </w:pPr>
            <w:r>
              <w:rPr>
                <w:rFonts w:ascii="Times New Roman" w:hAnsi="Times New Roman" w:cs="Times New Roman"/>
              </w:rPr>
              <w:t xml:space="preserve">Критерий 3  соблюдается частично, т.к. </w:t>
            </w:r>
            <w:r>
              <w:rPr>
                <w:rFonts w:ascii="Times New Roman" w:eastAsia="Times New Roman" w:hAnsi="Times New Roman" w:cs="Times New Roman"/>
              </w:rPr>
              <w:t>в течение отчетного периода Советом директоров Общества не рассматривались отчеты единоличного исполнительного органа и членов коллегиального исполнительного органа Общества о выполнении стратегии Общества.</w:t>
            </w:r>
          </w:p>
          <w:p w:rsidR="00D602D4" w:rsidRDefault="000B4C86">
            <w:pPr>
              <w:jc w:val="both"/>
              <w:rPr>
                <w:rFonts w:ascii="Times New Roman" w:hAnsi="Times New Roman" w:cs="Times New Roman"/>
              </w:rPr>
            </w:pPr>
            <w:r>
              <w:rPr>
                <w:rFonts w:ascii="Times New Roman" w:eastAsia="Times New Roman" w:hAnsi="Times New Roman" w:cs="Times New Roman"/>
              </w:rPr>
              <w:t>Стратегия Общества не утверждена в качестве самостоятельного документа. Стратегические цели и направления развития для компаний Группы «Россети»  ориентированы на реализацию отраслевых документов стратегического планирования, в том числе Энергетической стратегии Российской Федерации до 2035 года, утвержденной распоряжением Правительства Российской Федерации от 09.06.2020 № 1523-р</w:t>
            </w:r>
            <w:r>
              <w:rPr>
                <w:rStyle w:val="af1"/>
                <w:rFonts w:ascii="Times New Roman" w:eastAsia="Times New Roman" w:hAnsi="Times New Roman" w:cs="Times New Roman"/>
              </w:rPr>
              <w:footnoteReference w:id="40"/>
            </w:r>
            <w:r>
              <w:rPr>
                <w:rFonts w:ascii="Times New Roman" w:eastAsia="Times New Roman" w:hAnsi="Times New Roman" w:cs="Times New Roman"/>
              </w:rPr>
              <w:t xml:space="preserve">, а также Стратегией социально-экономического развития Российской Федерации с низким уровнем выбросов парниковых газов до 2050 года, утвержденная Распоряжением Правительства Российской Федерации от 29.10.2021 № 3052-р; Указом Президента Российской Федерации от 07.05.2018 № 204 «О национальных целях и стратегических задачах развития Российской Федерации на период до 2024 года» (до 07.05.2024 в редакции Указа Президента Российской Федерации от 21.07.2020 № 474), Указом </w:t>
            </w:r>
            <w:r>
              <w:rPr>
                <w:rFonts w:ascii="Times New Roman" w:eastAsia="Times New Roman" w:hAnsi="Times New Roman" w:cs="Times New Roman"/>
              </w:rPr>
              <w:lastRenderedPageBreak/>
              <w:t>Президента Российской Федерации от 07.05.2024 № 309 «О национальных целях развития российской федерации на период до 2030 года и на перспективу до 2036 года», прогнозов социально-экономического развития Российской Федерации на 2025 год и на плановый период 2026 и 2027 годов и иными документами государственного стратегического планирования в сфере электроэнергетики.</w:t>
            </w:r>
          </w:p>
          <w:p w:rsidR="00D602D4" w:rsidRDefault="000B4C86">
            <w:pPr>
              <w:jc w:val="both"/>
              <w:rPr>
                <w:rFonts w:ascii="Times New Roman" w:hAnsi="Times New Roman" w:cs="Times New Roman"/>
              </w:rPr>
            </w:pPr>
            <w:r>
              <w:rPr>
                <w:rFonts w:ascii="Times New Roman" w:eastAsia="Times New Roman" w:hAnsi="Times New Roman" w:cs="Times New Roman"/>
              </w:rPr>
              <w:t>При этом Советом директоров в отчетном периоде рассматривалась отчетная информация по ключевым стратегическим вопросам и программным документам: инвестиционная программа, программа инновационного развития, программа цифровой трансформации, бизнес-план, ключевые показатели эффективности и др. В новом периоде стратегического планирования 2025-2030 гг. развитие Общества будет осуществляться в рамках Стратегии развития Публичного акционерного общества «Федеральная сетевая компания – Россети» и его дочерних и зависимых обществ на период до 2030 года (далее – Стратегия развития), утвержденной Советом директоров ПАО «Россети» (протокол от 31.03.2025 № 682) и формируемого Обществом плана реализации мероприятий, направленных на исполнение Стратегии развития.</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2.1.2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Совет директоров устанавливает основные </w:t>
            </w:r>
            <w:r>
              <w:rPr>
                <w:rFonts w:ascii="Times New Roman" w:hAnsi="Times New Roman" w:cs="Times New Roman"/>
              </w:rPr>
              <w:lastRenderedPageBreak/>
              <w:t>ориентиры деятельности общества на долгосрочную перспективу, оценивает и утверждает ключевые показатели деятельности и основные бизнес-цели общества, оценивает и одобряет стратегию и бизнес-планы по основным видам деятельности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В течение отчетного периода на заседаниях совета директоров были </w:t>
            </w:r>
            <w:r>
              <w:rPr>
                <w:rFonts w:ascii="Times New Roman" w:hAnsi="Times New Roman" w:cs="Times New Roman"/>
              </w:rPr>
              <w:lastRenderedPageBreak/>
              <w:t>рассмотрены вопросы, связанные с ходом исполнения и актуализации стратегии, утверждением финансово-хозяйственного плана (бюджета) общества, а также рассмотрением критериев и показателей (в том числе промежуточных) реализации стратегии и бизнес-планов общества</w:t>
            </w:r>
          </w:p>
        </w:tc>
        <w:tc>
          <w:tcPr>
            <w:tcW w:w="2484" w:type="dxa"/>
          </w:tcPr>
          <w:p w:rsidR="00D602D4" w:rsidRDefault="000B4C86">
            <w:pPr>
              <w:rPr>
                <w:rFonts w:ascii="Times New Roman" w:hAnsi="Times New Roman" w:cs="Times New Roman"/>
              </w:rPr>
            </w:pPr>
            <w:r>
              <w:rPr>
                <w:rFonts w:ascii="Webdings" w:eastAsia="Webdings" w:hAnsi="Webdings" w:cs="Web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 xml:space="preserve">частично </w:t>
            </w:r>
            <w:r>
              <w:rPr>
                <w:rFonts w:ascii="Times New Roman" w:hAnsi="Times New Roman" w:cs="Times New Roman"/>
              </w:rPr>
              <w:lastRenderedPageBreak/>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0B4C86">
            <w:pPr>
              <w:jc w:val="both"/>
              <w:rPr>
                <w:rFonts w:ascii="Times New Roman" w:hAnsi="Times New Roman" w:cs="Times New Roman"/>
              </w:rPr>
            </w:pPr>
            <w:r>
              <w:rPr>
                <w:rFonts w:ascii="Times New Roman" w:eastAsia="Times New Roman" w:hAnsi="Times New Roman" w:cs="Times New Roman"/>
              </w:rPr>
              <w:lastRenderedPageBreak/>
              <w:t xml:space="preserve">Критерий 1 частично соблюдается, т.к. Обществом не соблюдены рекомендации в </w:t>
            </w:r>
            <w:r>
              <w:rPr>
                <w:rFonts w:ascii="Times New Roman" w:eastAsia="Times New Roman" w:hAnsi="Times New Roman" w:cs="Times New Roman"/>
              </w:rPr>
              <w:lastRenderedPageBreak/>
              <w:t>части рассмотрения на заседаниях Совета директоров Общества вопросов, связанных с ходом исполнения и актуализации стратегии, а также рассмотрения критериев и показателей реализации стратегии.</w:t>
            </w:r>
          </w:p>
          <w:p w:rsidR="00D602D4" w:rsidRDefault="000B4C86">
            <w:pPr>
              <w:jc w:val="both"/>
              <w:rPr>
                <w:rFonts w:ascii="Times New Roman" w:hAnsi="Times New Roman" w:cs="Times New Roman"/>
              </w:rPr>
            </w:pPr>
            <w:r>
              <w:rPr>
                <w:rFonts w:ascii="Times New Roman" w:eastAsia="Times New Roman" w:hAnsi="Times New Roman" w:cs="Times New Roman"/>
              </w:rPr>
              <w:t xml:space="preserve">Стратегия Общества не утверждена в качестве самостоятельного документа. </w:t>
            </w:r>
          </w:p>
          <w:p w:rsidR="00D602D4" w:rsidRDefault="000B4C86">
            <w:pPr>
              <w:jc w:val="both"/>
              <w:rPr>
                <w:rFonts w:ascii="Times New Roman" w:eastAsia="Times New Roman" w:hAnsi="Times New Roman" w:cs="Times New Roman"/>
              </w:rPr>
            </w:pPr>
            <w:r>
              <w:rPr>
                <w:rFonts w:ascii="Times New Roman" w:eastAsia="Times New Roman" w:hAnsi="Times New Roman" w:cs="Times New Roman"/>
              </w:rPr>
              <w:t>Стратегические цели и направления развития для компаний Группы «Россети»  ориентированы на реализацию отраслевых документов стратегического планирования, в том числе Энергетической стратегии Российской Федерации до 2035 года, утвержденной распоряжением Правительства Российской Федерации от 09.06.2020 № 1523-р</w:t>
            </w:r>
            <w:r>
              <w:rPr>
                <w:rStyle w:val="af1"/>
                <w:rFonts w:ascii="Times New Roman" w:eastAsia="Times New Roman" w:hAnsi="Times New Roman" w:cs="Times New Roman"/>
              </w:rPr>
              <w:footnoteReference w:id="41"/>
            </w:r>
            <w:r>
              <w:rPr>
                <w:rFonts w:ascii="Times New Roman" w:eastAsia="Times New Roman" w:hAnsi="Times New Roman" w:cs="Times New Roman"/>
              </w:rPr>
              <w:t xml:space="preserve">, а также Стратегией социально-экономического развития Российской Федерации с низким уровнем выбросов парниковых газов до 2050 года, утвержденная Распоряжением Правительства Российской Федерации от 29.10.2021 № 3052-р; Указом Президента Российской Федерации от 07.05.2018 № 204 «О национальных целях и стратегических задачах развития Российской Федерации на период до 2024 года» (до 07.05.2024 в редакции Указа Президента Российской Федерации от 21.07.2020 № 474), Указом Президента Российской Федерации от 07.05.2024 № 309 «О национальных целях развития российской федерации на период </w:t>
            </w:r>
            <w:r>
              <w:rPr>
                <w:rFonts w:ascii="Times New Roman" w:eastAsia="Times New Roman" w:hAnsi="Times New Roman" w:cs="Times New Roman"/>
              </w:rPr>
              <w:lastRenderedPageBreak/>
              <w:t>до 2030 года и на перспективу до 2036 года», прогнозов социально-экономического развития Российской Федерации на 2025 год и на плановый период 2026 и 2027 годов и иными документами государственного стратегического планирования в сфере электроэнергетики.</w:t>
            </w:r>
          </w:p>
          <w:p w:rsidR="00D602D4" w:rsidRDefault="000B4C86">
            <w:pPr>
              <w:jc w:val="both"/>
              <w:rPr>
                <w:rFonts w:ascii="Times New Roman" w:hAnsi="Times New Roman" w:cs="Times New Roman"/>
              </w:rPr>
            </w:pPr>
            <w:r>
              <w:rPr>
                <w:rFonts w:ascii="Times New Roman" w:eastAsia="Times New Roman" w:hAnsi="Times New Roman" w:cs="Times New Roman"/>
              </w:rPr>
              <w:t>При этом Советом директоров в отчетном периоде рассматривалась отчетная информация по ключевым стратегическим вопросам и программным документам: инвестиционная программа, программа инновационного развития, программа цифровой трансформации, бизнес-план, ключевые показатели эффективности и др. В новом периоде стратегического планирования 2025-2030 гг. развитие Общества будет осуществляться в рамках Стратегии развития Публичного акционерного общества «Федеральная сетевая компания – Россети» и его дочерних и зависимых обществ на период до 2030 года (далее – Стратегия развития), утвержденной Советом директоров ПАО «Россети» (протокол от 31.03.2025 № 682) и формируемого Обществом плана реализации мероприятий, направленных на исполнение Стратегии развития.</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2.1.3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Совет директоров определяет принципы и подходы к организации системы управления рисками и внутреннего </w:t>
            </w:r>
            <w:r>
              <w:rPr>
                <w:rFonts w:ascii="Times New Roman" w:hAnsi="Times New Roman" w:cs="Times New Roman"/>
              </w:rPr>
              <w:lastRenderedPageBreak/>
              <w:t>контроля в обществе</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Принципы и подходы к организации системы управления рисками и внутреннего контроля в обществе определены советом директоров и закреплены во внутренних документах общества, определяющих </w:t>
            </w:r>
            <w:r>
              <w:rPr>
                <w:rFonts w:ascii="Times New Roman" w:hAnsi="Times New Roman" w:cs="Times New Roman"/>
              </w:rPr>
              <w:lastRenderedPageBreak/>
              <w:t>политику в области управления рисками и внутреннего контроля.</w:t>
            </w:r>
          </w:p>
          <w:p w:rsidR="00D602D4" w:rsidRDefault="000B4C86">
            <w:pPr>
              <w:jc w:val="both"/>
              <w:rPr>
                <w:rFonts w:ascii="Times New Roman" w:hAnsi="Times New Roman" w:cs="Times New Roman"/>
              </w:rPr>
            </w:pPr>
            <w:r>
              <w:rPr>
                <w:rFonts w:ascii="Times New Roman" w:hAnsi="Times New Roman" w:cs="Times New Roman"/>
              </w:rPr>
              <w:t>2. В отчетном периоде совет директоров утвердил (пересмотрел) приемлемую величину рисков (риск-аппетит) общества либо комитет по аудиту и (или) комитет по рискам (при наличии) рассмотрел целесообразность вынесения на рассмотрение совета директоров вопроса о пересмотре риск-аппетита общества</w:t>
            </w:r>
          </w:p>
        </w:tc>
        <w:tc>
          <w:tcPr>
            <w:tcW w:w="2484" w:type="dxa"/>
          </w:tcPr>
          <w:p w:rsidR="00D602D4" w:rsidRDefault="000B4C86">
            <w:pPr>
              <w:rPr>
                <w:rFonts w:ascii="Times New Roman" w:hAnsi="Times New Roman" w:cs="Times New Roman"/>
              </w:rPr>
            </w:pPr>
            <w:r>
              <w:rPr>
                <w:rFonts w:ascii="Webdings" w:eastAsia="Webdings" w:hAnsi="Webdings" w:cs="Webdings"/>
              </w:rPr>
              <w:lastRenderedPageBreak/>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ingdings" w:eastAsia="Wingdings" w:hAnsi="Wingdings" w:cs="Wingdings"/>
              </w:rPr>
              <w:t></w:t>
            </w:r>
            <w:r>
              <w:rPr>
                <w:rFonts w:ascii="Times New Roman" w:hAnsi="Times New Roman" w:cs="Times New Roman"/>
              </w:rPr>
              <w:t xml:space="preserve"> частично соблюдается</w:t>
            </w:r>
          </w:p>
          <w:p w:rsidR="00D602D4" w:rsidRDefault="000B4C86">
            <w:pPr>
              <w:rPr>
                <w:rFonts w:ascii="Times New Roman" w:hAnsi="Times New Roman" w:cs="Times New Roman"/>
              </w:rPr>
            </w:pPr>
            <w:r>
              <w:rPr>
                <w:rFonts w:ascii="Webdings" w:eastAsia="Webdings" w:hAnsi="Webdings" w:cs="Webdings"/>
              </w:rPr>
              <w:lastRenderedPageBreak/>
              <w:t></w:t>
            </w:r>
            <w:r>
              <w:rPr>
                <w:rFonts w:ascii="Times New Roman" w:hAnsi="Times New Roman" w:cs="Times New Roman"/>
              </w:rPr>
              <w:t xml:space="preserve"> не соблюдается</w:t>
            </w:r>
          </w:p>
          <w:p w:rsidR="00D602D4" w:rsidRDefault="00D602D4">
            <w:pPr>
              <w:rPr>
                <w:rFonts w:ascii="Times New Roman" w:hAnsi="Times New Roman" w:cs="Times New Roman"/>
              </w:rPr>
            </w:pPr>
          </w:p>
        </w:tc>
        <w:tc>
          <w:tcPr>
            <w:tcW w:w="4385" w:type="dxa"/>
          </w:tcPr>
          <w:p w:rsidR="00D602D4" w:rsidRDefault="000B4C86">
            <w:pPr>
              <w:tabs>
                <w:tab w:val="left" w:pos="283"/>
              </w:tabs>
              <w:jc w:val="both"/>
              <w:rPr>
                <w:rFonts w:ascii="Times New Roman" w:hAnsi="Times New Roman" w:cs="Times New Roman"/>
              </w:rPr>
            </w:pPr>
            <w:r>
              <w:rPr>
                <w:rFonts w:ascii="Times New Roman" w:hAnsi="Times New Roman" w:cs="Times New Roman"/>
              </w:rPr>
              <w:lastRenderedPageBreak/>
              <w:t>Критерий 1 соблюдается.</w:t>
            </w:r>
          </w:p>
          <w:p w:rsidR="00D602D4" w:rsidRDefault="000B4C86">
            <w:pPr>
              <w:jc w:val="both"/>
              <w:rPr>
                <w:rFonts w:ascii="Times New Roman" w:hAnsi="Times New Roman" w:cs="Times New Roman"/>
              </w:rPr>
            </w:pPr>
            <w:r>
              <w:rPr>
                <w:rFonts w:ascii="Times New Roman" w:hAnsi="Times New Roman" w:cs="Times New Roman"/>
              </w:rPr>
              <w:t>Критерий 2  не соблюдается.</w:t>
            </w:r>
          </w:p>
          <w:p w:rsidR="00D602D4" w:rsidRDefault="000B4C86">
            <w:pPr>
              <w:jc w:val="both"/>
              <w:rPr>
                <w:rFonts w:ascii="Times New Roman" w:hAnsi="Times New Roman" w:cs="Times New Roman"/>
              </w:rPr>
            </w:pPr>
            <w:r>
              <w:rPr>
                <w:rFonts w:ascii="Times New Roman" w:hAnsi="Times New Roman" w:cs="Times New Roman"/>
              </w:rPr>
              <w:t xml:space="preserve">В отчетном периоде Совет директоров Общества и Комитет по стратегии Совета </w:t>
            </w:r>
            <w:r>
              <w:rPr>
                <w:rFonts w:ascii="Times New Roman" w:hAnsi="Times New Roman" w:cs="Times New Roman"/>
              </w:rPr>
              <w:lastRenderedPageBreak/>
              <w:t>директоров Общества не утверждал приемлемую величину рисков (риск-аппетит) Общества в связи с тем, что по итогам рассмотрения Советом директоров информации о соблюдении показателей риск-аппетита в составе Отчета об организации, функционировании и эффективности СУРиВК Общества за 2023 год (протокол СД от 31.05.2024 №526/24), целесообразность переутверждения показателей риск-аппетита отсутствовала.</w:t>
            </w:r>
          </w:p>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2.1.4</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Совет директоров определяет политику общества по вознаграждению и (или) возмещению расходов (компенсаций) членам совета директоров, исполнительным органам общества и иным ключевым руководящим работникам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обществе разработана, утверждена советом директоров и внедрена политика (политики) по вознаграждению и возмещению расходов (компенсаций) членов совета директоров, исполнительных органов общества и иных ключевых руководящих работников общества.</w:t>
            </w:r>
          </w:p>
          <w:p w:rsidR="00D602D4" w:rsidRDefault="000B4C86">
            <w:pPr>
              <w:jc w:val="both"/>
              <w:rPr>
                <w:rFonts w:ascii="Times New Roman" w:hAnsi="Times New Roman" w:cs="Times New Roman"/>
              </w:rPr>
            </w:pPr>
            <w:r>
              <w:rPr>
                <w:rFonts w:ascii="Times New Roman" w:hAnsi="Times New Roman" w:cs="Times New Roman"/>
              </w:rPr>
              <w:t>2. В течение отчетного периода советом директоров были рассмотрены вопросы, связанные с указанной политикой (политиками)</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2.1.5</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Совет директоров играет ключевую роль в предупреждении, выявлении и урегулировании внутренних конфликтов между органами общества, акционерами общества и </w:t>
            </w:r>
            <w:r>
              <w:rPr>
                <w:rFonts w:ascii="Times New Roman" w:hAnsi="Times New Roman" w:cs="Times New Roman"/>
              </w:rPr>
              <w:lastRenderedPageBreak/>
              <w:t>работниками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1. Совет директоров играет ключевую роль в предупреждении, выявлении и урегулировании внутренних конфликтов.</w:t>
            </w:r>
          </w:p>
          <w:p w:rsidR="00D602D4" w:rsidRDefault="000B4C86">
            <w:pPr>
              <w:jc w:val="both"/>
              <w:rPr>
                <w:rFonts w:ascii="Times New Roman" w:hAnsi="Times New Roman" w:cs="Times New Roman"/>
              </w:rPr>
            </w:pPr>
            <w:r>
              <w:rPr>
                <w:rFonts w:ascii="Times New Roman" w:hAnsi="Times New Roman" w:cs="Times New Roman"/>
              </w:rPr>
              <w:t xml:space="preserve">2. Общество создало систему идентификации сделок, связанных с конфликтом интересов, и систему мер, направленных на разрешение таких </w:t>
            </w:r>
            <w:r>
              <w:rPr>
                <w:rFonts w:ascii="Times New Roman" w:hAnsi="Times New Roman" w:cs="Times New Roman"/>
              </w:rPr>
              <w:lastRenderedPageBreak/>
              <w:t>конфликтов</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2.1.6</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Совет директоров играет ключевую роль в обеспечении прозрачности общества, своевременности и полноты раскрытия обществом информации, необременительного доступа акционеров к документам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Во внутренних документах общества определены лица, ответственные за реализацию информационной политики</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2.1.7</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Совет директоров осуществляет контроль за практикой корпоративного управления в обществе и играет ключевую роль в существенных корпоративных событиях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течение отчетного периода совет директоров рассмотрел результаты самооценки и (или) внешней оценки практики корпоративного управления в обществе</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2.2</w:t>
            </w:r>
          </w:p>
        </w:tc>
        <w:tc>
          <w:tcPr>
            <w:tcW w:w="14103" w:type="dxa"/>
            <w:gridSpan w:val="4"/>
          </w:tcPr>
          <w:p w:rsidR="00D602D4" w:rsidRDefault="000B4C86">
            <w:pPr>
              <w:jc w:val="both"/>
              <w:rPr>
                <w:rFonts w:ascii="Times New Roman" w:hAnsi="Times New Roman" w:cs="Times New Roman"/>
              </w:rPr>
            </w:pPr>
            <w:r>
              <w:rPr>
                <w:rFonts w:ascii="Times New Roman" w:hAnsi="Times New Roman" w:cs="Times New Roman"/>
              </w:rPr>
              <w:t>Совет директоров подотчетен акционерам общества</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2.2.1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Информация о работе совета директоров раскрывается и предоставляется акционерам</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Годовой отчет общества за отчетный период включает в себя информацию о посещаемости заседаний совета директоров и комитетов каждым из членов совета директоров.</w:t>
            </w:r>
          </w:p>
          <w:p w:rsidR="00D602D4" w:rsidRDefault="000B4C86">
            <w:pPr>
              <w:jc w:val="both"/>
              <w:rPr>
                <w:rFonts w:ascii="Times New Roman" w:hAnsi="Times New Roman" w:cs="Times New Roman"/>
              </w:rPr>
            </w:pPr>
            <w:r>
              <w:rPr>
                <w:rFonts w:ascii="Times New Roman" w:hAnsi="Times New Roman" w:cs="Times New Roman"/>
              </w:rPr>
              <w:t>2. Годовой отчет содержит информацию об основных результатах оценки (самооценки) качества работы совета директоров, проведенной в отчетном периоде</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2.2.2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Председатель совета директоров доступен для общения с акционерами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обществе существует прозрачная процедура, обеспечивающая акционерам возможность направления председателю совета директоров (и, если применимо, старшему независимому директору) обращений и получения обратной связи по ним</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2.3</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Совет директоров является эффективным и профессиональным органом управления общества, способным выносить объективные независимые суждения и принимать решения, отвечающие интересам общества и его акционеров</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2.3.1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Только лица, имеющие безупречную деловую и личную репутацию и обладающие знаниями, навыками и опытом, необходимыми для принятия решений, относящихся к компетенции совета директоров, и требующимися для эффективного осуществления его функций, избираются членами совета директоров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отчетном периоде советом директоров (или его комитетом по номинациям) была проведена оценка кандидатов в совет директоров с точки зрения наличия у них необходимого опыта, знаний, деловой репутации, отсутствия конфликта интересов и так далее</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2.3.2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Члены совета директоров общества избираются посредством прозрачной процедуры, позволяющей акционерам получить информацию о кандидатах, достаточную для формирования </w:t>
            </w:r>
            <w:r>
              <w:rPr>
                <w:rFonts w:ascii="Times New Roman" w:hAnsi="Times New Roman" w:cs="Times New Roman"/>
              </w:rPr>
              <w:lastRenderedPageBreak/>
              <w:t>представления об их личных и профессиональных качествах</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Во всех случаях проведения общего собрания акционеров в отчетном периоде, повестка дня которого включала вопросы об избрании совета директоров, общество представило акционерам биографические данные всех кандидатов в члены совета директоров, результаты оценки соответствия профессиональной квалификации, опыта и </w:t>
            </w:r>
            <w:r>
              <w:rPr>
                <w:rFonts w:ascii="Times New Roman" w:hAnsi="Times New Roman" w:cs="Times New Roman"/>
              </w:rPr>
              <w:lastRenderedPageBreak/>
              <w:t xml:space="preserve">навыков кандидатов текущим и ожидаемым потребностям общества, проведенной советом директоров (или его комитетом по номинациям), а также информацию о соответствии кандидата критериям независимости согласно рекомендациям 102 - 107 </w:t>
            </w:r>
            <w:hyperlink r:id="rId119" w:tooltip="consultantplus://offline/ref=3E1BE820DC37BAD4FCD0CD6F62ACC8C32F346B985EB4A6947B3C569DB408E76274072E222E038594255D841C5AN2U6F" w:history="1">
              <w:r>
                <w:rPr>
                  <w:rFonts w:ascii="Times New Roman" w:hAnsi="Times New Roman" w:cs="Times New Roman"/>
                </w:rPr>
                <w:t>Кодекса</w:t>
              </w:r>
            </w:hyperlink>
            <w:r>
              <w:rPr>
                <w:rFonts w:ascii="Times New Roman" w:hAnsi="Times New Roman" w:cs="Times New Roman"/>
              </w:rPr>
              <w:t xml:space="preserve"> и информацию о наличии письменного согласия кандидатов на избрание в состав совета директоров</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2.3.3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Состав совета директоров сбалансирован, в том числе по квалификации его членов, их опыту, знаниям и деловым качествам, и пользуется доверием акционеров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отчетном периоде совет директоров проанализировал собственные потребности в области профессиональной квалификации, опыта и навыков и определил компетенции, необходимые совету директоров в краткосрочной и долгосрочной перспективе</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2.3.4</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Количественный состав совета директоров общества дает возможность организовать деятельность совета директоров наиболее эффективным образом, включая возможность формирования комитетов совета директоров, а также обеспечивает существенным миноритарным акционерам общества возможность избрания в состав совета директоров кандидата, за которого они голосуют</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отчетном периоде совет директоров рассмотрел вопрос о соответствии количественного состава совета директоров потребностям общества и интересам акционеров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2.4</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В состав совета директоров входит достаточное количество независимых директоров</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2.4.1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Независимым директором признается лицо, которое обладает достаточными профессионализмом, опытом и самостоятельностью для формирования собственной позиции, способно выносить объективные и добросовестные суждения, независимые от влияния исполнительных органов общества, отдельных групп акционеров или иных заинтересованных сторон.</w:t>
            </w:r>
          </w:p>
          <w:p w:rsidR="00D602D4" w:rsidRDefault="000B4C86">
            <w:pPr>
              <w:jc w:val="both"/>
              <w:rPr>
                <w:rFonts w:ascii="Times New Roman" w:hAnsi="Times New Roman" w:cs="Times New Roman"/>
              </w:rPr>
            </w:pPr>
            <w:r>
              <w:rPr>
                <w:rFonts w:ascii="Times New Roman" w:hAnsi="Times New Roman" w:cs="Times New Roman"/>
              </w:rPr>
              <w:t>При этом следует учитывать, что в обычных условиях не может считаться независимым кандидат (избранный член совета директоров), который связан с обществом, его существенным акционером, существенным контрагентом или конкурентом общества или связан с государством</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 xml:space="preserve">1. В течение отчетного периода все независимые члены совета директоров отвечали всем критериям независимости, указанным в рекомендациях 102 - 107 </w:t>
            </w:r>
            <w:hyperlink r:id="rId120" w:tooltip="consultantplus://offline/ref=3E1BE820DC37BAD4FCD0CD6F62ACC8C32F346B985EB4A6947B3C569DB408E76274072E222E038594255D841C5AN2U6F" w:history="1">
              <w:r>
                <w:rPr>
                  <w:rFonts w:ascii="Times New Roman" w:hAnsi="Times New Roman" w:cs="Times New Roman"/>
                </w:rPr>
                <w:t>Кодекса</w:t>
              </w:r>
            </w:hyperlink>
            <w:r>
              <w:rPr>
                <w:rFonts w:ascii="Times New Roman" w:hAnsi="Times New Roman" w:cs="Times New Roman"/>
              </w:rPr>
              <w:t>, или были признаны независимыми по решению совета директоров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2.4.2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Проводится оценка соответствия кандидатов в члены совета директоров </w:t>
            </w:r>
            <w:r>
              <w:rPr>
                <w:rFonts w:ascii="Times New Roman" w:hAnsi="Times New Roman" w:cs="Times New Roman"/>
              </w:rPr>
              <w:lastRenderedPageBreak/>
              <w:t>критериям независимости, а также осуществляется регулярный анализ соответствия независимых членов совета директоров критериям независимости. При проведении такой оценки содержание преобладает над формой</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В отчетном периоде совет директоров (или комитет по номинациям совета директоров) составил мнение о </w:t>
            </w:r>
            <w:r>
              <w:rPr>
                <w:rFonts w:ascii="Times New Roman" w:hAnsi="Times New Roman" w:cs="Times New Roman"/>
              </w:rPr>
              <w:lastRenderedPageBreak/>
              <w:t>независимости каждого кандидата в совет директоров и представил акционерам соответствующее заключение.</w:t>
            </w:r>
          </w:p>
          <w:p w:rsidR="00D602D4" w:rsidRDefault="000B4C86">
            <w:pPr>
              <w:jc w:val="both"/>
              <w:rPr>
                <w:rFonts w:ascii="Times New Roman" w:hAnsi="Times New Roman" w:cs="Times New Roman"/>
              </w:rPr>
            </w:pPr>
            <w:r>
              <w:rPr>
                <w:rFonts w:ascii="Times New Roman" w:hAnsi="Times New Roman" w:cs="Times New Roman"/>
              </w:rPr>
              <w:t>2. За отчетный период совет директоров (или комитет по номинациям совета директоров) по крайней мере один раз рассмотрел вопрос о независимости действующих членов совета директоров (после их избрания).</w:t>
            </w:r>
          </w:p>
          <w:p w:rsidR="00D602D4" w:rsidRDefault="000B4C86">
            <w:pPr>
              <w:jc w:val="both"/>
              <w:rPr>
                <w:rFonts w:ascii="Times New Roman" w:hAnsi="Times New Roman" w:cs="Times New Roman"/>
              </w:rPr>
            </w:pPr>
            <w:r>
              <w:rPr>
                <w:rFonts w:ascii="Times New Roman" w:hAnsi="Times New Roman" w:cs="Times New Roman"/>
              </w:rPr>
              <w:t>3. В обществе разработаны процедуры, определяющие необходимые действия члена совета директоров в том случае, если он перестает быть независимым, включая обязательства по своевременному информированию об этом совета директоров</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 xml:space="preserve">частично </w:t>
            </w:r>
            <w:r>
              <w:rPr>
                <w:rFonts w:ascii="Times New Roman" w:hAnsi="Times New Roman" w:cs="Times New Roman"/>
              </w:rPr>
              <w:lastRenderedPageBreak/>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2.4.3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Независимые директора составляют не менее одной трети избранного состава совета директоров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Независимые директора составляют не менее одной трети состава совета директоров</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ingdings" w:eastAsia="Wingdings" w:hAnsi="Wingdings" w:cs="Wingdings"/>
              </w:rPr>
              <w:t></w:t>
            </w:r>
            <w:r>
              <w:rPr>
                <w:rFonts w:ascii="Times New Roman" w:hAnsi="Times New Roman" w:cs="Times New Roman"/>
              </w:rPr>
              <w:t xml:space="preserve"> не соблюдается</w:t>
            </w:r>
          </w:p>
          <w:p w:rsidR="00D602D4" w:rsidRDefault="00D602D4">
            <w:pPr>
              <w:rPr>
                <w:rFonts w:ascii="Times New Roman" w:hAnsi="Times New Roman" w:cs="Times New Roman"/>
              </w:rPr>
            </w:pPr>
          </w:p>
          <w:p w:rsidR="00D602D4" w:rsidRDefault="00D602D4">
            <w:pPr>
              <w:rPr>
                <w:rFonts w:ascii="Times New Roman" w:hAnsi="Times New Roman" w:cs="Times New Roman"/>
              </w:rPr>
            </w:pPr>
          </w:p>
        </w:tc>
        <w:tc>
          <w:tcPr>
            <w:tcW w:w="4385" w:type="dxa"/>
          </w:tcPr>
          <w:p w:rsidR="00D602D4" w:rsidRDefault="000B4C86">
            <w:pPr>
              <w:jc w:val="both"/>
              <w:rPr>
                <w:rFonts w:ascii="Times New Roman" w:hAnsi="Times New Roman" w:cs="Times New Roman"/>
              </w:rPr>
            </w:pPr>
            <w:r>
              <w:rPr>
                <w:rFonts w:ascii="Times New Roman" w:hAnsi="Times New Roman" w:cs="Times New Roman"/>
              </w:rPr>
              <w:t>Независимые директора составляют менее одной трети состава Совета директоров.</w:t>
            </w:r>
          </w:p>
          <w:p w:rsidR="00D602D4" w:rsidRDefault="000B4C86">
            <w:pPr>
              <w:jc w:val="both"/>
              <w:rPr>
                <w:rFonts w:ascii="Times New Roman" w:hAnsi="Times New Roman" w:cs="Times New Roman"/>
              </w:rPr>
            </w:pPr>
            <w:r>
              <w:rPr>
                <w:rFonts w:ascii="Times New Roman" w:hAnsi="Times New Roman" w:cs="Times New Roman"/>
              </w:rPr>
              <w:t>В период с 01.01.2024 по 18.06.2024 в состав Совета директоров входило 11 директоров, из них 3 независимых директора: Степина Екатерина Андреевна, Черкашин Василий Владимирович, Шашкова Наталья Васильевна (признаны независимыми по решению Совета директоров Общества от 25.07.2023, протокол от 28.07.2023 № 497/23).</w:t>
            </w:r>
          </w:p>
          <w:p w:rsidR="00D602D4" w:rsidRDefault="000B4C86">
            <w:pPr>
              <w:jc w:val="both"/>
              <w:rPr>
                <w:rFonts w:ascii="Times New Roman" w:hAnsi="Times New Roman" w:cs="Times New Roman"/>
              </w:rPr>
            </w:pPr>
            <w:r>
              <w:rPr>
                <w:rFonts w:ascii="Times New Roman" w:hAnsi="Times New Roman" w:cs="Times New Roman"/>
              </w:rPr>
              <w:t xml:space="preserve">После проведения годового Общего собрания акционеров Советом директоров Общества признаны независимыми 2 члена Совета директоров: Трубицын Кирилл Андреевич, Шашкова Наталья Васильевна (решение Совета директоров Общества от  </w:t>
            </w:r>
            <w:r>
              <w:rPr>
                <w:rFonts w:ascii="Times New Roman" w:hAnsi="Times New Roman" w:cs="Times New Roman"/>
              </w:rPr>
              <w:lastRenderedPageBreak/>
              <w:t>26.07.2024, протокол от 29.07.2024 № 530/24).</w:t>
            </w:r>
          </w:p>
          <w:p w:rsidR="00D602D4" w:rsidRDefault="000B4C86">
            <w:pPr>
              <w:jc w:val="both"/>
              <w:rPr>
                <w:rFonts w:ascii="Times New Roman" w:hAnsi="Times New Roman" w:cs="Times New Roman"/>
              </w:rPr>
            </w:pPr>
            <w:r>
              <w:rPr>
                <w:rFonts w:ascii="Times New Roman" w:hAnsi="Times New Roman" w:cs="Times New Roman"/>
              </w:rPr>
              <w:t xml:space="preserve">      Общество стремится к соблюдению рекомендаций Кодекса корпоративного управления в части формирования Совета директоров из независимых директоров (не менее одной трети состава). При этом менеджментом осуществляется регулярное взаимодействие с представителями акционеров (в том числе путем проведения переговоров и встреч) для формирования сбалансированного состава Совета директоров, включающего не менее 1/3 независимых директоров.</w:t>
            </w:r>
          </w:p>
          <w:p w:rsidR="00D602D4" w:rsidRDefault="000B4C86">
            <w:pPr>
              <w:jc w:val="both"/>
              <w:rPr>
                <w:rFonts w:ascii="Times New Roman" w:hAnsi="Times New Roman" w:cs="Times New Roman"/>
              </w:rPr>
            </w:pPr>
            <w:r>
              <w:rPr>
                <w:rFonts w:ascii="Times New Roman" w:hAnsi="Times New Roman" w:cs="Times New Roman"/>
              </w:rPr>
              <w:t xml:space="preserve">Общество обеспечивает вынесение на рассмотрение Совета директоров вопроса о признании независимыми отдельных членов Совета директоров, формально не соответствующих некоторым критериям независимости, с учетом качества их работы, квалификации и голосования по вопросам повестки дня в Совете директоров. </w:t>
            </w:r>
          </w:p>
          <w:p w:rsidR="00D602D4" w:rsidRDefault="000B4C86">
            <w:pPr>
              <w:jc w:val="both"/>
              <w:rPr>
                <w:rFonts w:ascii="Times New Roman" w:hAnsi="Times New Roman" w:cs="Times New Roman"/>
              </w:rPr>
            </w:pPr>
            <w:r>
              <w:rPr>
                <w:rFonts w:ascii="Times New Roman" w:hAnsi="Times New Roman" w:cs="Times New Roman"/>
              </w:rPr>
              <w:t>Кроме того, в целях информирования акционеров в составе материалов к ОСА предоставляются результаты оценки кандидатов в Совет директоров Общества, проведенной Комитетом по кадрам и вознаграждениям, с указанием соответствия/несоответствия кандидатов в СД критериям независимости.</w:t>
            </w:r>
          </w:p>
          <w:p w:rsidR="00D602D4" w:rsidRDefault="000B4C86">
            <w:pPr>
              <w:jc w:val="both"/>
              <w:rPr>
                <w:rFonts w:ascii="Times New Roman" w:hAnsi="Times New Roman" w:cs="Times New Roman"/>
              </w:rPr>
            </w:pPr>
            <w:r>
              <w:rPr>
                <w:rFonts w:ascii="Times New Roman" w:hAnsi="Times New Roman" w:cs="Times New Roman"/>
              </w:rPr>
              <w:t xml:space="preserve">Однако, менеджмент Общества не имеет возможности влиять на состав Совета директоров Общества, в том числе </w:t>
            </w:r>
            <w:r>
              <w:rPr>
                <w:rFonts w:ascii="Times New Roman" w:hAnsi="Times New Roman" w:cs="Times New Roman"/>
              </w:rPr>
              <w:lastRenderedPageBreak/>
              <w:t xml:space="preserve">возможности включения в него большего количества независимых директоров, поскольку избрание Совета директоров осуществляется по предложению акционеров и Совета директоров Общества. </w:t>
            </w:r>
          </w:p>
          <w:p w:rsidR="00D602D4" w:rsidRDefault="000B4C86">
            <w:pPr>
              <w:jc w:val="both"/>
              <w:rPr>
                <w:rFonts w:ascii="Times New Roman" w:hAnsi="Times New Roman" w:cs="Times New Roman"/>
              </w:rPr>
            </w:pPr>
            <w:r>
              <w:rPr>
                <w:rFonts w:ascii="Times New Roman" w:hAnsi="Times New Roman" w:cs="Times New Roman"/>
              </w:rPr>
              <w:t>Несоблюдение является ограниченным во времени и зависит от воли акционеров Общества (контролирующего акционера, а также миноритарных акционеров).</w:t>
            </w:r>
          </w:p>
          <w:p w:rsidR="00D602D4" w:rsidRDefault="000B4C86">
            <w:pPr>
              <w:jc w:val="both"/>
              <w:rPr>
                <w:rFonts w:ascii="Times New Roman" w:hAnsi="Times New Roman" w:cs="Times New Roman"/>
              </w:rPr>
            </w:pPr>
            <w:r>
              <w:rPr>
                <w:rFonts w:ascii="Times New Roman" w:hAnsi="Times New Roman" w:cs="Times New Roman"/>
              </w:rPr>
              <w:t>В 2022 году на заседании Совета директоров Общества утверждена Политика обеспечения преемственности Совета директоров Общества (протокол СД от 15.04.2022           № 452/22).</w:t>
            </w:r>
          </w:p>
          <w:p w:rsidR="00D602D4" w:rsidRDefault="000B4C86">
            <w:pPr>
              <w:jc w:val="both"/>
              <w:rPr>
                <w:rFonts w:ascii="Times New Roman" w:hAnsi="Times New Roman" w:cs="Times New Roman"/>
              </w:rPr>
            </w:pPr>
            <w:r>
              <w:rPr>
                <w:rFonts w:ascii="Times New Roman" w:hAnsi="Times New Roman" w:cs="Times New Roman"/>
              </w:rPr>
              <w:t>Общество, руководствуясь данной Политикой, будет проводить мероприятия по включению в состав Совета директоров достаточного количества независимых директоров.</w:t>
            </w:r>
          </w:p>
          <w:p w:rsidR="00D602D4" w:rsidRDefault="000B4C86">
            <w:pPr>
              <w:jc w:val="both"/>
              <w:rPr>
                <w:rFonts w:ascii="Times New Roman" w:hAnsi="Times New Roman" w:cs="Times New Roman"/>
              </w:rPr>
            </w:pPr>
            <w:r>
              <w:rPr>
                <w:rFonts w:ascii="Times New Roman" w:hAnsi="Times New Roman" w:cs="Times New Roman"/>
              </w:rPr>
              <w:t>В случае, если акционерами/Советом директоров Общества при подготовке к годовому Общему собранию акционеров в 2025 году будет выдвинуто достаточное количество независимых директоров, и данные кандидаты будут избраны акционерами в Совет директоров, то данная рекомендация будет соблюдаться Обществом (плановый срок – 2025 год).</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2.4.4</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Независимые директора играют ключевую роль в предотвращении </w:t>
            </w:r>
            <w:r>
              <w:rPr>
                <w:rFonts w:ascii="Times New Roman" w:hAnsi="Times New Roman" w:cs="Times New Roman"/>
              </w:rPr>
              <w:lastRenderedPageBreak/>
              <w:t>внутренних конфликтов в обществе и совершении обществом существенных корпоративных действий</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Независимые директора (у которых отсутствовал конфликт интересов) в отчетном периоде предварительно </w:t>
            </w:r>
            <w:r>
              <w:rPr>
                <w:rFonts w:ascii="Times New Roman" w:hAnsi="Times New Roman" w:cs="Times New Roman"/>
              </w:rPr>
              <w:lastRenderedPageBreak/>
              <w:t>оценивали существенные корпоративные действия, связанные с возможным конфликтом интересов, а результаты такой оценки предоставлялись совету директоров</w:t>
            </w:r>
          </w:p>
        </w:tc>
        <w:tc>
          <w:tcPr>
            <w:tcW w:w="2484" w:type="dxa"/>
          </w:tcPr>
          <w:p w:rsidR="00D602D4" w:rsidRDefault="000B4C86">
            <w:pPr>
              <w:rPr>
                <w:rFonts w:ascii="Times New Roman" w:hAnsi="Times New Roman" w:cs="Times New Roman"/>
              </w:rPr>
            </w:pPr>
            <w:r>
              <w:rPr>
                <w:rFonts w:ascii="Webdings" w:eastAsia="Webdings" w:hAnsi="Webdings" w:cs="Webdings"/>
              </w:rPr>
              <w:lastRenderedPageBreak/>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Times New Roman" w:hAnsi="Times New Roman" w:cs="Times New Roman"/>
              </w:rPr>
              <w:t xml:space="preserve"> частично </w:t>
            </w:r>
            <w:r>
              <w:rPr>
                <w:rFonts w:ascii="Times New Roman" w:hAnsi="Times New Roman" w:cs="Times New Roman"/>
              </w:rPr>
              <w:lastRenderedPageBreak/>
              <w:t>соблюдается</w:t>
            </w:r>
          </w:p>
          <w:p w:rsidR="00D602D4" w:rsidRDefault="000B4C86">
            <w:pPr>
              <w:rPr>
                <w:rFonts w:ascii="Times New Roman" w:hAnsi="Times New Roman" w:cs="Times New Roman"/>
              </w:rPr>
            </w:pP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Оценка соответствия критерию в настоящем пункте не может быть дана, т.к.: </w:t>
            </w:r>
          </w:p>
          <w:p w:rsidR="00D602D4" w:rsidRDefault="000B4C86">
            <w:pPr>
              <w:jc w:val="both"/>
              <w:rPr>
                <w:rFonts w:ascii="Times New Roman" w:hAnsi="Times New Roman" w:cs="Times New Roman"/>
              </w:rPr>
            </w:pPr>
            <w:r>
              <w:rPr>
                <w:rFonts w:ascii="Times New Roman" w:hAnsi="Times New Roman" w:cs="Times New Roman"/>
              </w:rPr>
              <w:t xml:space="preserve">- перечень существенных корпоративных </w:t>
            </w:r>
            <w:r>
              <w:rPr>
                <w:rFonts w:ascii="Times New Roman" w:hAnsi="Times New Roman" w:cs="Times New Roman"/>
              </w:rPr>
              <w:lastRenderedPageBreak/>
              <w:t>действий определен во внутреннем документе Общества - Кодексе корпоративного управления ПАО «Россети «Сибирь» (утв. решением Совета директоров от 29.11.2021, протокол от 02.12.2021 №435/21);</w:t>
            </w:r>
          </w:p>
          <w:p w:rsidR="00D602D4" w:rsidRDefault="000B4C86">
            <w:pPr>
              <w:jc w:val="both"/>
              <w:rPr>
                <w:rFonts w:ascii="Times New Roman" w:hAnsi="Times New Roman" w:cs="Times New Roman"/>
              </w:rPr>
            </w:pPr>
            <w:r>
              <w:rPr>
                <w:rFonts w:ascii="Times New Roman" w:hAnsi="Times New Roman" w:cs="Times New Roman"/>
              </w:rPr>
              <w:t>- в 2024 году существенные корпоративные действия не совершались.</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2.5</w:t>
            </w:r>
          </w:p>
        </w:tc>
        <w:tc>
          <w:tcPr>
            <w:tcW w:w="14103" w:type="dxa"/>
            <w:gridSpan w:val="4"/>
          </w:tcPr>
          <w:p w:rsidR="00D602D4" w:rsidRDefault="000B4C86">
            <w:pPr>
              <w:jc w:val="both"/>
              <w:rPr>
                <w:rFonts w:ascii="Times New Roman" w:hAnsi="Times New Roman" w:cs="Times New Roman"/>
              </w:rPr>
            </w:pPr>
            <w:r>
              <w:rPr>
                <w:rFonts w:ascii="Times New Roman" w:hAnsi="Times New Roman" w:cs="Times New Roman"/>
              </w:rPr>
              <w:t>Председатель совета директоров способствует наиболее эффективному осуществлению функций, возложенных на совет директоров</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2.5.1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Председателем совета директоров избран независимый директор либо из числа избранных независимых директоров определен старший независимый директор, координирующий работу независимых директоров и осуществляющий взаимодействие с председателем совета директоров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Председатель совета директоров является независимым директором или же среди независимых директоров определен старший независимый директор.</w:t>
            </w:r>
          </w:p>
          <w:p w:rsidR="00D602D4" w:rsidRDefault="000B4C86">
            <w:pPr>
              <w:jc w:val="both"/>
              <w:rPr>
                <w:rFonts w:ascii="Times New Roman" w:hAnsi="Times New Roman" w:cs="Times New Roman"/>
              </w:rPr>
            </w:pPr>
            <w:r>
              <w:rPr>
                <w:rFonts w:ascii="Times New Roman" w:hAnsi="Times New Roman" w:cs="Times New Roman"/>
              </w:rPr>
              <w:t>2. Роль, права и обязанности председателя совета директоров (и, если применимо, старшего независимого директора) должным образом определены во внутренних документах общества</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0B4C86">
            <w:pPr>
              <w:jc w:val="both"/>
              <w:rPr>
                <w:rFonts w:ascii="Times New Roman" w:hAnsi="Times New Roman" w:cs="Times New Roman"/>
              </w:rPr>
            </w:pPr>
            <w:r>
              <w:rPr>
                <w:rFonts w:ascii="Times New Roman" w:hAnsi="Times New Roman" w:cs="Times New Roman"/>
              </w:rPr>
              <w:t>Критерий 1 не соблюдается.</w:t>
            </w:r>
          </w:p>
          <w:p w:rsidR="00D602D4" w:rsidRDefault="000B4C86">
            <w:pPr>
              <w:spacing w:after="0" w:line="240" w:lineRule="auto"/>
              <w:jc w:val="both"/>
              <w:rPr>
                <w:rFonts w:ascii="Times New Roman" w:hAnsi="Times New Roman" w:cs="Times New Roman"/>
              </w:rPr>
            </w:pPr>
            <w:r>
              <w:rPr>
                <w:rFonts w:ascii="Times New Roman" w:hAnsi="Times New Roman" w:cs="Times New Roman"/>
              </w:rPr>
              <w:t xml:space="preserve">Ранее в течение длительного времени, начиная с 2018 года, на заседании Совета директоров Общества избирался старший независимый директор. Старший независимый действовал до 17.06.2022. </w:t>
            </w:r>
          </w:p>
          <w:p w:rsidR="00D602D4" w:rsidRDefault="000B4C86">
            <w:pPr>
              <w:jc w:val="both"/>
              <w:rPr>
                <w:rFonts w:ascii="Times New Roman" w:hAnsi="Times New Roman" w:cs="Times New Roman"/>
              </w:rPr>
            </w:pPr>
            <w:r>
              <w:rPr>
                <w:rFonts w:ascii="Times New Roman" w:hAnsi="Times New Roman" w:cs="Times New Roman"/>
              </w:rPr>
              <w:t>В период с 01.01.2024 по 31.12.2024 старший независимый директор в Обществе не был избран. Председатель Совета директоров Общества – Тихонова Мария Геннадьевна не являлась независимым директором.</w:t>
            </w:r>
          </w:p>
          <w:p w:rsidR="00D602D4" w:rsidRDefault="000B4C86">
            <w:pPr>
              <w:jc w:val="both"/>
              <w:rPr>
                <w:rFonts w:ascii="Times New Roman" w:hAnsi="Times New Roman" w:cs="Times New Roman"/>
              </w:rPr>
            </w:pPr>
            <w:r>
              <w:rPr>
                <w:rFonts w:ascii="Times New Roman" w:hAnsi="Times New Roman" w:cs="Times New Roman"/>
              </w:rPr>
              <w:t xml:space="preserve">Общество  в 2025 году сможет достигнуть соблюдения соответствующего элемента при условии избрания в состав Совета директоров независимого директора, отвечающего требованиям и обладающего необходимыми для занятия должности председателя Совета директоров профессиональными компетенциями. </w:t>
            </w:r>
          </w:p>
          <w:p w:rsidR="00D602D4" w:rsidRDefault="000B4C86">
            <w:pPr>
              <w:jc w:val="both"/>
              <w:rPr>
                <w:rFonts w:ascii="Times New Roman" w:hAnsi="Times New Roman" w:cs="Times New Roman"/>
              </w:rPr>
            </w:pPr>
            <w:r>
              <w:rPr>
                <w:rFonts w:ascii="Times New Roman" w:hAnsi="Times New Roman" w:cs="Times New Roman"/>
              </w:rPr>
              <w:t xml:space="preserve">Кроме того, Общество в 2025 году продолжит взаимодействие с членами </w:t>
            </w:r>
            <w:r>
              <w:rPr>
                <w:rFonts w:ascii="Times New Roman" w:hAnsi="Times New Roman" w:cs="Times New Roman"/>
              </w:rPr>
              <w:lastRenderedPageBreak/>
              <w:t>Совета директоров Общества по вопросу об  определении среди независимых директоров старшего независимого директора.</w:t>
            </w:r>
          </w:p>
          <w:p w:rsidR="00D602D4" w:rsidRDefault="000B4C86">
            <w:pPr>
              <w:jc w:val="both"/>
              <w:rPr>
                <w:rFonts w:ascii="Times New Roman" w:hAnsi="Times New Roman" w:cs="Times New Roman"/>
              </w:rPr>
            </w:pPr>
            <w:r>
              <w:rPr>
                <w:rFonts w:ascii="Times New Roman" w:hAnsi="Times New Roman" w:cs="Times New Roman"/>
              </w:rPr>
              <w:t>Критерий 2 соблюдается.</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2.5.2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Председатель совета директоров обеспечивает конструктивную атмосферу проведения заседаний, свободное обсуждение вопросов, включенных в повестку дня заседания, контроль за исполнением решений, принятых советом директоров</w:t>
            </w:r>
          </w:p>
        </w:tc>
        <w:tc>
          <w:tcPr>
            <w:tcW w:w="4399" w:type="dxa"/>
          </w:tcPr>
          <w:p w:rsidR="00D602D4" w:rsidRDefault="000B4C86">
            <w:pPr>
              <w:jc w:val="both"/>
              <w:rPr>
                <w:rFonts w:ascii="Times New Roman" w:hAnsi="Times New Roman" w:cs="Times New Roman"/>
                <w:highlight w:val="yellow"/>
              </w:rPr>
            </w:pPr>
            <w:r>
              <w:rPr>
                <w:rFonts w:ascii="Times New Roman" w:hAnsi="Times New Roman" w:cs="Times New Roman"/>
              </w:rPr>
              <w:t>1. Эффективность работы председателя совета директоров оценивалась в рамках процедуры оценки (самооценки) качества работы совета директоров в отчетном периоде</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2.5.3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Председатель совета директоров принимает необходимые меры для своевременного предоставления членам совета директоров информации, необходимой для принятия решений по вопросам повестки дня</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Обязанность председателя совета директоров принимать меры по обеспечению своевременного предоставления полной и достоверной информации членам совета директоров по вопросам повестки заседания совета директоров закреплена во внутренних документах общества</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2.6</w:t>
            </w:r>
          </w:p>
        </w:tc>
        <w:tc>
          <w:tcPr>
            <w:tcW w:w="14103" w:type="dxa"/>
            <w:gridSpan w:val="4"/>
          </w:tcPr>
          <w:p w:rsidR="00D602D4" w:rsidRDefault="000B4C86">
            <w:pPr>
              <w:jc w:val="both"/>
              <w:rPr>
                <w:rFonts w:ascii="Times New Roman" w:hAnsi="Times New Roman" w:cs="Times New Roman"/>
              </w:rPr>
            </w:pPr>
            <w:r>
              <w:rPr>
                <w:rFonts w:ascii="Times New Roman" w:hAnsi="Times New Roman" w:cs="Times New Roman"/>
              </w:rPr>
              <w:t>Члены совета директоров действуют добросовестно и разумно в интересах общества и его акционеров на основе достаточной информированности, с должной степенью заботливости и осмотрительности</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2.6.1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Члены совета директоров принимают решения с учетом всей имеющейся информации, в отсутствие </w:t>
            </w:r>
            <w:r>
              <w:rPr>
                <w:rFonts w:ascii="Times New Roman" w:hAnsi="Times New Roman" w:cs="Times New Roman"/>
              </w:rPr>
              <w:lastRenderedPageBreak/>
              <w:t>конфликта интересов, с учетом равного отношения к акционерам общества, в рамках обычного предпринимательского риска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Внутренними документами общества установлено, что член совета директоров обязан уведомить совет директоров, если у него возникает конфликт интересов в </w:t>
            </w:r>
            <w:r>
              <w:rPr>
                <w:rFonts w:ascii="Times New Roman" w:hAnsi="Times New Roman" w:cs="Times New Roman"/>
              </w:rPr>
              <w:lastRenderedPageBreak/>
              <w:t>отношении любого вопроса повестки дня заседания совета директоров или комитета совета директоров, до начала обсуждения соответствующего вопроса повестки.</w:t>
            </w:r>
          </w:p>
          <w:p w:rsidR="00D602D4" w:rsidRDefault="000B4C86">
            <w:pPr>
              <w:jc w:val="both"/>
              <w:rPr>
                <w:rFonts w:ascii="Times New Roman" w:hAnsi="Times New Roman" w:cs="Times New Roman"/>
              </w:rPr>
            </w:pPr>
            <w:r>
              <w:rPr>
                <w:rFonts w:ascii="Times New Roman" w:hAnsi="Times New Roman" w:cs="Times New Roman"/>
              </w:rPr>
              <w:t>2. Внутренние документы общества предусматривают, что член совета директоров должен воздержаться от голосования по любому вопросу, в котором у него есть конфликт интересов.</w:t>
            </w:r>
          </w:p>
          <w:p w:rsidR="00D602D4" w:rsidRDefault="000B4C86">
            <w:pPr>
              <w:jc w:val="both"/>
              <w:rPr>
                <w:rFonts w:ascii="Times New Roman" w:hAnsi="Times New Roman" w:cs="Times New Roman"/>
              </w:rPr>
            </w:pPr>
            <w:r>
              <w:rPr>
                <w:rFonts w:ascii="Times New Roman" w:hAnsi="Times New Roman" w:cs="Times New Roman"/>
              </w:rPr>
              <w:t>3. В обществе установлена процедура, которая позволяет совету директоров получать профессиональные консультации по вопросам, относящимся к его компетенции, за счет общества</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lastRenderedPageBreak/>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2.6.2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Права и обязанности членов совета директоров четко сформулированы и закреплены во внутренних документах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обществе принят и опубликован внутренний документ, четко определяющий права и обязанности членов совета директоров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2.6.3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Члены совета директоров имеют достаточно времени для выполнения своих обязанностей</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Индивидуальная посещаемость заседаний совета и комитетов, а также достаточность времени для работы в совете директоров, в том числе в его комитетах, проанализирована в рамках процедуры оценки (самооценки) качества работы совета директоров в отчетном периоде.</w:t>
            </w:r>
          </w:p>
          <w:p w:rsidR="00D602D4" w:rsidRDefault="000B4C86">
            <w:pPr>
              <w:jc w:val="both"/>
              <w:rPr>
                <w:rFonts w:ascii="Times New Roman" w:hAnsi="Times New Roman" w:cs="Times New Roman"/>
              </w:rPr>
            </w:pPr>
            <w:r>
              <w:rPr>
                <w:rFonts w:ascii="Times New Roman" w:hAnsi="Times New Roman" w:cs="Times New Roman"/>
              </w:rPr>
              <w:t xml:space="preserve">2. В соответствии с внутренними документами общества члены совета директоров обязаны уведомлять совет </w:t>
            </w:r>
            <w:r>
              <w:rPr>
                <w:rFonts w:ascii="Times New Roman" w:hAnsi="Times New Roman" w:cs="Times New Roman"/>
              </w:rPr>
              <w:lastRenderedPageBreak/>
              <w:t>директоров о своем намерении войти в состав органов управления других организаций (помимо подконтрольных обществу организаций), а также о факте такого назначения</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2.6.4</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Все члены совета директоров в равной степени имеют возможность доступа к документам и информации общества. Вновь избранным членам совета директоров в максимально возможный короткий срок предоставляется достаточная информация об обществе и о работе совета директоров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соответствии с внутренними документами общества члены совета директоров имеют право получать информацию и документы, необходимые членам совета директоров общества для исполнения ими своих обязанностей, касающиеся общества и подконтрольных ему организаций, а исполнительные органы общества обязаны обеспечить предоставление соответствующей информации и документов.</w:t>
            </w:r>
          </w:p>
          <w:p w:rsidR="00D602D4" w:rsidRDefault="000B4C86">
            <w:pPr>
              <w:jc w:val="both"/>
              <w:rPr>
                <w:rFonts w:ascii="Times New Roman" w:hAnsi="Times New Roman" w:cs="Times New Roman"/>
              </w:rPr>
            </w:pPr>
            <w:r>
              <w:rPr>
                <w:rFonts w:ascii="Times New Roman" w:hAnsi="Times New Roman" w:cs="Times New Roman"/>
              </w:rPr>
              <w:t>2. В обществе реализуется формализованная программа ознакомительных мероприятий для вновь избранных членов совета директоров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2.7</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Заседания совета директоров, подготовка к ним и участие в них членов совета директоров обеспечивают эффективную деятельность совета директоров</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2.7.1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Заседания совета директоров проводятся по мере необходимости, с учетом масштабов деятельности и стоящих перед обществом в определенный период времени задач</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Совет директоров провел не менее шести заседаний за отчетный год</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2.7.2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Во внутренних документах общества закреплен порядок подготовки и проведения заседаний совета директоров, обеспечивающий членам совета директоров возможность надлежащим образом подготовиться к его проведению</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обществе утвержден внутренний документ, определяющий процедуру подготовки и проведения заседаний совета директоров, в котором в том числе установлено, что уведомление о проведении заседания должно быть сделано, как правило, не менее чем за пять дней до даты его проведения.</w:t>
            </w:r>
          </w:p>
          <w:p w:rsidR="00D602D4" w:rsidRDefault="000B4C86">
            <w:pPr>
              <w:jc w:val="both"/>
              <w:rPr>
                <w:rFonts w:ascii="Times New Roman" w:hAnsi="Times New Roman" w:cs="Times New Roman"/>
              </w:rPr>
            </w:pPr>
            <w:r>
              <w:rPr>
                <w:rFonts w:ascii="Times New Roman" w:hAnsi="Times New Roman" w:cs="Times New Roman"/>
              </w:rPr>
              <w:t>2. В отчетном периоде отсутствующим в месте проведения заседания совета директоров членам совета директоров предоставлялась возможность участия в обсуждении вопросов повестки дня и голосовании дистанционно - посредством конференц- и видео-конференц-связи</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2.7.3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Форма проведения заседания совета директоров определяется с учетом важности вопросов повестки дня. Наиболее важные вопросы решаются на заседаниях, проводимых в очной форме</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Уставом или внутренним документом общества предусмотрено, что наиболее важные вопросы (в том числе перечисленные в рекомендации 168 Кодекса) должны рассматриваться на очных заседаниях совета директоров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2.7.4</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Решения по наиболее важным вопросам деятельности общества принимаются на заседании совета директоров квалифицированным большинством или большинством голосов всех избранных членов совета </w:t>
            </w:r>
            <w:r>
              <w:rPr>
                <w:rFonts w:ascii="Times New Roman" w:hAnsi="Times New Roman" w:cs="Times New Roman"/>
              </w:rPr>
              <w:lastRenderedPageBreak/>
              <w:t>директоров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1. Уставом общества предусмотрено, что решения по наиболее важным вопросам, в том числе изложенным в рекомендации 170 Кодекса, должны приниматься на заседании совета директоров квалифицированным большинством, не менее чем в 3/4 голосов, или же большинством голосов всех избранных членов совета директоров</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p w:rsidR="00D602D4" w:rsidRDefault="00D602D4">
            <w:pPr>
              <w:rPr>
                <w:rFonts w:ascii="Times New Roman" w:hAnsi="Times New Roman" w:cs="Times New Roman"/>
              </w:rPr>
            </w:pPr>
          </w:p>
        </w:tc>
        <w:tc>
          <w:tcPr>
            <w:tcW w:w="4385" w:type="dxa"/>
          </w:tcPr>
          <w:p w:rsidR="00D602D4" w:rsidRDefault="000B4C86">
            <w:pPr>
              <w:jc w:val="both"/>
              <w:rPr>
                <w:rFonts w:ascii="Times New Roman" w:hAnsi="Times New Roman" w:cs="Times New Roman"/>
              </w:rPr>
            </w:pPr>
            <w:r>
              <w:rPr>
                <w:rFonts w:ascii="Times New Roman" w:hAnsi="Times New Roman" w:cs="Times New Roman"/>
              </w:rPr>
              <w:t xml:space="preserve">Устав Общества не предусматривает принятие решений по наиболее важным вопросам, изложенным в рекомендации 170 Кодекса, которые должны приниматься на заседании Совета директоров квалифицированным большинством, не менее чем в три четверти голосов, или же большинством голосов всех избранных </w:t>
            </w:r>
            <w:r>
              <w:rPr>
                <w:rFonts w:ascii="Times New Roman" w:hAnsi="Times New Roman" w:cs="Times New Roman"/>
              </w:rPr>
              <w:lastRenderedPageBreak/>
              <w:t xml:space="preserve">членов Совета директоров Общества. </w:t>
            </w:r>
          </w:p>
          <w:p w:rsidR="00D602D4" w:rsidRDefault="000B4C86">
            <w:pPr>
              <w:jc w:val="both"/>
              <w:rPr>
                <w:rFonts w:ascii="Times New Roman" w:hAnsi="Times New Roman" w:cs="Times New Roman"/>
              </w:rPr>
            </w:pPr>
            <w:r>
              <w:rPr>
                <w:rFonts w:ascii="Times New Roman" w:hAnsi="Times New Roman" w:cs="Times New Roman"/>
              </w:rPr>
              <w:t>Пунктом 18.8. ст.18 Устава Общества решения Совета директоров Общества принимаются большинством в три четверти голосов членов Совета директоров Общества от их общего количества по следующим вопросам:</w:t>
            </w:r>
          </w:p>
          <w:p w:rsidR="00D602D4" w:rsidRDefault="000B4C86">
            <w:pPr>
              <w:widowControl w:val="0"/>
              <w:numPr>
                <w:ilvl w:val="0"/>
                <w:numId w:val="97"/>
              </w:numPr>
              <w:tabs>
                <w:tab w:val="clear" w:pos="1080"/>
                <w:tab w:val="num" w:pos="501"/>
              </w:tabs>
              <w:spacing w:after="0" w:line="240" w:lineRule="auto"/>
              <w:ind w:firstLine="218"/>
              <w:jc w:val="both"/>
              <w:rPr>
                <w:rFonts w:ascii="Times New Roman" w:hAnsi="Times New Roman" w:cs="Times New Roman"/>
              </w:rPr>
            </w:pPr>
            <w:r>
              <w:rPr>
                <w:rFonts w:ascii="Times New Roman" w:hAnsi="Times New Roman" w:cs="Times New Roman"/>
              </w:rPr>
              <w:t>о приостановлении полномочий управляющей организации (управляющего) и о назначении исполняющего обязанности Генерального директора Общества;</w:t>
            </w:r>
          </w:p>
          <w:p w:rsidR="00D602D4" w:rsidRDefault="000B4C86">
            <w:pPr>
              <w:widowControl w:val="0"/>
              <w:numPr>
                <w:ilvl w:val="0"/>
                <w:numId w:val="97"/>
              </w:numPr>
              <w:tabs>
                <w:tab w:val="clear" w:pos="1080"/>
                <w:tab w:val="num" w:pos="501"/>
              </w:tabs>
              <w:spacing w:after="0" w:line="240" w:lineRule="auto"/>
              <w:ind w:firstLine="218"/>
              <w:jc w:val="both"/>
              <w:rPr>
                <w:rFonts w:ascii="Times New Roman" w:hAnsi="Times New Roman" w:cs="Times New Roman"/>
              </w:rPr>
            </w:pPr>
            <w:r>
              <w:rPr>
                <w:rFonts w:ascii="Times New Roman" w:hAnsi="Times New Roman" w:cs="Times New Roman"/>
              </w:rPr>
              <w:t>о созыве внеочередного Общего собрания акционеров Общества в случаях, предусмотренных пунктами 21.11., 21.12. статьи 21 Устава Общества.</w:t>
            </w:r>
          </w:p>
          <w:p w:rsidR="00D602D4" w:rsidRDefault="00D602D4">
            <w:pPr>
              <w:widowControl w:val="0"/>
              <w:tabs>
                <w:tab w:val="num" w:pos="501"/>
              </w:tabs>
              <w:spacing w:after="0" w:line="240" w:lineRule="auto"/>
              <w:ind w:left="218"/>
              <w:jc w:val="both"/>
              <w:rPr>
                <w:rFonts w:ascii="Times New Roman" w:hAnsi="Times New Roman" w:cs="Times New Roman"/>
              </w:rPr>
            </w:pPr>
          </w:p>
          <w:p w:rsidR="00D602D4" w:rsidRDefault="00D602D4">
            <w:pPr>
              <w:widowControl w:val="0"/>
              <w:spacing w:after="0" w:line="240" w:lineRule="auto"/>
              <w:ind w:left="218"/>
              <w:jc w:val="both"/>
              <w:rPr>
                <w:rFonts w:ascii="Times New Roman" w:hAnsi="Times New Roman" w:cs="Times New Roman"/>
              </w:rPr>
            </w:pPr>
          </w:p>
          <w:p w:rsidR="00D602D4" w:rsidRDefault="000B4C86">
            <w:pPr>
              <w:jc w:val="both"/>
              <w:rPr>
                <w:rFonts w:ascii="Times New Roman" w:hAnsi="Times New Roman" w:cs="Times New Roman"/>
              </w:rPr>
            </w:pPr>
            <w:r>
              <w:rPr>
                <w:rFonts w:ascii="Times New Roman" w:hAnsi="Times New Roman" w:cs="Times New Roman"/>
              </w:rPr>
              <w:t>Пунктом 18.11 ст.18 Устава Общества определены случаи принятия решений Советом директоров Общества большинством в две трети голосов членов Совета директоров Общества, принимающих участие в заседании:</w:t>
            </w:r>
          </w:p>
          <w:p w:rsidR="00D602D4" w:rsidRDefault="000B4C86">
            <w:pPr>
              <w:jc w:val="both"/>
              <w:rPr>
                <w:rFonts w:ascii="Times New Roman" w:hAnsi="Times New Roman" w:cs="Times New Roman"/>
              </w:rPr>
            </w:pPr>
            <w:r>
              <w:rPr>
                <w:rFonts w:ascii="Times New Roman" w:hAnsi="Times New Roman" w:cs="Times New Roman"/>
              </w:rPr>
              <w:t xml:space="preserve">а) участие Общества в других организациях, приобретении, отчуждении и обременении акций и долей, изменении доли участия в уставных капиталах других организаций и прекращении участия Общества в других организациях; </w:t>
            </w:r>
          </w:p>
          <w:p w:rsidR="00D602D4" w:rsidRDefault="000B4C86">
            <w:pPr>
              <w:jc w:val="both"/>
              <w:rPr>
                <w:rFonts w:ascii="Times New Roman" w:hAnsi="Times New Roman" w:cs="Times New Roman"/>
              </w:rPr>
            </w:pPr>
            <w:r>
              <w:rPr>
                <w:rFonts w:ascii="Times New Roman" w:hAnsi="Times New Roman" w:cs="Times New Roman"/>
              </w:rPr>
              <w:t xml:space="preserve">б) утверждение порядка взаимодействия Общества с организациями, в которых участвует Общество; </w:t>
            </w:r>
          </w:p>
          <w:p w:rsidR="00D602D4" w:rsidRDefault="000B4C86">
            <w:pPr>
              <w:jc w:val="both"/>
              <w:rPr>
                <w:rFonts w:ascii="Times New Roman" w:hAnsi="Times New Roman" w:cs="Times New Roman"/>
              </w:rPr>
            </w:pPr>
            <w:r>
              <w:rPr>
                <w:rFonts w:ascii="Times New Roman" w:hAnsi="Times New Roman" w:cs="Times New Roman"/>
              </w:rPr>
              <w:t xml:space="preserve">в) определение позиции Общества </w:t>
            </w:r>
            <w:r>
              <w:rPr>
                <w:rFonts w:ascii="Times New Roman" w:hAnsi="Times New Roman" w:cs="Times New Roman"/>
              </w:rPr>
              <w:lastRenderedPageBreak/>
              <w:t>(представителей Общества), по вопросам повесток дня общих собраний акционеров (участников) ДО и заседаний советов директоров ДО.</w:t>
            </w:r>
          </w:p>
          <w:p w:rsidR="00D602D4" w:rsidRDefault="000B4C86">
            <w:pPr>
              <w:jc w:val="both"/>
              <w:rPr>
                <w:rFonts w:ascii="Times New Roman" w:hAnsi="Times New Roman" w:cs="Times New Roman"/>
              </w:rPr>
            </w:pPr>
            <w:r>
              <w:rPr>
                <w:rFonts w:ascii="Times New Roman" w:hAnsi="Times New Roman" w:cs="Times New Roman"/>
              </w:rPr>
              <w:t xml:space="preserve">Частичное несоблюдение является ограниченным во времени. </w:t>
            </w:r>
          </w:p>
          <w:p w:rsidR="00D602D4" w:rsidRDefault="000B4C86">
            <w:pPr>
              <w:jc w:val="both"/>
              <w:rPr>
                <w:rFonts w:ascii="Times New Roman" w:hAnsi="Times New Roman" w:cs="Times New Roman"/>
              </w:rPr>
            </w:pPr>
            <w:r>
              <w:rPr>
                <w:rFonts w:ascii="Times New Roman" w:hAnsi="Times New Roman" w:cs="Times New Roman"/>
              </w:rPr>
              <w:t xml:space="preserve">В 2024 году Общество направило контролирующему акционеру (ПАО «Россети») предложения по дополнению п. 18.10. ст. 18 Устава Общества, согласно которым решения по наиболее важным вопросам принимаются на заседании Совета директоров Общества большинством голосов всех избранных членов Совета директоров Общества. </w:t>
            </w:r>
          </w:p>
          <w:p w:rsidR="00D602D4" w:rsidRDefault="000B4C86">
            <w:pPr>
              <w:jc w:val="both"/>
              <w:rPr>
                <w:rFonts w:ascii="Times New Roman" w:hAnsi="Times New Roman" w:cs="Times New Roman"/>
              </w:rPr>
            </w:pPr>
            <w:r>
              <w:rPr>
                <w:rFonts w:ascii="Times New Roman" w:hAnsi="Times New Roman" w:cs="Times New Roman"/>
              </w:rPr>
              <w:t xml:space="preserve">В случае согласования данных дополнений контролирующим акционером (ПАО «Россети») Общество планирует включить в повестку дня ГОСА в 2025 году вопрос: Об утверждении Устава Общества в новой редакции.   </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2.8</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Совет директоров создает комитеты для предварительного рассмотрения наиболее важных вопросов деятельности общества</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2.8.1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Для предварительного рассмотрения вопросов, связанных с контролем за финансово-хозяйственной деятельностью общества, создан комитет по аудиту, состоящий из независимых директоров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Совет директоров сформировал комитет по аудиту, состоящий исключительно из независимых директоров.</w:t>
            </w:r>
          </w:p>
          <w:p w:rsidR="00D602D4" w:rsidRDefault="000B4C86">
            <w:pPr>
              <w:jc w:val="both"/>
              <w:rPr>
                <w:rFonts w:ascii="Times New Roman" w:hAnsi="Times New Roman" w:cs="Times New Roman"/>
              </w:rPr>
            </w:pPr>
            <w:r>
              <w:rPr>
                <w:rFonts w:ascii="Times New Roman" w:hAnsi="Times New Roman" w:cs="Times New Roman"/>
              </w:rPr>
              <w:t xml:space="preserve">2. Во внутренних документах общества определены задачи комитета по аудиту, в том числе задачи, содержащиеся в рекомендации 172 </w:t>
            </w:r>
            <w:hyperlink r:id="rId121" w:tooltip="consultantplus://offline/ref=3E1BE820DC37BAD4FCD0CD6F62ACC8C32F346B985EB4A6947B3C569DB408E76274072E222E038594255D841C5AN2U6F" w:history="1">
              <w:r>
                <w:rPr>
                  <w:rFonts w:ascii="Times New Roman" w:hAnsi="Times New Roman" w:cs="Times New Roman"/>
                </w:rPr>
                <w:t>Кодекса</w:t>
              </w:r>
            </w:hyperlink>
            <w:r>
              <w:rPr>
                <w:rFonts w:ascii="Times New Roman" w:hAnsi="Times New Roman" w:cs="Times New Roman"/>
              </w:rPr>
              <w:t>.</w:t>
            </w:r>
          </w:p>
          <w:p w:rsidR="00D602D4" w:rsidRDefault="000B4C86">
            <w:pPr>
              <w:jc w:val="both"/>
              <w:rPr>
                <w:rFonts w:ascii="Times New Roman" w:hAnsi="Times New Roman" w:cs="Times New Roman"/>
              </w:rPr>
            </w:pPr>
            <w:r>
              <w:rPr>
                <w:rFonts w:ascii="Times New Roman" w:hAnsi="Times New Roman" w:cs="Times New Roman"/>
              </w:rPr>
              <w:lastRenderedPageBreak/>
              <w:t>3. По крайней мере, один член комитета по аудиту, являющийся независимым директором, обладает опытом и знаниями в области подготовки, анализа, оценки и аудита бухгалтерской (финансовой) отчетности.</w:t>
            </w:r>
          </w:p>
          <w:p w:rsidR="00D602D4" w:rsidRDefault="000B4C86">
            <w:pPr>
              <w:jc w:val="both"/>
              <w:rPr>
                <w:rFonts w:ascii="Times New Roman" w:hAnsi="Times New Roman" w:cs="Times New Roman"/>
              </w:rPr>
            </w:pPr>
            <w:r>
              <w:rPr>
                <w:rFonts w:ascii="Times New Roman" w:hAnsi="Times New Roman" w:cs="Times New Roman"/>
              </w:rPr>
              <w:t>4. Заседания комитета по аудиту проводились не реже одного раза в квартал в течение отчетного периода</w:t>
            </w:r>
          </w:p>
        </w:tc>
        <w:tc>
          <w:tcPr>
            <w:tcW w:w="2484" w:type="dxa"/>
          </w:tcPr>
          <w:p w:rsidR="00D602D4" w:rsidRDefault="000B4C86">
            <w:pPr>
              <w:rPr>
                <w:rFonts w:ascii="Times New Roman" w:hAnsi="Times New Roman" w:cs="Times New Roman"/>
              </w:rPr>
            </w:pPr>
            <w:r>
              <w:rPr>
                <w:rFonts w:ascii="Webdings" w:eastAsia="Webdings" w:hAnsi="Webdings" w:cs="Webdings"/>
              </w:rPr>
              <w:lastRenderedPageBreak/>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0B4C86">
            <w:pPr>
              <w:ind w:left="81"/>
              <w:jc w:val="both"/>
              <w:rPr>
                <w:rFonts w:ascii="Times New Roman" w:hAnsi="Times New Roman" w:cs="Times New Roman"/>
              </w:rPr>
            </w:pPr>
            <w:r>
              <w:rPr>
                <w:rFonts w:ascii="Times New Roman" w:hAnsi="Times New Roman" w:cs="Times New Roman"/>
              </w:rPr>
              <w:t>Критерий 1 не соблюдается.</w:t>
            </w:r>
          </w:p>
          <w:p w:rsidR="00D602D4" w:rsidRDefault="000B4C86">
            <w:pPr>
              <w:ind w:left="81"/>
              <w:jc w:val="both"/>
              <w:rPr>
                <w:rFonts w:ascii="Times New Roman" w:hAnsi="Times New Roman" w:cs="Times New Roman"/>
              </w:rPr>
            </w:pPr>
            <w:r>
              <w:rPr>
                <w:rFonts w:ascii="Times New Roman" w:hAnsi="Times New Roman" w:cs="Times New Roman"/>
              </w:rPr>
              <w:t>В Обществе создан Комитет по аудиту, который состоит из 3-х человек, 2 из которых являются независимыми директорами и 1 неисполнительный директор.</w:t>
            </w:r>
          </w:p>
          <w:p w:rsidR="00D602D4" w:rsidRDefault="000B4C86">
            <w:pPr>
              <w:ind w:left="81"/>
              <w:jc w:val="both"/>
              <w:rPr>
                <w:rFonts w:ascii="Times New Roman" w:hAnsi="Times New Roman" w:cs="Times New Roman"/>
              </w:rPr>
            </w:pPr>
            <w:r>
              <w:rPr>
                <w:rFonts w:ascii="Times New Roman" w:hAnsi="Times New Roman" w:cs="Times New Roman" w:hint="cs"/>
              </w:rPr>
              <w:t>Решением С</w:t>
            </w:r>
            <w:r>
              <w:rPr>
                <w:rFonts w:ascii="Times New Roman" w:hAnsi="Times New Roman" w:cs="Times New Roman" w:hint="cs"/>
                <w:shd w:val="clear" w:color="FFFFFF" w:themeColor="background1" w:fill="FFFFFF" w:themeFill="background1"/>
              </w:rPr>
              <w:t xml:space="preserve">овета директоров Общества от  </w:t>
            </w:r>
            <w:r>
              <w:rPr>
                <w:rFonts w:ascii="Times New Roman" w:hAnsi="Times New Roman" w:cs="Times New Roman" w:hint="cs"/>
                <w:shd w:val="clear" w:color="FFFFFF" w:themeColor="background1" w:fill="FFFFFF" w:themeFill="background1"/>
              </w:rPr>
              <w:lastRenderedPageBreak/>
              <w:t xml:space="preserve">26.07.2024 (протокол от  29.07.2024                           № 530/24) избран </w:t>
            </w:r>
            <w:r>
              <w:rPr>
                <w:rFonts w:ascii="Times New Roman" w:hAnsi="Times New Roman" w:cs="Times New Roman" w:hint="cs"/>
              </w:rPr>
              <w:t>новый персональный состав Комитета по аудиту:</w:t>
            </w:r>
          </w:p>
          <w:p w:rsidR="00D602D4" w:rsidRDefault="000B4C86">
            <w:pPr>
              <w:ind w:left="81"/>
              <w:jc w:val="both"/>
              <w:rPr>
                <w:rFonts w:ascii="Times New Roman" w:hAnsi="Times New Roman" w:cs="Times New Roman"/>
                <w:bCs/>
                <w:sz w:val="26"/>
                <w:szCs w:val="26"/>
              </w:rPr>
            </w:pPr>
            <w:r>
              <w:rPr>
                <w:rFonts w:ascii="Times New Roman" w:hAnsi="Times New Roman" w:cs="Times New Roman"/>
              </w:rPr>
              <w:t>1.</w:t>
            </w:r>
            <w:r>
              <w:rPr>
                <w:rFonts w:ascii="Times New Roman" w:hAnsi="Times New Roman" w:cs="Times New Roman" w:hint="cs"/>
              </w:rPr>
              <w:t xml:space="preserve"> Трубицын Кирилл Андреевич  – независ</w:t>
            </w:r>
            <w:r>
              <w:rPr>
                <w:rFonts w:ascii="Times New Roman" w:hAnsi="Times New Roman" w:cs="Times New Roman" w:hint="cs"/>
                <w:shd w:val="clear" w:color="FFFFFF" w:themeColor="background1" w:fill="FFFFFF" w:themeFill="background1"/>
              </w:rPr>
              <w:t>имый директор (председатель Комитета);</w:t>
            </w:r>
          </w:p>
          <w:p w:rsidR="00D602D4" w:rsidRDefault="000B4C86">
            <w:pPr>
              <w:ind w:left="142"/>
              <w:jc w:val="both"/>
              <w:rPr>
                <w:rFonts w:ascii="Times New Roman" w:hAnsi="Times New Roman" w:cs="Times New Roman"/>
                <w:shd w:val="clear" w:color="FFFFFF" w:themeColor="background1" w:fill="FFFFFF" w:themeFill="background1"/>
              </w:rPr>
            </w:pPr>
            <w:r>
              <w:rPr>
                <w:rFonts w:ascii="Times New Roman" w:hAnsi="Times New Roman" w:cs="Times New Roman" w:hint="cs"/>
                <w:shd w:val="clear" w:color="FFFFFF" w:themeColor="background1" w:fill="FFFFFF" w:themeFill="background1"/>
              </w:rPr>
              <w:t>2. Шашкова Наталья Васильевна - независимый директор;</w:t>
            </w:r>
          </w:p>
          <w:p w:rsidR="00D602D4" w:rsidRDefault="000B4C86">
            <w:pPr>
              <w:ind w:left="81"/>
              <w:jc w:val="both"/>
              <w:rPr>
                <w:rFonts w:ascii="Times New Roman" w:hAnsi="Times New Roman" w:cs="Times New Roman"/>
                <w:sz w:val="26"/>
                <w:szCs w:val="26"/>
              </w:rPr>
            </w:pPr>
            <w:r>
              <w:rPr>
                <w:rFonts w:ascii="Times New Roman" w:hAnsi="Times New Roman" w:cs="Times New Roman" w:hint="cs"/>
                <w:shd w:val="clear" w:color="FFFFFF" w:themeColor="background1" w:fill="FFFFFF" w:themeFill="background1"/>
              </w:rPr>
              <w:t>3. Бахарев Дмитрий Владимирович, который не является независимым директором, единоличным исполнительным органом и (или) членом коллегиального исполнительного органа Общества, имеет необходимое образование и длительный опыт работы на руководящих должностях в энергетических компаниях, что позволяет ему наиболее эффективно выполнять функции, предусмотренные Положением о Комитете по аудиту Общества.</w:t>
            </w:r>
          </w:p>
          <w:p w:rsidR="00D602D4" w:rsidRDefault="000B4C86">
            <w:pPr>
              <w:widowControl w:val="0"/>
              <w:spacing w:before="11" w:after="0" w:line="288" w:lineRule="exact"/>
              <w:ind w:left="81"/>
              <w:jc w:val="both"/>
              <w:rPr>
                <w:rFonts w:ascii="Times New Roman" w:hAnsi="Times New Roman" w:cs="Times New Roman"/>
              </w:rPr>
            </w:pPr>
            <w:r>
              <w:rPr>
                <w:rFonts w:ascii="Times New Roman" w:hAnsi="Times New Roman" w:cs="Times New Roman"/>
              </w:rPr>
              <w:t xml:space="preserve">Общество будет стремиться к соблюдению данного критерия в будущем. </w:t>
            </w:r>
          </w:p>
          <w:p w:rsidR="00D602D4" w:rsidRDefault="000B4C86">
            <w:pPr>
              <w:widowControl w:val="0"/>
              <w:spacing w:before="11" w:after="0" w:line="288" w:lineRule="exact"/>
              <w:ind w:left="81"/>
              <w:jc w:val="both"/>
              <w:rPr>
                <w:rFonts w:ascii="Times New Roman" w:hAnsi="Times New Roman" w:cs="Times New Roman"/>
              </w:rPr>
            </w:pPr>
            <w:r>
              <w:rPr>
                <w:rFonts w:ascii="Times New Roman" w:hAnsi="Times New Roman" w:cs="Times New Roman"/>
              </w:rPr>
              <w:t xml:space="preserve">Вместе с тем формирование комитетов Общества относится к компетенции Совета директоров Общества, состав которого в свою очередь определяется акционерами Общества. </w:t>
            </w:r>
          </w:p>
          <w:p w:rsidR="00D602D4" w:rsidRDefault="00D602D4">
            <w:pPr>
              <w:widowControl w:val="0"/>
              <w:spacing w:before="11" w:after="0" w:line="288" w:lineRule="exact"/>
              <w:ind w:left="81"/>
              <w:jc w:val="both"/>
              <w:rPr>
                <w:rFonts w:ascii="Times New Roman" w:hAnsi="Times New Roman" w:cs="Times New Roman"/>
              </w:rPr>
            </w:pPr>
          </w:p>
          <w:p w:rsidR="00D602D4" w:rsidRDefault="000B4C86">
            <w:pPr>
              <w:widowControl w:val="0"/>
              <w:spacing w:before="11" w:after="0" w:line="288" w:lineRule="exact"/>
              <w:ind w:left="81"/>
              <w:jc w:val="both"/>
              <w:rPr>
                <w:rFonts w:ascii="Times New Roman" w:hAnsi="Times New Roman" w:cs="Times New Roman"/>
              </w:rPr>
            </w:pPr>
            <w:r>
              <w:rPr>
                <w:rFonts w:ascii="Times New Roman" w:hAnsi="Times New Roman" w:cs="Times New Roman"/>
              </w:rPr>
              <w:t xml:space="preserve">Таким образом, исполнение Обществом данного критерия зависит от позиции акционеров Общества и их принципиального согласия на замену своих представителей в составе Комитета по </w:t>
            </w:r>
            <w:r>
              <w:rPr>
                <w:rFonts w:ascii="Times New Roman" w:hAnsi="Times New Roman" w:cs="Times New Roman"/>
              </w:rPr>
              <w:lastRenderedPageBreak/>
              <w:t>аудиту независимыми директорами.</w:t>
            </w:r>
          </w:p>
          <w:p w:rsidR="00D602D4" w:rsidRDefault="00D602D4">
            <w:pPr>
              <w:pStyle w:val="affa"/>
              <w:ind w:left="81"/>
              <w:jc w:val="both"/>
              <w:rPr>
                <w:sz w:val="22"/>
                <w:szCs w:val="22"/>
              </w:rPr>
            </w:pPr>
          </w:p>
          <w:p w:rsidR="00D602D4" w:rsidRDefault="000B4C86">
            <w:pPr>
              <w:widowControl w:val="0"/>
              <w:spacing w:before="11" w:after="0" w:line="288" w:lineRule="exact"/>
              <w:ind w:left="81"/>
              <w:jc w:val="both"/>
              <w:rPr>
                <w:rFonts w:ascii="Times New Roman" w:hAnsi="Times New Roman" w:cs="Times New Roman"/>
              </w:rPr>
            </w:pPr>
            <w:r>
              <w:rPr>
                <w:rFonts w:ascii="Times New Roman" w:hAnsi="Times New Roman" w:cs="Times New Roman"/>
              </w:rPr>
              <w:t xml:space="preserve">Критерии 2, 3, 4 соблюдаются. </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2.8.2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Для предварительного рассмотрения вопросов, связанных с формированием эффективной и прозрачной практики вознаграждения, создан комитет по вознаграждениям, состоящий из независимых директоров и возглавляемый независимым директором, не являющимся председателем совета директоров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Советом директоров создан комитет по вознаграждениям, который состоит только из независимых директоров.</w:t>
            </w:r>
          </w:p>
          <w:p w:rsidR="00D602D4" w:rsidRDefault="000B4C86">
            <w:pPr>
              <w:jc w:val="both"/>
              <w:rPr>
                <w:rFonts w:ascii="Times New Roman" w:hAnsi="Times New Roman" w:cs="Times New Roman"/>
              </w:rPr>
            </w:pPr>
            <w:r>
              <w:rPr>
                <w:rFonts w:ascii="Times New Roman" w:hAnsi="Times New Roman" w:cs="Times New Roman"/>
              </w:rPr>
              <w:t>2. Председателем комитета по вознаграждениям является независимый директор, который не является председателем совета директоров</w:t>
            </w:r>
          </w:p>
          <w:p w:rsidR="00D602D4" w:rsidRDefault="000B4C86">
            <w:pPr>
              <w:jc w:val="both"/>
              <w:rPr>
                <w:rFonts w:ascii="Times New Roman" w:hAnsi="Times New Roman" w:cs="Times New Roman"/>
              </w:rPr>
            </w:pPr>
            <w:r>
              <w:rPr>
                <w:rFonts w:ascii="Times New Roman" w:hAnsi="Times New Roman" w:cs="Times New Roman"/>
              </w:rPr>
              <w:t xml:space="preserve">3. Во внутренних документах общества определены задачи комитета по вознаграждениям, включая в том числе задачи, содержащиеся в рекомендации 180 </w:t>
            </w:r>
            <w:hyperlink r:id="rId122" w:tooltip="consultantplus://offline/ref=3E1BE820DC37BAD4FCD0CD6F62ACC8C32F346B985EB4A6947B3C569DB408E76274072E222E038594255D841C5AN2U6F" w:history="1">
              <w:r>
                <w:rPr>
                  <w:rFonts w:ascii="Times New Roman" w:hAnsi="Times New Roman" w:cs="Times New Roman"/>
                </w:rPr>
                <w:t>Кодекса</w:t>
              </w:r>
            </w:hyperlink>
            <w:r>
              <w:rPr>
                <w:rFonts w:ascii="Times New Roman" w:hAnsi="Times New Roman" w:cs="Times New Roman"/>
              </w:rPr>
              <w:t>, а также условия (события), при наступлении которых комитет по вознаграждениям рассматривает вопрос о пересмотре политики общества по вознаграждению членов совета директоров, исполнительных органов и иных ключевых руководящих работников</w:t>
            </w:r>
          </w:p>
          <w:p w:rsidR="00D602D4" w:rsidRDefault="00D602D4">
            <w:pPr>
              <w:jc w:val="both"/>
              <w:rPr>
                <w:rFonts w:ascii="Times New Roman" w:hAnsi="Times New Roman" w:cs="Times New Roman"/>
              </w:rPr>
            </w:pPr>
          </w:p>
          <w:p w:rsidR="00D602D4" w:rsidRDefault="000B4C86">
            <w:pPr>
              <w:jc w:val="both"/>
              <w:rPr>
                <w:rFonts w:ascii="Times New Roman" w:hAnsi="Times New Roman" w:cs="Times New Roman"/>
              </w:rPr>
            </w:pPr>
            <w:r>
              <w:rPr>
                <w:rFonts w:ascii="Times New Roman" w:hAnsi="Times New Roman" w:cs="Times New Roman"/>
              </w:rPr>
              <w:t xml:space="preserve"> </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не соблюдается</w:t>
            </w:r>
          </w:p>
        </w:tc>
        <w:tc>
          <w:tcPr>
            <w:tcW w:w="4385" w:type="dxa"/>
          </w:tcPr>
          <w:p w:rsidR="00D602D4" w:rsidRDefault="000B4C86">
            <w:pPr>
              <w:jc w:val="both"/>
              <w:rPr>
                <w:rFonts w:ascii="Times New Roman" w:hAnsi="Times New Roman" w:cs="Times New Roman"/>
              </w:rPr>
            </w:pPr>
            <w:r>
              <w:rPr>
                <w:rFonts w:ascii="Times New Roman" w:hAnsi="Times New Roman" w:cs="Times New Roman"/>
              </w:rPr>
              <w:t>Критерии 1 и 2 не соблюдаются.</w:t>
            </w:r>
          </w:p>
          <w:p w:rsidR="00D602D4" w:rsidRDefault="000B4C86">
            <w:pPr>
              <w:jc w:val="both"/>
              <w:rPr>
                <w:rFonts w:ascii="Times New Roman" w:hAnsi="Times New Roman" w:cs="Times New Roman"/>
              </w:rPr>
            </w:pPr>
            <w:r>
              <w:rPr>
                <w:rFonts w:ascii="Times New Roman" w:hAnsi="Times New Roman" w:cs="Times New Roman"/>
              </w:rPr>
              <w:t>В Обществе создан Комитет по кадрам и вознаграждениям, который состоит из 3-х человек, 1 из которых является независимым директором – Трубицын Кирилл Андреевич.</w:t>
            </w:r>
          </w:p>
          <w:p w:rsidR="00D602D4" w:rsidRDefault="000B4C86">
            <w:pPr>
              <w:jc w:val="both"/>
              <w:rPr>
                <w:rFonts w:ascii="Times New Roman" w:hAnsi="Times New Roman" w:cs="Times New Roman"/>
              </w:rPr>
            </w:pPr>
            <w:r>
              <w:rPr>
                <w:rFonts w:ascii="Times New Roman" w:hAnsi="Times New Roman" w:cs="Times New Roman"/>
              </w:rPr>
              <w:t>Председателем Комитета по кадрам и вознаграждениям Совета директоров ПАО «Россети Сибирь» является Борисова Дарья Викторовна, не являющаяся независимым директором, а также Председателем Совета директоров Общества.</w:t>
            </w:r>
          </w:p>
          <w:p w:rsidR="00D602D4" w:rsidRDefault="000B4C86">
            <w:pPr>
              <w:jc w:val="both"/>
              <w:rPr>
                <w:rFonts w:ascii="Times New Roman" w:hAnsi="Times New Roman" w:cs="Times New Roman"/>
              </w:rPr>
            </w:pPr>
            <w:r>
              <w:rPr>
                <w:rFonts w:ascii="Times New Roman" w:hAnsi="Times New Roman" w:cs="Times New Roman"/>
              </w:rPr>
              <w:t xml:space="preserve">Председатель Комитета по кадрам и вознаграждениям Борисова Д.В.. была избрана на заседании Совета директоров Общества  всеми членам Совета директоров Общества единогласно.   </w:t>
            </w:r>
          </w:p>
          <w:p w:rsidR="00D602D4" w:rsidRDefault="000B4C86">
            <w:pPr>
              <w:jc w:val="both"/>
              <w:rPr>
                <w:rFonts w:ascii="Times New Roman" w:hAnsi="Times New Roman" w:cs="Times New Roman"/>
              </w:rPr>
            </w:pPr>
            <w:r>
              <w:rPr>
                <w:rFonts w:ascii="Times New Roman" w:hAnsi="Times New Roman" w:cs="Times New Roman"/>
              </w:rPr>
              <w:t xml:space="preserve">Помимо независимых членов Совета директоров Общества в состав Комитета по кадрам и вознаграждениям вошли члены Совета директоров Общества, обладающие специальными знаниями работы, отнесенным к компетенции Комитета, способные выносить независимые суждения, активно участвующие в работе Комитета (при необходимости запрашивают дополнительную информацию по рассматриваемым на Комитете вопросам и требуют от менеджмента ответов на </w:t>
            </w:r>
            <w:r>
              <w:rPr>
                <w:rFonts w:ascii="Times New Roman" w:hAnsi="Times New Roman" w:cs="Times New Roman"/>
              </w:rPr>
              <w:lastRenderedPageBreak/>
              <w:t xml:space="preserve">трудные, критически поставленные вопросы, принимают решения ориентируюсь на долгосрочные интересы Общества и его акционеров), а также не являющиеся членами исполнительных органов Общества. </w:t>
            </w:r>
          </w:p>
          <w:p w:rsidR="00D602D4" w:rsidRDefault="000B4C86">
            <w:pPr>
              <w:jc w:val="both"/>
              <w:rPr>
                <w:rFonts w:ascii="Times New Roman" w:hAnsi="Times New Roman" w:cs="Times New Roman"/>
              </w:rPr>
            </w:pPr>
            <w:r>
              <w:rPr>
                <w:rFonts w:ascii="Times New Roman" w:hAnsi="Times New Roman" w:cs="Times New Roman"/>
              </w:rPr>
              <w:t>Отсутствие в составе Комитета по кадрам и вознаграждениям достаточного количества независимых директоров не влияет на объективность принимаемых решений. Данные выводы находят свое отражение в отчетах, сформированных в рамках проводимых внутренних и внешних аудиторских и проверок.</w:t>
            </w:r>
          </w:p>
          <w:p w:rsidR="00D602D4" w:rsidRDefault="000B4C86">
            <w:pPr>
              <w:jc w:val="both"/>
              <w:rPr>
                <w:rFonts w:ascii="Times New Roman" w:hAnsi="Times New Roman" w:cs="Times New Roman"/>
              </w:rPr>
            </w:pPr>
            <w:r>
              <w:rPr>
                <w:rFonts w:ascii="Times New Roman" w:hAnsi="Times New Roman" w:cs="Times New Roman"/>
              </w:rPr>
              <w:t>Критерий 3 соблюдается частично.</w:t>
            </w:r>
          </w:p>
          <w:p w:rsidR="00D602D4" w:rsidRDefault="000B4C86">
            <w:pPr>
              <w:jc w:val="both"/>
              <w:rPr>
                <w:rFonts w:ascii="Times New Roman" w:hAnsi="Times New Roman" w:cs="Times New Roman"/>
              </w:rPr>
            </w:pPr>
            <w:r>
              <w:rPr>
                <w:rFonts w:ascii="Times New Roman" w:hAnsi="Times New Roman" w:cs="Times New Roman"/>
              </w:rPr>
              <w:t xml:space="preserve"> В 2023 году на заседании Совета директоров Общества утверждено Положение Комитета по кадрам и вознаграждениям Совета директоров Общества в новой редакции (протокол от 10.11.2023 № 505/23).</w:t>
            </w:r>
          </w:p>
          <w:p w:rsidR="00D602D4" w:rsidRDefault="000B4C86">
            <w:pPr>
              <w:jc w:val="both"/>
              <w:rPr>
                <w:rFonts w:ascii="Times New Roman" w:hAnsi="Times New Roman" w:cs="Times New Roman"/>
              </w:rPr>
            </w:pPr>
            <w:r>
              <w:rPr>
                <w:rFonts w:ascii="Times New Roman" w:hAnsi="Times New Roman" w:cs="Times New Roman"/>
              </w:rPr>
              <w:t>Положение о Комитете по кадрам и вознаграждениям дополнено задачами, содержащиеся в рекомендации ст. 180 ККУ.</w:t>
            </w:r>
          </w:p>
          <w:p w:rsidR="00D602D4" w:rsidRDefault="000B4C86">
            <w:pPr>
              <w:jc w:val="both"/>
              <w:rPr>
                <w:rFonts w:ascii="Times New Roman" w:hAnsi="Times New Roman" w:cs="Times New Roman"/>
              </w:rPr>
            </w:pPr>
            <w:r>
              <w:rPr>
                <w:rFonts w:ascii="Times New Roman" w:hAnsi="Times New Roman" w:cs="Times New Roman"/>
              </w:rPr>
              <w:t xml:space="preserve">К компетенции Комитета по кадрам и вознаграждениям в соответствии с Положением относятся следующие вопросы, содержащие рекомендации ст. 180 ККУ: </w:t>
            </w:r>
          </w:p>
          <w:p w:rsidR="00D602D4" w:rsidRDefault="000B4C86">
            <w:pPr>
              <w:jc w:val="both"/>
              <w:rPr>
                <w:rFonts w:ascii="Times New Roman" w:hAnsi="Times New Roman" w:cs="Times New Roman"/>
              </w:rPr>
            </w:pPr>
            <w:r>
              <w:rPr>
                <w:rFonts w:ascii="Times New Roman" w:hAnsi="Times New Roman" w:cs="Times New Roman"/>
              </w:rPr>
              <w:t>- надзор за внедрением и реализацией политики Общества по вознаграждению и различных программ мотивации;</w:t>
            </w:r>
          </w:p>
          <w:p w:rsidR="00D602D4" w:rsidRDefault="000B4C86">
            <w:pPr>
              <w:jc w:val="both"/>
              <w:rPr>
                <w:rFonts w:ascii="Times New Roman" w:hAnsi="Times New Roman" w:cs="Times New Roman"/>
              </w:rPr>
            </w:pPr>
            <w:r>
              <w:rPr>
                <w:rFonts w:ascii="Times New Roman" w:hAnsi="Times New Roman" w:cs="Times New Roman"/>
              </w:rPr>
              <w:t xml:space="preserve">-регулярная оценка деятельности лица, </w:t>
            </w:r>
            <w:r>
              <w:rPr>
                <w:rFonts w:ascii="Times New Roman" w:hAnsi="Times New Roman" w:cs="Times New Roman"/>
              </w:rPr>
              <w:lastRenderedPageBreak/>
              <w:t>осуществляющего функции единоличного исполнительного органа (управляющей организации, управляющего), и членов коллегиального исполнительного органа Общества и подготовка для совета директоров предложений по возможности их повторного назначения;</w:t>
            </w:r>
          </w:p>
          <w:p w:rsidR="00D602D4" w:rsidRDefault="000B4C86">
            <w:pPr>
              <w:jc w:val="both"/>
              <w:rPr>
                <w:rFonts w:ascii="Times New Roman" w:hAnsi="Times New Roman" w:cs="Times New Roman"/>
              </w:rPr>
            </w:pPr>
            <w:r>
              <w:rPr>
                <w:rFonts w:ascii="Times New Roman" w:hAnsi="Times New Roman" w:cs="Times New Roman"/>
              </w:rPr>
              <w:t>- выработка принципов и критериев определения размера вознаграждения членов Совета директоров, членов коллегиального исполнительного органа и лица, осуществляющего функции единоличного исполнительного органа Общества, в том числе управляющей организации или управляющего.</w:t>
            </w:r>
          </w:p>
          <w:p w:rsidR="00D602D4" w:rsidRDefault="000B4C86">
            <w:pPr>
              <w:widowControl w:val="0"/>
              <w:spacing w:after="0" w:line="240" w:lineRule="auto"/>
              <w:jc w:val="both"/>
              <w:rPr>
                <w:rFonts w:ascii="Times New Roman" w:hAnsi="Times New Roman" w:cs="Times New Roman"/>
              </w:rPr>
            </w:pPr>
            <w:r>
              <w:rPr>
                <w:rFonts w:cs="Arial"/>
                <w:b/>
                <w:szCs w:val="24"/>
              </w:rPr>
              <w:t xml:space="preserve">- </w:t>
            </w:r>
            <w:r>
              <w:rPr>
                <w:rFonts w:ascii="Times New Roman" w:hAnsi="Times New Roman" w:cs="Times New Roman"/>
              </w:rPr>
              <w:t>подготовка рекомендаций Совету директоров по определению размера вознаграждения и принципов премирования Корпоративного секретаря Общества, а также предварительная оценка работы Корпоративного секретаря Общества по итогам года и предложения о дополнительном премировании Корпоративного секретаря Общества.</w:t>
            </w:r>
          </w:p>
          <w:p w:rsidR="00D602D4" w:rsidRDefault="000B4C86">
            <w:pPr>
              <w:ind w:firstLine="364"/>
              <w:jc w:val="both"/>
              <w:rPr>
                <w:rFonts w:ascii="Times New Roman" w:hAnsi="Times New Roman" w:cs="Times New Roman"/>
              </w:rPr>
            </w:pPr>
            <w:r>
              <w:rPr>
                <w:rFonts w:ascii="Times New Roman" w:hAnsi="Times New Roman" w:cs="Times New Roman"/>
              </w:rPr>
              <w:t xml:space="preserve">По мнению Общества, перечень задач, установленных в Положение о Комитете по кадрам и вознаграждениям Общества является исчерпывающим и достаточным.  </w:t>
            </w:r>
          </w:p>
          <w:p w:rsidR="00D602D4" w:rsidRDefault="000B4C86">
            <w:pPr>
              <w:ind w:firstLine="364"/>
              <w:jc w:val="both"/>
              <w:rPr>
                <w:rFonts w:ascii="Times New Roman" w:hAnsi="Times New Roman" w:cs="Times New Roman"/>
              </w:rPr>
            </w:pPr>
            <w:r>
              <w:rPr>
                <w:rFonts w:ascii="Times New Roman" w:hAnsi="Times New Roman" w:cs="Times New Roman"/>
              </w:rPr>
              <w:t xml:space="preserve"> С учетом этого Общество больше не планирует внесение изменений в Положение о Комитете по кадрам и вознаграждениям Общества. </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2.8.3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Для предварительного рассмотрения вопросов, связанных с осуществлением кадрового планирования (планирования преемственности), профессиональным составом и эффективностью работы совета директоров, создан комитет по номинациям (назначениям, кадрам), большинство членов которого являются независимыми директорами</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Советом директоров создан комитет по номинациям (или его задачи, указанные в рекомендации 186 Кодекса, реализуются в рамках иного комитета), большинство членов которого являются независимыми директорами.</w:t>
            </w:r>
          </w:p>
          <w:p w:rsidR="00D602D4" w:rsidRDefault="000B4C86">
            <w:pPr>
              <w:jc w:val="both"/>
              <w:rPr>
                <w:rFonts w:ascii="Times New Roman" w:hAnsi="Times New Roman" w:cs="Times New Roman"/>
              </w:rPr>
            </w:pPr>
            <w:r>
              <w:rPr>
                <w:rFonts w:ascii="Times New Roman" w:hAnsi="Times New Roman" w:cs="Times New Roman"/>
              </w:rPr>
              <w:t xml:space="preserve">2. Во внутренних документах общества определены задачи комитета по номинациям (или соответствующего комитета с совмещенным функционалом), включая в том числе задачи, содержащиеся в рекомендации 186 </w:t>
            </w:r>
            <w:hyperlink r:id="rId123" w:tooltip="consultantplus://offline/ref=3E1BE820DC37BAD4FCD0CD6F62ACC8C32F346B985EB4A6947B3C569DB408E76274072E222E038594255D841C5AN2U6F" w:history="1">
              <w:r>
                <w:rPr>
                  <w:rFonts w:ascii="Times New Roman" w:hAnsi="Times New Roman" w:cs="Times New Roman"/>
                </w:rPr>
                <w:t>Кодекса</w:t>
              </w:r>
            </w:hyperlink>
            <w:r>
              <w:rPr>
                <w:rFonts w:ascii="Times New Roman" w:hAnsi="Times New Roman" w:cs="Times New Roman"/>
              </w:rPr>
              <w:t>.</w:t>
            </w:r>
          </w:p>
          <w:p w:rsidR="00D602D4" w:rsidRDefault="000B4C86">
            <w:pPr>
              <w:jc w:val="both"/>
              <w:rPr>
                <w:rFonts w:ascii="Times New Roman" w:hAnsi="Times New Roman" w:cs="Times New Roman"/>
              </w:rPr>
            </w:pPr>
            <w:r>
              <w:rPr>
                <w:rFonts w:ascii="Times New Roman" w:hAnsi="Times New Roman" w:cs="Times New Roman"/>
              </w:rPr>
              <w:t>3. В целях формирования совета директоров, наиболее полно отвечающего целям и задачам общества, комитет по номинациям в отчетном периоде самостоятельно или совместно с иными комитетами совета директоров или уполномоченное подразделение общества по взаимодействию с акционерами организовал взаимодействие с акционерами, не ограничиваясь кругом крупнейших акционеров, в контексте подбора кандидатов в совет директоров общества</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0B4C86">
            <w:pPr>
              <w:jc w:val="both"/>
              <w:rPr>
                <w:rFonts w:ascii="Times New Roman" w:hAnsi="Times New Roman" w:cs="Times New Roman"/>
              </w:rPr>
            </w:pPr>
            <w:r>
              <w:rPr>
                <w:rFonts w:ascii="Times New Roman" w:hAnsi="Times New Roman" w:cs="Times New Roman"/>
              </w:rPr>
              <w:t>Критерий 1 частично соблюдается.</w:t>
            </w:r>
          </w:p>
          <w:p w:rsidR="00D602D4" w:rsidRDefault="000B4C86">
            <w:pPr>
              <w:jc w:val="both"/>
              <w:rPr>
                <w:rFonts w:ascii="Times New Roman" w:hAnsi="Times New Roman" w:cs="Times New Roman"/>
              </w:rPr>
            </w:pPr>
            <w:r>
              <w:rPr>
                <w:rFonts w:ascii="Times New Roman" w:hAnsi="Times New Roman" w:cs="Times New Roman"/>
              </w:rPr>
              <w:t xml:space="preserve"> В Обществе создан Комитет по кадрам и вознаграждениям, выполняющий в том числе функции Комитета по номинациям (пп. 4 п. 2 ст. 2 Положения Комитета по кадрам и вознаграждениям: определяет критерии подбора кандидатов в члены Совета директоров, члены коллегиального исполнительного органа и на должность единоличного исполнительного органа Общества, а также предварительная оценка указанных кандидатов и проч.). </w:t>
            </w:r>
          </w:p>
          <w:p w:rsidR="00D602D4" w:rsidRDefault="000B4C86">
            <w:pPr>
              <w:jc w:val="both"/>
              <w:rPr>
                <w:rFonts w:ascii="Times New Roman" w:hAnsi="Times New Roman" w:cs="Times New Roman"/>
              </w:rPr>
            </w:pPr>
            <w:r>
              <w:rPr>
                <w:rFonts w:ascii="Times New Roman" w:hAnsi="Times New Roman" w:cs="Times New Roman"/>
              </w:rPr>
              <w:t>В части независимых директоров информация представлена в п. 2.8.2.</w:t>
            </w:r>
          </w:p>
          <w:p w:rsidR="00D602D4" w:rsidRDefault="000B4C86">
            <w:pPr>
              <w:jc w:val="both"/>
              <w:rPr>
                <w:rFonts w:ascii="Times New Roman" w:hAnsi="Times New Roman" w:cs="Times New Roman"/>
              </w:rPr>
            </w:pPr>
            <w:r>
              <w:rPr>
                <w:rFonts w:ascii="Times New Roman" w:hAnsi="Times New Roman" w:cs="Times New Roman"/>
              </w:rPr>
              <w:t>Критерий 2 частично соблюдается.</w:t>
            </w:r>
          </w:p>
          <w:p w:rsidR="00D602D4" w:rsidRDefault="000B4C86">
            <w:pPr>
              <w:jc w:val="both"/>
              <w:rPr>
                <w:rFonts w:ascii="Times New Roman" w:hAnsi="Times New Roman" w:cs="Times New Roman"/>
              </w:rPr>
            </w:pPr>
            <w:r>
              <w:rPr>
                <w:rFonts w:ascii="Times New Roman" w:hAnsi="Times New Roman" w:cs="Times New Roman"/>
              </w:rPr>
              <w:t>В 2023 году на заседании Совета директоров Общества утверждено Положение о Комитете по кадрам и вознаграждениям Совета директоров Общества в новой редакции (протокол от 10.11.2023 № 505/23).</w:t>
            </w:r>
          </w:p>
          <w:p w:rsidR="00D602D4" w:rsidRDefault="000B4C86">
            <w:pPr>
              <w:jc w:val="both"/>
              <w:rPr>
                <w:rFonts w:ascii="Times New Roman" w:hAnsi="Times New Roman" w:cs="Times New Roman"/>
              </w:rPr>
            </w:pPr>
            <w:r>
              <w:rPr>
                <w:rFonts w:ascii="Times New Roman" w:hAnsi="Times New Roman" w:cs="Times New Roman"/>
              </w:rPr>
              <w:t>Положение о Комитете по кадрам и вознаграждениям дополнен задачами, содержащиеся в рекомендации ст. 186 ККУ.</w:t>
            </w:r>
          </w:p>
          <w:p w:rsidR="00D602D4" w:rsidRDefault="000B4C86">
            <w:pPr>
              <w:jc w:val="both"/>
              <w:rPr>
                <w:rFonts w:ascii="Times New Roman" w:hAnsi="Times New Roman" w:cs="Times New Roman"/>
              </w:rPr>
            </w:pPr>
            <w:r>
              <w:rPr>
                <w:rFonts w:ascii="Times New Roman" w:hAnsi="Times New Roman" w:cs="Times New Roman"/>
              </w:rPr>
              <w:t xml:space="preserve">К основным задачам, которые предусмотрены в Положении о Комитете по кадрам и вознаграждениям в соответствии со ст. 186 ККУ относятся: </w:t>
            </w:r>
          </w:p>
          <w:p w:rsidR="00D602D4" w:rsidRDefault="000B4C86">
            <w:pPr>
              <w:widowControl w:val="0"/>
              <w:spacing w:after="0" w:line="240" w:lineRule="auto"/>
              <w:jc w:val="both"/>
              <w:rPr>
                <w:rFonts w:ascii="Times New Roman" w:hAnsi="Times New Roman" w:cs="Times New Roman"/>
              </w:rPr>
            </w:pPr>
            <w:r>
              <w:rPr>
                <w:rFonts w:ascii="Times New Roman" w:hAnsi="Times New Roman" w:cs="Times New Roman"/>
              </w:rPr>
              <w:t>- надзор за внедрением и реализацией политики Общества по вознаграждению и различных программ мотивации;</w:t>
            </w:r>
          </w:p>
          <w:p w:rsidR="00D602D4" w:rsidRDefault="00D602D4">
            <w:pPr>
              <w:widowControl w:val="0"/>
              <w:spacing w:after="0" w:line="240" w:lineRule="auto"/>
              <w:jc w:val="both"/>
              <w:rPr>
                <w:rFonts w:ascii="Times New Roman" w:hAnsi="Times New Roman" w:cs="Times New Roman"/>
              </w:rPr>
            </w:pPr>
          </w:p>
          <w:p w:rsidR="00D602D4" w:rsidRDefault="000B4C86">
            <w:pPr>
              <w:widowControl w:val="0"/>
              <w:spacing w:after="0" w:line="240" w:lineRule="auto"/>
              <w:jc w:val="both"/>
              <w:rPr>
                <w:rFonts w:ascii="Times New Roman" w:hAnsi="Times New Roman" w:cs="Times New Roman"/>
              </w:rPr>
            </w:pPr>
            <w:r>
              <w:rPr>
                <w:rFonts w:ascii="Times New Roman" w:hAnsi="Times New Roman" w:cs="Times New Roman"/>
              </w:rPr>
              <w:lastRenderedPageBreak/>
              <w:t xml:space="preserve">- подготовка рекомендаций Совету директоров по определению размера вознаграждения и принципов премирования Корпоративного секретаря Общества, а также предварительная оценка работы Корпоративного секретаря Общества по итогам года и предложения о дополнительном премировании Корпоративного секретаря Общества; </w:t>
            </w:r>
          </w:p>
          <w:p w:rsidR="00D602D4" w:rsidRDefault="00D602D4">
            <w:pPr>
              <w:widowControl w:val="0"/>
              <w:spacing w:after="0" w:line="240" w:lineRule="auto"/>
              <w:jc w:val="both"/>
              <w:rPr>
                <w:rFonts w:ascii="Times New Roman" w:hAnsi="Times New Roman" w:cs="Times New Roman"/>
              </w:rPr>
            </w:pPr>
          </w:p>
          <w:p w:rsidR="00D602D4" w:rsidRDefault="000B4C86">
            <w:pPr>
              <w:widowControl w:val="0"/>
              <w:spacing w:after="0" w:line="240" w:lineRule="auto"/>
              <w:jc w:val="both"/>
              <w:rPr>
                <w:rFonts w:ascii="Times New Roman" w:hAnsi="Times New Roman" w:cs="Times New Roman"/>
              </w:rPr>
            </w:pPr>
            <w:r>
              <w:rPr>
                <w:rFonts w:ascii="Times New Roman" w:hAnsi="Times New Roman" w:cs="Times New Roman"/>
              </w:rPr>
              <w:t>- осуществление надзора за раскрытием информации о политике и практике вознаграждения и о владении акциями Общества членами Совета директоров, а также членами коллегиальных исполнительных органов и иными ключевыми руководящими работниками в годовом отчете и на сайте Общества в сети «Интернет»;</w:t>
            </w:r>
          </w:p>
          <w:p w:rsidR="00D602D4" w:rsidRDefault="000B4C86">
            <w:pPr>
              <w:widowControl w:val="0"/>
              <w:tabs>
                <w:tab w:val="left" w:pos="0"/>
              </w:tabs>
              <w:spacing w:after="0" w:line="240" w:lineRule="auto"/>
              <w:jc w:val="both"/>
              <w:rPr>
                <w:rFonts w:ascii="Times New Roman" w:hAnsi="Times New Roman" w:cs="Times New Roman"/>
              </w:rPr>
            </w:pPr>
            <w:r>
              <w:rPr>
                <w:rFonts w:ascii="Times New Roman" w:hAnsi="Times New Roman" w:cs="Times New Roman"/>
              </w:rPr>
              <w:t>- анализ профессиональной квалификации и независимости всех кандидатов, номинированных в Совет директоров Общества, на основе всей доступной Комитету информации; формирование и доведение до акционеров информации о кандидатах для целей голосования по вопросу избрания кандидатов в Совет директоров Общества в составе материалов к Общему собранию акционеров;</w:t>
            </w:r>
          </w:p>
          <w:p w:rsidR="00D602D4" w:rsidRDefault="000B4C86">
            <w:pPr>
              <w:widowControl w:val="0"/>
              <w:spacing w:after="0" w:line="240" w:lineRule="auto"/>
              <w:jc w:val="both"/>
              <w:rPr>
                <w:rFonts w:ascii="Times New Roman" w:hAnsi="Times New Roman" w:cs="Times New Roman"/>
              </w:rPr>
            </w:pPr>
            <w:r>
              <w:rPr>
                <w:rFonts w:ascii="Times New Roman" w:hAnsi="Times New Roman" w:cs="Times New Roman"/>
              </w:rPr>
              <w:t>- оценка состава Совета директоров Общества с точки зрения профессиональной специализации, опыта, независимости и вовлеченности его членов в работу Совета директоров, определение приоритетных направлений для усиления состава Совета директоров Общества;</w:t>
            </w:r>
          </w:p>
          <w:p w:rsidR="00D602D4" w:rsidRDefault="000B4C86">
            <w:pPr>
              <w:jc w:val="both"/>
              <w:rPr>
                <w:rFonts w:ascii="Times New Roman" w:hAnsi="Times New Roman" w:cs="Times New Roman"/>
              </w:rPr>
            </w:pPr>
            <w:r>
              <w:rPr>
                <w:rFonts w:ascii="Times New Roman" w:hAnsi="Times New Roman" w:cs="Times New Roman"/>
              </w:rPr>
              <w:t xml:space="preserve">- ежегодное проведение детальной формализованной процедуры самооценки </w:t>
            </w:r>
            <w:r>
              <w:rPr>
                <w:rFonts w:ascii="Times New Roman" w:hAnsi="Times New Roman" w:cs="Times New Roman"/>
              </w:rPr>
              <w:lastRenderedPageBreak/>
              <w:t>или внешней оценки Совета директоров Общества и Комитетов Совета директоров Общества с позиций эффективности их работы в целом, а также индивидуального вклада членов Совета директоров в работу Совета директоров и его Комитетов, разработку рекомендаций Совету директоров Общества в отношении совершенствования процедур работы Совета директоров и его Комитетов, подготовку отчета об итогах самооценки или внешней оценки для включения в годовой отчет Общества;</w:t>
            </w:r>
          </w:p>
          <w:p w:rsidR="00D602D4" w:rsidRDefault="000B4C86">
            <w:pPr>
              <w:jc w:val="both"/>
              <w:rPr>
                <w:rFonts w:ascii="Times New Roman" w:hAnsi="Times New Roman" w:cs="Times New Roman"/>
              </w:rPr>
            </w:pPr>
            <w:r>
              <w:rPr>
                <w:rFonts w:ascii="Times New Roman" w:hAnsi="Times New Roman" w:cs="Times New Roman"/>
              </w:rPr>
              <w:t>- согласование программы вводного курса для вновь избранных членов Совета директоров Общества, направленного на ознакомление новых директоров с ключевыми активами Общества, его стратегией, деловой практикой, принятой в Обществе, организационной структурой Общества и лицами руководящего состава Общества, а также с процедурами работы Совета директоров Общества, а также осуществление надзора за практической реализацией вводного курса;</w:t>
            </w:r>
          </w:p>
          <w:p w:rsidR="00D602D4" w:rsidRDefault="000B4C86">
            <w:pPr>
              <w:jc w:val="both"/>
              <w:rPr>
                <w:rFonts w:ascii="Times New Roman" w:hAnsi="Times New Roman" w:cs="Times New Roman"/>
              </w:rPr>
            </w:pPr>
            <w:r>
              <w:rPr>
                <w:rFonts w:ascii="Times New Roman" w:hAnsi="Times New Roman" w:cs="Times New Roman"/>
              </w:rPr>
              <w:t xml:space="preserve">- ежегодное проведение детальной формализованной процедуры самооценки или внешней оценки Совета директоров Общества и Комитетов Совета директоров Общества с позиций эффективности их работы в целом, а также индивидуального вклада членов Совета директоров в работу Совета директоров и его Комитетов, разработку рекомендаций Совету </w:t>
            </w:r>
            <w:r>
              <w:rPr>
                <w:rFonts w:ascii="Times New Roman" w:hAnsi="Times New Roman" w:cs="Times New Roman"/>
              </w:rPr>
              <w:lastRenderedPageBreak/>
              <w:t>директоров Общества в отношении совершенствования процедур работы Совета директоров и его Комитетов, подготовку отчета об итогах самооценки или внешней оценки для включения в годовой отчет Общества;</w:t>
            </w:r>
          </w:p>
          <w:p w:rsidR="00D602D4" w:rsidRDefault="000B4C86">
            <w:pPr>
              <w:widowControl w:val="0"/>
              <w:spacing w:after="0" w:line="240" w:lineRule="auto"/>
              <w:jc w:val="both"/>
              <w:rPr>
                <w:rFonts w:ascii="Times New Roman" w:hAnsi="Times New Roman" w:cs="Times New Roman"/>
              </w:rPr>
            </w:pPr>
            <w:r>
              <w:rPr>
                <w:rFonts w:ascii="Times New Roman" w:hAnsi="Times New Roman" w:cs="Times New Roman"/>
              </w:rPr>
              <w:t>- подготовка рекомендаций Совету директоров Общества в отношении кандидатов на должность Корпоративного секретаря Общества;</w:t>
            </w:r>
          </w:p>
          <w:p w:rsidR="00D602D4" w:rsidRDefault="000B4C86">
            <w:pPr>
              <w:widowControl w:val="0"/>
              <w:spacing w:after="0" w:line="240" w:lineRule="auto"/>
              <w:jc w:val="both"/>
              <w:rPr>
                <w:rFonts w:ascii="Times New Roman" w:hAnsi="Times New Roman" w:cs="Times New Roman"/>
              </w:rPr>
            </w:pPr>
            <w:r>
              <w:rPr>
                <w:rFonts w:ascii="Times New Roman" w:hAnsi="Times New Roman" w:cs="Times New Roman"/>
              </w:rPr>
              <w:t>- согласование программы обучения и повышения квалификации для членов Совета директоров Общества, учитывающей индивидуальные потребности отдельных его членов, а также надзор за практической реализацией этой программы;</w:t>
            </w:r>
          </w:p>
          <w:p w:rsidR="00D602D4" w:rsidRDefault="000B4C86">
            <w:pPr>
              <w:widowControl w:val="0"/>
              <w:spacing w:after="0" w:line="240" w:lineRule="auto"/>
              <w:jc w:val="both"/>
              <w:rPr>
                <w:rFonts w:cs="Arial"/>
                <w:b/>
                <w:szCs w:val="24"/>
              </w:rPr>
            </w:pPr>
            <w:r>
              <w:rPr>
                <w:rFonts w:ascii="Times New Roman" w:hAnsi="Times New Roman" w:cs="Times New Roman"/>
              </w:rPr>
              <w:t>- рассмотрение отчета об итогах работы Комитета для размещения на сайте Общества</w:t>
            </w:r>
            <w:r>
              <w:rPr>
                <w:rFonts w:cs="Arial"/>
                <w:b/>
                <w:szCs w:val="24"/>
              </w:rPr>
              <w:t>;</w:t>
            </w:r>
          </w:p>
          <w:p w:rsidR="00D602D4" w:rsidRDefault="00D602D4">
            <w:pPr>
              <w:jc w:val="both"/>
              <w:rPr>
                <w:rFonts w:ascii="Times New Roman" w:hAnsi="Times New Roman" w:cs="Times New Roman"/>
              </w:rPr>
            </w:pPr>
          </w:p>
          <w:p w:rsidR="00D602D4" w:rsidRDefault="000B4C86">
            <w:pPr>
              <w:ind w:firstLine="364"/>
              <w:jc w:val="both"/>
              <w:rPr>
                <w:rFonts w:ascii="Times New Roman" w:hAnsi="Times New Roman" w:cs="Times New Roman"/>
              </w:rPr>
            </w:pPr>
            <w:r>
              <w:rPr>
                <w:rFonts w:ascii="Times New Roman" w:hAnsi="Times New Roman" w:cs="Times New Roman"/>
              </w:rPr>
              <w:t xml:space="preserve">По мнению Общества, перечень задач, установленных в Положение о Комитете по кадрам и вознаграждениям является исчерпывающим и достаточным.  </w:t>
            </w:r>
          </w:p>
          <w:p w:rsidR="00D602D4" w:rsidRDefault="000B4C86">
            <w:pPr>
              <w:ind w:firstLine="364"/>
              <w:jc w:val="both"/>
              <w:rPr>
                <w:rFonts w:ascii="Times New Roman" w:hAnsi="Times New Roman" w:cs="Times New Roman"/>
              </w:rPr>
            </w:pPr>
            <w:r>
              <w:rPr>
                <w:rFonts w:ascii="Times New Roman" w:hAnsi="Times New Roman" w:cs="Times New Roman"/>
              </w:rPr>
              <w:t xml:space="preserve"> С учетом этого Общество больше не планирует внесение изменений в Положение о Комитете по кадрам и вознаграждениям Общества. </w:t>
            </w:r>
          </w:p>
          <w:p w:rsidR="00D602D4" w:rsidRDefault="000B4C86">
            <w:pPr>
              <w:jc w:val="both"/>
              <w:rPr>
                <w:rFonts w:ascii="Times New Roman" w:hAnsi="Times New Roman" w:cs="Times New Roman"/>
              </w:rPr>
            </w:pPr>
            <w:r>
              <w:rPr>
                <w:rFonts w:ascii="Times New Roman" w:hAnsi="Times New Roman" w:cs="Times New Roman"/>
              </w:rPr>
              <w:t>Критерий 3 не соблюдается.</w:t>
            </w:r>
          </w:p>
          <w:p w:rsidR="00D602D4" w:rsidRDefault="000B4C86">
            <w:pPr>
              <w:pStyle w:val="affa"/>
              <w:jc w:val="both"/>
              <w:rPr>
                <w:sz w:val="22"/>
                <w:szCs w:val="22"/>
              </w:rPr>
            </w:pPr>
            <w:r>
              <w:rPr>
                <w:sz w:val="22"/>
                <w:szCs w:val="22"/>
              </w:rPr>
              <w:t xml:space="preserve">Существующая структура акционерного капитала компании позволяет только трем крупным акционерам компании  самостоятельно выдвигать кандидатов в </w:t>
            </w:r>
            <w:r>
              <w:rPr>
                <w:sz w:val="22"/>
                <w:szCs w:val="22"/>
              </w:rPr>
              <w:lastRenderedPageBreak/>
              <w:t xml:space="preserve">члены Совета директоров Общества. </w:t>
            </w:r>
          </w:p>
          <w:p w:rsidR="00D602D4" w:rsidRDefault="000B4C86">
            <w:pPr>
              <w:pStyle w:val="affa"/>
              <w:jc w:val="both"/>
            </w:pPr>
            <w:r>
              <w:rPr>
                <w:sz w:val="22"/>
                <w:szCs w:val="22"/>
              </w:rPr>
              <w:t>При этом выдвигаемые кандидаты в члены Совета директоров Общества способствуют формированию Совета директоров наиболее полно отвечающего целям и задачам Общества.</w:t>
            </w:r>
          </w:p>
          <w:p w:rsidR="00D602D4" w:rsidRDefault="000B4C86">
            <w:pPr>
              <w:jc w:val="both"/>
              <w:rPr>
                <w:rFonts w:ascii="Times New Roman" w:hAnsi="Times New Roman" w:cs="Times New Roman"/>
              </w:rPr>
            </w:pPr>
            <w:r>
              <w:rPr>
                <w:rFonts w:ascii="Times New Roman" w:hAnsi="Times New Roman" w:cs="Times New Roman"/>
              </w:rPr>
              <w:t xml:space="preserve">В целях соблюдения данного критерия Общество Советом директоров Общества в 2022 году утверждена Политика обеспечения преемственности Совета директоров ПАО «Россети Сибирь» (протокол  от 15.04.2022 № 455/22). </w:t>
            </w:r>
          </w:p>
          <w:p w:rsidR="00D602D4" w:rsidRDefault="000B4C86">
            <w:pPr>
              <w:jc w:val="both"/>
              <w:rPr>
                <w:rFonts w:ascii="Times New Roman" w:hAnsi="Times New Roman" w:cs="Times New Roman"/>
              </w:rPr>
            </w:pPr>
            <w:r>
              <w:rPr>
                <w:rFonts w:ascii="Times New Roman" w:hAnsi="Times New Roman" w:cs="Times New Roman"/>
              </w:rPr>
              <w:t>Общество будет в 2025 году стремится к соблюдению данной рекомендации путем проведения работы с Советом директоров Общества о  необходимости выдвижения в состав Совета директоров Общества дополнительных кандидатов.</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2.8.4</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С учетом масштабов деятельности и уровня риска совет директоров общества удостоверился в том, что состав его комитетов полностью отвечает целям деятельности общества. Дополнительные комитеты либо были сформированы, либо не были признаны необходимыми (комитет по стратегии, комитет по корпоративному управлению, комитет по этике, комитет по </w:t>
            </w:r>
            <w:r>
              <w:rPr>
                <w:rFonts w:ascii="Times New Roman" w:hAnsi="Times New Roman" w:cs="Times New Roman"/>
              </w:rPr>
              <w:lastRenderedPageBreak/>
              <w:t>управлению рисками, комитет по бюджету, комитет по здоровью, безопасности и окружающей среде и др.)</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1. В отчетном периоде совет директоров общества рассмотрел вопрос о соответствии структуры совета директоров масштабу и характеру, целям деятельности и потребностям, профилю рисков общества. Дополнительные комитеты либо были сформированы, либо не были признаны необходимыми</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Times New Roman" w:hAnsi="Times New Roman" w:cs="Times New Roman"/>
              </w:rPr>
              <w:t xml:space="preserve">  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Times New Roman" w:hAnsi="Times New Roman" w:cs="Times New Roman"/>
              </w:rPr>
              <w:t xml:space="preserve"> не соблюдается</w:t>
            </w:r>
          </w:p>
        </w:tc>
        <w:tc>
          <w:tcPr>
            <w:tcW w:w="4385" w:type="dxa"/>
          </w:tcPr>
          <w:p w:rsidR="00D602D4" w:rsidRDefault="00D602D4"/>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2.8.5</w:t>
            </w:r>
          </w:p>
        </w:tc>
        <w:tc>
          <w:tcPr>
            <w:tcW w:w="2835" w:type="dxa"/>
          </w:tcPr>
          <w:p w:rsidR="00D602D4" w:rsidRDefault="000B4C86">
            <w:pPr>
              <w:rPr>
                <w:rFonts w:ascii="Times New Roman" w:hAnsi="Times New Roman" w:cs="Times New Roman"/>
              </w:rPr>
            </w:pPr>
            <w:r>
              <w:rPr>
                <w:rFonts w:ascii="Times New Roman" w:hAnsi="Times New Roman" w:cs="Times New Roman"/>
              </w:rPr>
              <w:t>Состав комитетов определен таким образом, чтобы он позволял проводить всестороннее обсуждение предварительно рассматриваемых вопросов с учетом различных мнений</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Комитет по аудиту, комитет по вознаграждениям, комитет по номинациям (или соответствующий комитет с совмещенным функционалом) в отчетном периоде возглавлялись независимыми директорами.</w:t>
            </w:r>
          </w:p>
          <w:p w:rsidR="00D602D4" w:rsidRDefault="000B4C86">
            <w:pPr>
              <w:jc w:val="both"/>
              <w:rPr>
                <w:rFonts w:ascii="Times New Roman" w:hAnsi="Times New Roman" w:cs="Times New Roman"/>
              </w:rPr>
            </w:pPr>
            <w:r>
              <w:rPr>
                <w:rFonts w:ascii="Times New Roman" w:hAnsi="Times New Roman" w:cs="Times New Roman"/>
              </w:rPr>
              <w:t>2. Во внутренних документах (политиках) общества предусмотрены положения, в соответствии с которыми лица, не входящие в состав комитета по аудиту, комитета по номинациям (или соответствующий комитет с совмещенным функционалом) и комитета по вознаграждениям, могут посещать заседания комитетов только по приглашению председателя соответствующего комитета</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0B4C86">
            <w:pPr>
              <w:jc w:val="both"/>
              <w:rPr>
                <w:rFonts w:ascii="Times New Roman" w:hAnsi="Times New Roman" w:cs="Times New Roman"/>
              </w:rPr>
            </w:pPr>
            <w:r>
              <w:rPr>
                <w:rFonts w:ascii="Times New Roman" w:hAnsi="Times New Roman" w:cs="Times New Roman"/>
              </w:rPr>
              <w:t>Критерий 1 частично не соблюдается (в части комитета по кадрам и вознаграждениям).</w:t>
            </w:r>
          </w:p>
          <w:p w:rsidR="00D602D4" w:rsidRDefault="000B4C86">
            <w:pPr>
              <w:jc w:val="both"/>
              <w:rPr>
                <w:rFonts w:ascii="Times New Roman" w:hAnsi="Times New Roman" w:cs="Times New Roman"/>
              </w:rPr>
            </w:pPr>
            <w:r>
              <w:rPr>
                <w:rFonts w:ascii="Times New Roman" w:hAnsi="Times New Roman" w:cs="Times New Roman"/>
              </w:rPr>
              <w:t>Информацию о соблюдении критерия 1 представлена в пунктах 2.8.1., 2.8.2.</w:t>
            </w:r>
          </w:p>
          <w:p w:rsidR="00D602D4" w:rsidRDefault="000B4C86">
            <w:pPr>
              <w:jc w:val="both"/>
              <w:rPr>
                <w:rFonts w:ascii="Times New Roman" w:hAnsi="Times New Roman" w:cs="Times New Roman"/>
              </w:rPr>
            </w:pPr>
            <w:r>
              <w:rPr>
                <w:rFonts w:ascii="Times New Roman" w:hAnsi="Times New Roman" w:cs="Times New Roman"/>
              </w:rPr>
              <w:t>Критерий 2 соблюдается.</w:t>
            </w:r>
          </w:p>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2.8.6</w:t>
            </w:r>
          </w:p>
        </w:tc>
        <w:tc>
          <w:tcPr>
            <w:tcW w:w="2835" w:type="dxa"/>
          </w:tcPr>
          <w:p w:rsidR="00D602D4" w:rsidRDefault="000B4C86">
            <w:pPr>
              <w:rPr>
                <w:rFonts w:ascii="Times New Roman" w:hAnsi="Times New Roman" w:cs="Times New Roman"/>
              </w:rPr>
            </w:pPr>
            <w:r>
              <w:rPr>
                <w:rFonts w:ascii="Times New Roman" w:hAnsi="Times New Roman" w:cs="Times New Roman"/>
              </w:rPr>
              <w:t>Председатели комитетов регулярно информируют совет директоров и его председателя о работе своих комитетов</w:t>
            </w:r>
          </w:p>
        </w:tc>
        <w:tc>
          <w:tcPr>
            <w:tcW w:w="4399" w:type="dxa"/>
          </w:tcPr>
          <w:p w:rsidR="00D602D4" w:rsidRDefault="000B4C86">
            <w:pPr>
              <w:rPr>
                <w:rFonts w:ascii="Times New Roman" w:hAnsi="Times New Roman" w:cs="Times New Roman"/>
              </w:rPr>
            </w:pPr>
            <w:r>
              <w:rPr>
                <w:rFonts w:ascii="Times New Roman" w:hAnsi="Times New Roman" w:cs="Times New Roman"/>
              </w:rPr>
              <w:t>1. В течение отчетного периода председатели комитетов регулярно отчитывались о работе комитетов перед советом директоров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2.9</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Совет директоров обеспечивает проведение оценки качества работы совета директоров, его комитетов и членов совета директоров</w:t>
            </w:r>
          </w:p>
        </w:tc>
      </w:tr>
      <w:tr w:rsidR="00D602D4">
        <w:trPr>
          <w:trHeight w:val="1417"/>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2.9.1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Проведение оценки качества работы совета директоров направлено на определение степени эффективности работы совета директоров, комитетов и членов совета директоров, соответствия их работы потребностям развития общества, активизацию работы совета директоров и выявление областей, в которых их деятельность может быть улучшена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Во внутренних документах общества определены процедуры проведения оценки (самооценки) качества работы совета директоров.</w:t>
            </w:r>
          </w:p>
          <w:p w:rsidR="00D602D4" w:rsidRDefault="000B4C86">
            <w:pPr>
              <w:jc w:val="both"/>
              <w:rPr>
                <w:rFonts w:ascii="Times New Roman" w:hAnsi="Times New Roman" w:cs="Times New Roman"/>
              </w:rPr>
            </w:pPr>
            <w:r>
              <w:rPr>
                <w:rFonts w:ascii="Times New Roman" w:hAnsi="Times New Roman" w:cs="Times New Roman"/>
              </w:rPr>
              <w:t>2. Оценка (самооценка) качества работы совета директоров, проведенная в отчетном периоде, включала оценку работы комитетов, индивидуальную оценку каждого члена совета директоров и совета директоров в целом.</w:t>
            </w:r>
          </w:p>
          <w:p w:rsidR="00D602D4" w:rsidRDefault="000B4C86">
            <w:pPr>
              <w:jc w:val="both"/>
              <w:rPr>
                <w:rFonts w:ascii="Times New Roman" w:hAnsi="Times New Roman" w:cs="Times New Roman"/>
              </w:rPr>
            </w:pPr>
            <w:r>
              <w:rPr>
                <w:rFonts w:ascii="Times New Roman" w:hAnsi="Times New Roman" w:cs="Times New Roman"/>
              </w:rPr>
              <w:t>3. Результаты оценки (самооценки) качества работы совета директоров, проведенной в течение отчетного периода, были рассмотрены на очном заседании совета директоров</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0B4C86">
            <w:pPr>
              <w:jc w:val="both"/>
              <w:rPr>
                <w:rFonts w:ascii="Times New Roman" w:hAnsi="Times New Roman" w:cs="Times New Roman"/>
              </w:rPr>
            </w:pPr>
            <w:r>
              <w:rPr>
                <w:rFonts w:ascii="Times New Roman" w:hAnsi="Times New Roman" w:cs="Times New Roman"/>
              </w:rPr>
              <w:t>Критерии 1 и 2 соблюдаются.</w:t>
            </w:r>
          </w:p>
          <w:p w:rsidR="00D602D4" w:rsidRDefault="00D602D4">
            <w:pPr>
              <w:jc w:val="both"/>
              <w:rPr>
                <w:rFonts w:ascii="Times New Roman" w:hAnsi="Times New Roman" w:cs="Times New Roman"/>
              </w:rPr>
            </w:pPr>
          </w:p>
          <w:p w:rsidR="00D602D4" w:rsidRDefault="000B4C86">
            <w:pPr>
              <w:jc w:val="both"/>
              <w:rPr>
                <w:rFonts w:ascii="Times New Roman" w:hAnsi="Times New Roman" w:cs="Times New Roman"/>
              </w:rPr>
            </w:pPr>
            <w:r>
              <w:rPr>
                <w:rFonts w:ascii="Times New Roman" w:hAnsi="Times New Roman" w:cs="Times New Roman"/>
              </w:rPr>
              <w:t>Критерий 3 не соблюдается.</w:t>
            </w:r>
          </w:p>
          <w:p w:rsidR="00D602D4" w:rsidRDefault="000B4C86">
            <w:pPr>
              <w:jc w:val="both"/>
              <w:rPr>
                <w:rFonts w:ascii="Times New Roman" w:hAnsi="Times New Roman" w:cs="Times New Roman"/>
              </w:rPr>
            </w:pPr>
            <w:r>
              <w:rPr>
                <w:rFonts w:ascii="Times New Roman" w:hAnsi="Times New Roman" w:cs="Times New Roman"/>
              </w:rPr>
              <w:t xml:space="preserve">Обществом в отчетном периоде произведена самооценка эффективности работы Совета директоров и Комитетов Совета директоров, а также каждого члена Совета директоров Общества. </w:t>
            </w:r>
          </w:p>
          <w:p w:rsidR="00D602D4" w:rsidRDefault="000B4C86">
            <w:pPr>
              <w:jc w:val="both"/>
              <w:rPr>
                <w:rFonts w:ascii="Times New Roman" w:hAnsi="Times New Roman" w:cs="Times New Roman"/>
              </w:rPr>
            </w:pPr>
            <w:r>
              <w:rPr>
                <w:rFonts w:ascii="Times New Roman" w:hAnsi="Times New Roman" w:cs="Times New Roman"/>
              </w:rPr>
              <w:t>Результаты проведенной самооценки работы Совета директоров, Комитетов Совета директоров и индивидуальной оценки членов Совета директоров за 2023-2024 корпоративный год  рассмотрены Советом директоров Общества  16.12.2024 (протокол от 19.12.2024 № 541/24).</w:t>
            </w:r>
          </w:p>
          <w:p w:rsidR="00D602D4" w:rsidRDefault="000B4C86">
            <w:pPr>
              <w:jc w:val="both"/>
              <w:rPr>
                <w:rFonts w:ascii="Times New Roman" w:hAnsi="Times New Roman" w:cs="Times New Roman"/>
              </w:rPr>
            </w:pPr>
            <w:r>
              <w:rPr>
                <w:rFonts w:ascii="Times New Roman" w:hAnsi="Times New Roman" w:cs="Times New Roman"/>
              </w:rPr>
              <w:t xml:space="preserve">В соответствии с п. 6.12. Положения О Совете директоров Общества форма проведения заседания Совета директоров определяется Председателем Совета директоров Общества с учетом важности вопросов повестки дня. Наиболее важные вопросы должны решаться на заседаниях, проводимых в очной форме. </w:t>
            </w:r>
          </w:p>
          <w:p w:rsidR="00D602D4" w:rsidRDefault="000B4C86">
            <w:pPr>
              <w:jc w:val="both"/>
              <w:rPr>
                <w:rFonts w:ascii="Times New Roman" w:hAnsi="Times New Roman" w:cs="Times New Roman"/>
              </w:rPr>
            </w:pPr>
            <w:r>
              <w:rPr>
                <w:rFonts w:ascii="Times New Roman" w:hAnsi="Times New Roman" w:cs="Times New Roman"/>
              </w:rPr>
              <w:t xml:space="preserve">Несоблюдение данного критерия является ограниченным во времени. </w:t>
            </w:r>
          </w:p>
          <w:p w:rsidR="00D602D4" w:rsidRDefault="000B4C86">
            <w:pPr>
              <w:jc w:val="both"/>
              <w:rPr>
                <w:rFonts w:ascii="Times New Roman" w:hAnsi="Times New Roman" w:cs="Times New Roman"/>
              </w:rPr>
            </w:pPr>
            <w:r>
              <w:rPr>
                <w:rFonts w:ascii="Times New Roman" w:hAnsi="Times New Roman" w:cs="Times New Roman"/>
              </w:rPr>
              <w:t xml:space="preserve">В 2025 году Общество планирует рассмотреть результаты самооценки работы Совета директоров и Комитетов Общества за 2024-2025 корпоративный год на очном заседании Совета директоров Общества (в случае принятия соответствующего решения </w:t>
            </w:r>
            <w:r>
              <w:rPr>
                <w:rFonts w:ascii="Times New Roman" w:hAnsi="Times New Roman" w:cs="Times New Roman"/>
              </w:rPr>
              <w:lastRenderedPageBreak/>
              <w:t xml:space="preserve">Председателем Совета директоров). </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2.9.2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Оценка работы совета директоров, комитетов и членов совета директоров осуществляется на регулярной основе не реже одного раза в год. Для проведения независимой оценки качества работы совета директоров не реже одного раза в три года привлекается внешняя организация (консультант)</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Для проведения независимой оценки качества работы совета директоров в течение трех последних отчетных периодов по меньшей мере один раз обществом привлекалась внешняя организация (консультант)</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не соблюдается</w:t>
            </w:r>
          </w:p>
        </w:tc>
        <w:tc>
          <w:tcPr>
            <w:tcW w:w="4385" w:type="dxa"/>
          </w:tcPr>
          <w:p w:rsidR="00D602D4" w:rsidRDefault="000B4C86">
            <w:pPr>
              <w:ind w:firstLine="425"/>
              <w:jc w:val="both"/>
              <w:rPr>
                <w:rFonts w:ascii="Times New Roman" w:hAnsi="Times New Roman" w:cs="Times New Roman"/>
              </w:rPr>
            </w:pPr>
            <w:r>
              <w:rPr>
                <w:rFonts w:ascii="Times New Roman" w:hAnsi="Times New Roman" w:cs="Times New Roman"/>
              </w:rPr>
              <w:t xml:space="preserve">В 2020 году проведена независимая оценка эффективности работы Совета директоров и Комитетов Совета директоров Общества за 2019-2020 корпоративный год. Результаты Оценки рассмотрены на заседании Комитета по кадрам и вознаграждениям 18.12.2020 (протокол от 21.12.2020 № 123) и заседании Совета директоров Общества 22.12.2020 (протокол от 24.12.2020 № 399/20). Независимым консультантом, осуществившим проведение Оценки, выступило Акционерное общество «Независимая регистраторская компания Р.О.С.Т.».  </w:t>
            </w:r>
          </w:p>
          <w:p w:rsidR="00D602D4" w:rsidRDefault="000B4C86">
            <w:pPr>
              <w:ind w:firstLine="425"/>
              <w:jc w:val="both"/>
              <w:rPr>
                <w:rFonts w:ascii="Times New Roman" w:hAnsi="Times New Roman" w:cs="Times New Roman"/>
                <w:sz w:val="25"/>
                <w:szCs w:val="25"/>
              </w:rPr>
            </w:pPr>
            <w:r>
              <w:rPr>
                <w:rFonts w:ascii="Times New Roman" w:hAnsi="Times New Roman" w:cs="Times New Roman"/>
              </w:rPr>
              <w:t>Принимая во внимание текущую экономическую ситуацию в Обществе, в целях экономии денежных средств,  было принято решение о проведении оценки эффективности работы Совета директоров ПАО «Россети Сибирь» и Комитетов Совета директоров ПАО «Россети Сибирь» по итогам 2023-2024 корпоративного года в форме самооценки.</w:t>
            </w:r>
          </w:p>
          <w:p w:rsidR="00D602D4" w:rsidRDefault="000B4C86">
            <w:pPr>
              <w:ind w:firstLine="425"/>
              <w:jc w:val="both"/>
              <w:rPr>
                <w:rFonts w:ascii="Times New Roman" w:hAnsi="Times New Roman" w:cs="Times New Roman"/>
              </w:rPr>
            </w:pPr>
            <w:r>
              <w:rPr>
                <w:rFonts w:ascii="Times New Roman" w:hAnsi="Times New Roman" w:cs="Times New Roman"/>
              </w:rPr>
              <w:t>Общество планирует привлечь независимого консультанта для проведения оценки работы Совета директоров и Комитетов Совета директоров Общества в 2025 году в случае  улучшения финансово-</w:t>
            </w:r>
            <w:r>
              <w:rPr>
                <w:rFonts w:ascii="Times New Roman" w:hAnsi="Times New Roman" w:cs="Times New Roman"/>
              </w:rPr>
              <w:lastRenderedPageBreak/>
              <w:t>экономической ситуации в Обществе.</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3.1</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Корпоративный секретарь общества обеспечивает эффективное текущее взаимодействие с акционерами, координацию действий общества по защите прав и интересов акционеров, поддержку эффективной работы совета директоров</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3.1.1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Корпоративный секретарь обладает знаниями, опытом и квалификацией, достаточными для исполнения возложенных на него обязанностей, безупречной репутацией и пользуется доверием акционеров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На сайте общества в сети Интернет и в годовом отчете представлена биографическая информация о корпоративном секретаре (включая сведения о возрасте, образовании, квалификации, опыте), а также сведения о должностях в органах управления иных юридических лиц, занимаемых корпоративным секретарем в течение не менее чем пяти последних лет</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3.1.2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Корпоративный секретарь обладает достаточной независимостью от исполнительных органов общества и имеет необходимые полномочия и ресурсы для выполнения поставленных перед ним задач</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обществе принят и раскрыт внутренний документ - положение о корпоративном секретаре.</w:t>
            </w:r>
          </w:p>
          <w:p w:rsidR="00D602D4" w:rsidRDefault="000B4C86">
            <w:pPr>
              <w:jc w:val="both"/>
              <w:rPr>
                <w:rFonts w:ascii="Times New Roman" w:hAnsi="Times New Roman" w:cs="Times New Roman"/>
              </w:rPr>
            </w:pPr>
            <w:r>
              <w:rPr>
                <w:rFonts w:ascii="Times New Roman" w:hAnsi="Times New Roman" w:cs="Times New Roman"/>
              </w:rPr>
              <w:t>2. Совет директоров утверждает кандидатуру на должность корпоративного секретаря и прекращает его полномочия, рассматривает вопрос о выплате ему дополнительного вознаграждения.</w:t>
            </w:r>
          </w:p>
          <w:p w:rsidR="00D602D4" w:rsidRDefault="000B4C86">
            <w:pPr>
              <w:jc w:val="both"/>
              <w:rPr>
                <w:rFonts w:ascii="Times New Roman" w:hAnsi="Times New Roman" w:cs="Times New Roman"/>
              </w:rPr>
            </w:pPr>
            <w:r>
              <w:rPr>
                <w:rFonts w:ascii="Times New Roman" w:hAnsi="Times New Roman" w:cs="Times New Roman"/>
              </w:rPr>
              <w:t>3. Во внутренних документах общества закреплено право корпоративного секретаря запрашивать, получать документы общества и информацию у органов управления, структурных подразделений и должностных лиц общества</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4.1</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 xml:space="preserve">Уровень выплачиваемого обществом вознаграждения достаточен для привлечения, мотивации и удержания лиц, обладающих необходимой для общества компетенцией и квалификацией. Выплата вознаграждения членам совета директоров, исполнительным органам и иным ключевым </w:t>
            </w:r>
            <w:r>
              <w:rPr>
                <w:rFonts w:ascii="Times New Roman" w:hAnsi="Times New Roman" w:cs="Times New Roman"/>
              </w:rPr>
              <w:lastRenderedPageBreak/>
              <w:t>руководящим работникам общества осуществляется в соответствии с принятой в обществе политикой по вознаграждению</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4.1.1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Уровень вознаграждения, предоставляемого обществом членам совета директоров, исполнительным органам и иным ключевым руководящим работникам, создает достаточную мотивацию для их эффективной работы, позволяя обществу привлекать и удерживать компетентных и квалифицированных специалистов. При этом общество избегает большего, чем это необходимо, уровня вознаграждения, а также неоправданно большого разрыва между уровнями вознаграждения указанных лиц и работников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Вознаграждение членов совета директоров, исполнительных органов и иных ключевых руководящих работников общества определено с учетом результатов сравнительного анализа уровня вознаграждения в сопоставимых компаниях</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4.1.2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Политика общества по вознаграждению разработана комитетом по вознаграждениям и утверждена советом директоров общества. Совет директоров при поддержке комитета по </w:t>
            </w:r>
            <w:r>
              <w:rPr>
                <w:rFonts w:ascii="Times New Roman" w:hAnsi="Times New Roman" w:cs="Times New Roman"/>
              </w:rPr>
              <w:lastRenderedPageBreak/>
              <w:t>вознаграждениям обеспечивает контроль за внедрением и реализацией в обществе политики по вознаграждению, а при необходимости - пересматривает и вносит в нее коррективы</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В течение отчетного периода комитет по вознаграждениям рассмотрел политику (политики) по вознаграждениям и (или) практику ее (их) внедрения, осуществил оценку их эффективности и прозрачности и при необходимости представил соответствующие рекомендации совету директоров по пересмотру указанной </w:t>
            </w:r>
            <w:r>
              <w:rPr>
                <w:rFonts w:ascii="Times New Roman" w:hAnsi="Times New Roman" w:cs="Times New Roman"/>
              </w:rPr>
              <w:lastRenderedPageBreak/>
              <w:t>политики (политик).</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4.1.3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Политика общества по вознаграждению содержит прозрачные механизмы определения размера вознаграждения членов совета директоров, исполнительных органов и иных ключевых руководящих работников общества, а также регламентирует все виды выплат, льгот и привилегий, предоставляемых указанным лицам</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Политика (политики) общества по вознаграждению содержит (содержат) прозрачные механизмы определения размера вознаграждения членов совета директоров, исполнительных органов и иных ключевых руководящих работников общества, а также регламентирует (регламентируют) все виды выплат, льгот и привилегий, предоставляемых указанным лицам</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4.1.4</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Общество определяет политику возмещения расходов (компенсаций), конкретизирующую перечень расходов, подлежащих возмещению, и уровень обслуживания, на который могут претендовать члены совета директоров, </w:t>
            </w:r>
            <w:r>
              <w:rPr>
                <w:rFonts w:ascii="Times New Roman" w:hAnsi="Times New Roman" w:cs="Times New Roman"/>
              </w:rPr>
              <w:lastRenderedPageBreak/>
              <w:t>исполнительные органы и иные ключевые руководящие работники общества. Такая политика может быть составной частью политики общества по вознаграждению</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1. В политике (политиках) по вознаграждению или в иных внутренних документах общества установлены правила возмещения расходов членов совета директоров, исполнительных органов и иных ключевых руководящих работников общества</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4.2</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Система вознаграждения членов совета директоров обеспечивает сближение финансовых интересов директоров с долгосрочными финансовыми интересами акционеров</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4.2.1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Общество выплачивает фиксированное годовое вознаграждение членам совета директоров. Общество не выплачивает вознаграждение за участие в отдельных заседаниях совета или комитетов совета директоров.</w:t>
            </w:r>
          </w:p>
          <w:p w:rsidR="00D602D4" w:rsidRDefault="000B4C86">
            <w:pPr>
              <w:jc w:val="both"/>
              <w:rPr>
                <w:rFonts w:ascii="Times New Roman" w:hAnsi="Times New Roman" w:cs="Times New Roman"/>
              </w:rPr>
            </w:pPr>
            <w:r>
              <w:rPr>
                <w:rFonts w:ascii="Times New Roman" w:hAnsi="Times New Roman" w:cs="Times New Roman"/>
              </w:rPr>
              <w:t>Общество не применяет формы краткосрочной мотивации и дополнительного материального стимулирования в отношении членов совета директоров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отчетном периоде общество выплачивало вознаграждение членам совета директоров в соответствии с принятой в обществе политикой по вознаграждению.</w:t>
            </w:r>
          </w:p>
          <w:p w:rsidR="00D602D4" w:rsidRDefault="000B4C86">
            <w:pPr>
              <w:jc w:val="both"/>
              <w:rPr>
                <w:rFonts w:ascii="Times New Roman" w:hAnsi="Times New Roman" w:cs="Times New Roman"/>
              </w:rPr>
            </w:pPr>
            <w:r>
              <w:rPr>
                <w:rFonts w:ascii="Times New Roman" w:hAnsi="Times New Roman" w:cs="Times New Roman"/>
              </w:rPr>
              <w:t>2. В отчетном периоде обществом в отношении членов совета директоров не применялись формы краткосрочной мотивации, дополнительного материального стимулирования, выплата которого зависит от результатов (показателей) деятельности общества. Выплата вознаграждения за участие в отдельных заседаниях совета или комитетов совета директоров не осуществлялась.</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4.2.2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Долгосрочное владение акциями общества в наибольшей степени способствует сближению </w:t>
            </w:r>
            <w:r>
              <w:rPr>
                <w:rFonts w:ascii="Times New Roman" w:hAnsi="Times New Roman" w:cs="Times New Roman"/>
              </w:rPr>
              <w:lastRenderedPageBreak/>
              <w:t>финансовых интересов членов совета директоров с долгосрочными интересами акционеров. При этом общество не обуславливает права реализации акций достижением определенных показателей деятельности, а члены совета директоров не участвуют в опционных программах</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Если внутренний документ (документы) - политика (политики) по вознаграждению общества - предусматривает (предусматривают) предоставление акций </w:t>
            </w:r>
            <w:r>
              <w:rPr>
                <w:rFonts w:ascii="Times New Roman" w:hAnsi="Times New Roman" w:cs="Times New Roman"/>
              </w:rPr>
              <w:lastRenderedPageBreak/>
              <w:t>общества членам совета директоров, должны быть предусмотрены и раскрыты четкие правила владения акциями членами совета директоров, нацеленные на стимулирование долгосрочного владения такими акциями</w:t>
            </w:r>
          </w:p>
        </w:tc>
        <w:tc>
          <w:tcPr>
            <w:tcW w:w="2484" w:type="dxa"/>
          </w:tcPr>
          <w:p w:rsidR="00D602D4" w:rsidRDefault="000B4C86">
            <w:pPr>
              <w:rPr>
                <w:rFonts w:ascii="Times New Roman" w:hAnsi="Times New Roman" w:cs="Times New Roman"/>
              </w:rPr>
            </w:pPr>
            <w:r>
              <w:rPr>
                <w:rFonts w:ascii="Webdings" w:eastAsia="Webdings" w:hAnsi="Webdings" w:cs="Webdings"/>
              </w:rPr>
              <w:lastRenderedPageBreak/>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lastRenderedPageBreak/>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Оценка соответствия критерию в настоящем пункте не может быть дана, так как внутренний документ (документы) – политика (политики) по вознаграждению </w:t>
            </w:r>
            <w:r>
              <w:rPr>
                <w:rFonts w:ascii="Times New Roman" w:hAnsi="Times New Roman" w:cs="Times New Roman"/>
              </w:rPr>
              <w:lastRenderedPageBreak/>
              <w:t>членов Совета директоров Общества не предусматривает (не предусматривают) предоставление акций Общества членам Совета директоров.</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4.2.3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В обществе не предусмотрены какие-либо дополнительные выплаты или компенсации в случае досрочного прекращения полномочий членов совета директоров в связи с переходом контроля над обществом или иными обстоятельствами</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обществе не предусмотрены какие-либо дополнительные выплаты или компенсации в случае досрочного прекращения полномочий членов совета директоров в связи с переходом контроля над обществом или иными обстоятельствами</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Times New Roman" w:hAnsi="Times New Roman" w:cs="Times New Roman"/>
              </w:rPr>
              <w:t xml:space="preserve">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4.3</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Система вознаграждения членов исполнительных органов и иных ключевых руководящих работников общества предусматривает зависимость вознаграждения от результата работы общества и их личного вклада в достижение этого результата</w:t>
            </w:r>
          </w:p>
        </w:tc>
      </w:tr>
      <w:tr w:rsidR="00D602D4">
        <w:trPr>
          <w:trHeight w:val="170"/>
        </w:trPr>
        <w:tc>
          <w:tcPr>
            <w:tcW w:w="779" w:type="dxa"/>
            <w:tcBorders>
              <w:bottom w:val="none" w:sz="4" w:space="0" w:color="000000"/>
            </w:tcBorders>
          </w:tcPr>
          <w:p w:rsidR="00D602D4" w:rsidRDefault="000B4C86">
            <w:pPr>
              <w:rPr>
                <w:rFonts w:ascii="Times New Roman" w:hAnsi="Times New Roman" w:cs="Times New Roman"/>
              </w:rPr>
            </w:pPr>
            <w:r>
              <w:rPr>
                <w:rFonts w:ascii="Times New Roman" w:hAnsi="Times New Roman" w:cs="Times New Roman"/>
              </w:rPr>
              <w:t>4.3.1</w:t>
            </w:r>
          </w:p>
        </w:tc>
        <w:tc>
          <w:tcPr>
            <w:tcW w:w="2835" w:type="dxa"/>
            <w:tcBorders>
              <w:bottom w:val="none" w:sz="4" w:space="0" w:color="000000"/>
            </w:tcBorders>
          </w:tcPr>
          <w:p w:rsidR="00D602D4" w:rsidRDefault="000B4C86">
            <w:pPr>
              <w:jc w:val="both"/>
              <w:rPr>
                <w:rFonts w:ascii="Times New Roman" w:hAnsi="Times New Roman" w:cs="Times New Roman"/>
              </w:rPr>
            </w:pPr>
            <w:r>
              <w:rPr>
                <w:rFonts w:ascii="Times New Roman" w:hAnsi="Times New Roman" w:cs="Times New Roman"/>
              </w:rPr>
              <w:t xml:space="preserve">Вознаграждение членов исполнительных органов и иных ключевых руководящих работников общества определяется таким образом, чтобы обеспечивать разумное и обоснованное соотношение </w:t>
            </w:r>
            <w:r>
              <w:rPr>
                <w:rFonts w:ascii="Times New Roman" w:hAnsi="Times New Roman" w:cs="Times New Roman"/>
              </w:rPr>
              <w:lastRenderedPageBreak/>
              <w:t>фиксированной части вознаграждения и переменной части вознаграждения, зависящей от результатов работы общества и личного (индивидуального) вклада работника в конечный результат</w:t>
            </w:r>
          </w:p>
        </w:tc>
        <w:tc>
          <w:tcPr>
            <w:tcW w:w="4399" w:type="dxa"/>
            <w:tcBorders>
              <w:bottom w:val="none" w:sz="4" w:space="0" w:color="000000"/>
            </w:tcBorders>
          </w:tcPr>
          <w:p w:rsidR="00D602D4" w:rsidRDefault="000B4C86">
            <w:pPr>
              <w:jc w:val="both"/>
              <w:rPr>
                <w:rFonts w:ascii="Times New Roman" w:hAnsi="Times New Roman" w:cs="Times New Roman"/>
              </w:rPr>
            </w:pPr>
            <w:r>
              <w:rPr>
                <w:rFonts w:ascii="Times New Roman" w:hAnsi="Times New Roman" w:cs="Times New Roman"/>
              </w:rPr>
              <w:lastRenderedPageBreak/>
              <w:t>1. В течение отчетного периода одобренные советом директоров годовые показатели эффективности использовались при определении размера переменного вознаграждения членов исполнительных органов и иных ключевых руководящих работников общества.</w:t>
            </w:r>
          </w:p>
          <w:p w:rsidR="00D602D4" w:rsidRDefault="000B4C86">
            <w:pPr>
              <w:jc w:val="both"/>
              <w:rPr>
                <w:rFonts w:ascii="Times New Roman" w:hAnsi="Times New Roman" w:cs="Times New Roman"/>
              </w:rPr>
            </w:pPr>
            <w:r>
              <w:rPr>
                <w:rFonts w:ascii="Times New Roman" w:hAnsi="Times New Roman" w:cs="Times New Roman"/>
              </w:rPr>
              <w:lastRenderedPageBreak/>
              <w:t>2. В ходе последней проведенной оценки системы вознаграждения членов исполнительных органов и иных ключевых руководящих работников общества совет директоров (комитет по вознаграждениям) удостоверился в том, что в обществе применяется эффективное соотношение фиксированной части вознаграждения и переменной части вознаграждения.</w:t>
            </w:r>
          </w:p>
        </w:tc>
        <w:tc>
          <w:tcPr>
            <w:tcW w:w="2484" w:type="dxa"/>
            <w:tcBorders>
              <w:bottom w:val="none" w:sz="4" w:space="0" w:color="000000"/>
            </w:tcBorders>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Borders>
              <w:bottom w:val="none" w:sz="4" w:space="0" w:color="000000"/>
            </w:tcBorders>
          </w:tcPr>
          <w:p w:rsidR="00D602D4" w:rsidRDefault="00D602D4">
            <w:pPr>
              <w:rPr>
                <w:rFonts w:ascii="Times New Roman" w:hAnsi="Times New Roman" w:cs="Times New Roman"/>
              </w:rPr>
            </w:pPr>
          </w:p>
        </w:tc>
      </w:tr>
      <w:tr w:rsidR="00D602D4">
        <w:trPr>
          <w:trHeight w:val="170"/>
        </w:trPr>
        <w:tc>
          <w:tcPr>
            <w:tcW w:w="779" w:type="dxa"/>
            <w:tcBorders>
              <w:top w:val="none" w:sz="4" w:space="0" w:color="000000"/>
            </w:tcBorders>
          </w:tcPr>
          <w:p w:rsidR="00D602D4" w:rsidRDefault="00D602D4">
            <w:pPr>
              <w:rPr>
                <w:rFonts w:ascii="Times New Roman" w:hAnsi="Times New Roman" w:cs="Times New Roman"/>
              </w:rPr>
            </w:pPr>
          </w:p>
        </w:tc>
        <w:tc>
          <w:tcPr>
            <w:tcW w:w="2835" w:type="dxa"/>
            <w:tcBorders>
              <w:top w:val="none" w:sz="4" w:space="0" w:color="000000"/>
            </w:tcBorders>
          </w:tcPr>
          <w:p w:rsidR="00D602D4" w:rsidRDefault="00D602D4">
            <w:pPr>
              <w:rPr>
                <w:rFonts w:ascii="Times New Roman" w:hAnsi="Times New Roman" w:cs="Times New Roman"/>
              </w:rPr>
            </w:pPr>
          </w:p>
        </w:tc>
        <w:tc>
          <w:tcPr>
            <w:tcW w:w="4399" w:type="dxa"/>
            <w:tcBorders>
              <w:top w:val="none" w:sz="4" w:space="0" w:color="000000"/>
            </w:tcBorders>
          </w:tcPr>
          <w:p w:rsidR="00D602D4" w:rsidRDefault="000B4C86">
            <w:pPr>
              <w:jc w:val="both"/>
              <w:rPr>
                <w:rFonts w:ascii="Times New Roman" w:hAnsi="Times New Roman" w:cs="Times New Roman"/>
              </w:rPr>
            </w:pPr>
            <w:r>
              <w:rPr>
                <w:rFonts w:ascii="Times New Roman" w:hAnsi="Times New Roman" w:cs="Times New Roman"/>
              </w:rPr>
              <w:t>3. При определении размера выплачиваемого вознаграждения членам исполнительных органов и иным ключевым руководящим работникам общества учитываются риски, которое несет общество, с тем чтобы избежать создания стимулов к принятию чрезмерно рискованных управленческих решений</w:t>
            </w:r>
          </w:p>
        </w:tc>
        <w:tc>
          <w:tcPr>
            <w:tcW w:w="2484" w:type="dxa"/>
            <w:tcBorders>
              <w:top w:val="none" w:sz="4" w:space="0" w:color="000000"/>
            </w:tcBorders>
          </w:tcPr>
          <w:p w:rsidR="00D602D4" w:rsidRDefault="00D602D4">
            <w:pPr>
              <w:rPr>
                <w:rFonts w:ascii="Times New Roman" w:hAnsi="Times New Roman" w:cs="Times New Roman"/>
              </w:rPr>
            </w:pPr>
          </w:p>
        </w:tc>
        <w:tc>
          <w:tcPr>
            <w:tcW w:w="4385" w:type="dxa"/>
            <w:tcBorders>
              <w:top w:val="none" w:sz="4" w:space="0" w:color="000000"/>
            </w:tcBorders>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4.3.2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Общество внедрило программу долгосрочной мотивации членов исполнительных органов и иных ключевых руководящих работников общества с использованием акций общества (опционов или других производных финансовых инструментов, базисным активом по которым являются акции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случае, если общество внедрило программу долгосрочной мотивации для членов исполнительных органов и иных ключевых руководящих работников общества с использованием акций общества (финансовых инструментов, основанных на акциях общества), программа предусматривает, что право реализации таких акций и иных финансовых инструментов наступает не ранее чем через три года с момента их предоставления. При этом право их реализации обусловлено достижением определенных показателей деятельности общества</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Times New Roman" w:hAnsi="Times New Roman" w:cs="Times New Roman"/>
              </w:rPr>
              <w:t xml:space="preserve"> не соблюдается</w:t>
            </w:r>
          </w:p>
        </w:tc>
        <w:tc>
          <w:tcPr>
            <w:tcW w:w="4385" w:type="dxa"/>
          </w:tcPr>
          <w:p w:rsidR="00D602D4" w:rsidRDefault="000B4C86">
            <w:pPr>
              <w:jc w:val="both"/>
              <w:rPr>
                <w:rFonts w:ascii="Times New Roman" w:hAnsi="Times New Roman" w:cs="Times New Roman"/>
              </w:rPr>
            </w:pPr>
            <w:r>
              <w:rPr>
                <w:rFonts w:ascii="Times New Roman" w:hAnsi="Times New Roman" w:cs="Times New Roman"/>
              </w:rPr>
              <w:t>Оценка соответствия критерию в настоящем пункте не может быть дана, т.к. Общество не внедрило программу долгосрочной мотивации для членов исполнительных органов и иных ключевых руководящих работников общества с использованием акций общества (финансовых инструментов, основанных на акциях общества).</w:t>
            </w:r>
          </w:p>
          <w:p w:rsidR="00D602D4" w:rsidRDefault="00D602D4">
            <w:pPr>
              <w:rPr>
                <w:rFonts w:ascii="Times New Roman" w:hAnsi="Times New Roman" w:cs="Times New Roman"/>
              </w:rPr>
            </w:pPr>
          </w:p>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4.3.3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Сумма компенсации ("золотой парашют"), выплачиваемая обществом в случае досрочного прекращения полномочий членам исполнительных органов или ключевых руководящих работников по инициативе общества и при отсутствии с их стороны недобросовестных действий, не превышает двукратного размера фиксированной части годового вознаграждения</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Сумма компенсации ("золотой парашют"), выплачиваемая обществом в случае досрочного прекращения полномочий членам исполнительных органов или ключевым руководящим работникам по инициативе общества и при отсутствии с их стороны недобросовестных действий, в отчетном периоде не превышала двукратного размера фиксированной части годового вознаграждения</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5.1</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В обществе создана эффективно функционирующая система управления рисками и внутреннего контроля, направленная на обеспечение разумной уверенности в достижении поставленных перед обществом целей</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5.1.1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Советом директоров общества определены принципы и подходы к организации системы управления рисками и внутреннего контроля в обществе</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Функции различных органов управления и подразделений общества в системе управления рисками и внутреннего контроля четко определены во внутренних документах/соответствующей политике общества, одобренной советом директоров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5.1.2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Исполнительные органы общества обеспечивают создание и поддержание функционирования эффективной системы управления рисками и внутреннего контроля в </w:t>
            </w:r>
            <w:r>
              <w:rPr>
                <w:rFonts w:ascii="Times New Roman" w:hAnsi="Times New Roman" w:cs="Times New Roman"/>
              </w:rPr>
              <w:lastRenderedPageBreak/>
              <w:t>обществе</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1. Исполнительные органы общества обеспечили распределение обязанностей, полномочий, ответственности в области управления рисками и внутреннего контроля между подотчетными им руководителями (начальниками) подразделений и отделов</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5.1.3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Система управления рисками и внутреннего контроля в обществе обеспечивает объективное, справедливое и ясное представление о текущем состоянии и перспективах общества, целостность и прозрачность отчетности общества, разумность и приемлемость принимаемых обществом рисков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обществе утверждена антикоррупционная политика.</w:t>
            </w:r>
          </w:p>
          <w:p w:rsidR="00D602D4" w:rsidRDefault="000B4C86">
            <w:pPr>
              <w:jc w:val="both"/>
              <w:rPr>
                <w:rFonts w:ascii="Times New Roman" w:hAnsi="Times New Roman" w:cs="Times New Roman"/>
              </w:rPr>
            </w:pPr>
            <w:r>
              <w:rPr>
                <w:rFonts w:ascii="Times New Roman" w:hAnsi="Times New Roman" w:cs="Times New Roman"/>
              </w:rPr>
              <w:t>2. В обществе организован безопасный, конфиденциальный и доступный способ (горячая линия) информирования совета директоров или комитета совета директоров по аудиту о фактах нарушения законодательства, внутренних процедур, кодекса этики общества</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5.1.4</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Совет директоров общества предпринимает необходимые меры для того, чтобы убедиться, что действующая в обществе система управления рисками и внутреннего контроля соответствует определенным советом директоров принципам и подходам к ее организации и эффективно функционирует</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течение отчетного периода совет директоров (комитет по аудиту и (или) комитет по рискам (при наличии) организовал проведение оценки надежности и эффективности системы управления рисками и внутреннего контроля.</w:t>
            </w:r>
          </w:p>
          <w:p w:rsidR="00D602D4" w:rsidRDefault="000B4C86">
            <w:pPr>
              <w:jc w:val="both"/>
              <w:rPr>
                <w:rFonts w:ascii="Times New Roman" w:hAnsi="Times New Roman" w:cs="Times New Roman"/>
              </w:rPr>
            </w:pPr>
            <w:r>
              <w:rPr>
                <w:rFonts w:ascii="Times New Roman" w:hAnsi="Times New Roman" w:cs="Times New Roman"/>
              </w:rPr>
              <w:t>2. В отчетном периоде совет директоров рассмотрел результаты оценки надежности и эффективности системы управления рисками и внутреннего контроля общества и сведения о результатах рассмотрения включены в состав годового отчета общества</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5.2</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Для систематической независимой оценки надежности и эффективности системы управления рисками и внутреннего контроля, и практики корпоративного управления общество организовывает проведение внутреннего аудита</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5.2.1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Для проведения внутреннего аудита в </w:t>
            </w:r>
            <w:r>
              <w:rPr>
                <w:rFonts w:ascii="Times New Roman" w:hAnsi="Times New Roman" w:cs="Times New Roman"/>
              </w:rPr>
              <w:lastRenderedPageBreak/>
              <w:t>обществе создано отдельное структурное подразделение или привлечена независимая внешняя организация. Функциональная и административная подотчетность подразделения внутреннего аудита разграничены. Функционально подразделение внутреннего аудита подчиняется совету директоров</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Для проведения внутреннего аудита в обществе создано отдельное структурное </w:t>
            </w:r>
            <w:r>
              <w:rPr>
                <w:rFonts w:ascii="Times New Roman" w:hAnsi="Times New Roman" w:cs="Times New Roman"/>
              </w:rPr>
              <w:lastRenderedPageBreak/>
              <w:t>подразделение внутреннего аудита, функционально подотчетное совету директоров, или привлечена независимая внешняя организация с тем же принципом подотчетности</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lastRenderedPageBreak/>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5.2.2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Подразделение внутреннего аудита проводит оценку надежности и эффективности системы управления рисками и внутреннего контроля, а также оценку корпоративного управления, применяет общепринятые стандарты деятельности в области внутреннего аудита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отчетном периоде в рамках проведения внутреннего аудита дана оценка надежности и эффективности системы управления рисками и внутреннего контроля.</w:t>
            </w:r>
          </w:p>
          <w:p w:rsidR="00D602D4" w:rsidRDefault="000B4C86">
            <w:pPr>
              <w:jc w:val="both"/>
              <w:rPr>
                <w:rFonts w:ascii="Times New Roman" w:hAnsi="Times New Roman" w:cs="Times New Roman"/>
              </w:rPr>
            </w:pPr>
            <w:r>
              <w:rPr>
                <w:rFonts w:ascii="Times New Roman" w:hAnsi="Times New Roman" w:cs="Times New Roman"/>
              </w:rPr>
              <w:t>2. В отчетном периоде в рамках проведения внутреннего аудита дана оценка практики (отдельных практик) корпоративного управления, включая процедуры информационного взаимодействия (в том числе по вопросам внутреннего контроля и управления рисками) на всех уровнях управления общества, а также взаимодействия с заинтересованными лицами</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6.1</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Общество и его деятельность являются прозрачными для акционеров, инвесторов и иных заинтересованных лиц</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6.1.1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В обществе разработана и внедрена информационная </w:t>
            </w:r>
            <w:r>
              <w:rPr>
                <w:rFonts w:ascii="Times New Roman" w:hAnsi="Times New Roman" w:cs="Times New Roman"/>
              </w:rPr>
              <w:lastRenderedPageBreak/>
              <w:t>политика, обеспечивающая эффективное информационное взаимодействие общества, акционеров, инвесторов и иных заинтересованных лиц</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Советом директоров общества утверждена информационная политика общества, </w:t>
            </w:r>
            <w:r>
              <w:rPr>
                <w:rFonts w:ascii="Times New Roman" w:hAnsi="Times New Roman" w:cs="Times New Roman"/>
              </w:rPr>
              <w:lastRenderedPageBreak/>
              <w:t xml:space="preserve">разработанная с учетом рекомендаций </w:t>
            </w:r>
            <w:hyperlink r:id="rId124" w:tooltip="consultantplus://offline/ref=3E1BE820DC37BAD4FCD0CD6F62ACC8C32F346B985EB4A6947B3C569DB408E76274072E222E038594255D841C5AN2U6F" w:history="1">
              <w:r>
                <w:rPr>
                  <w:rFonts w:ascii="Times New Roman" w:hAnsi="Times New Roman" w:cs="Times New Roman"/>
                </w:rPr>
                <w:t>Кодекса</w:t>
              </w:r>
            </w:hyperlink>
            <w:r>
              <w:rPr>
                <w:rFonts w:ascii="Times New Roman" w:hAnsi="Times New Roman" w:cs="Times New Roman"/>
              </w:rPr>
              <w:t>.</w:t>
            </w:r>
          </w:p>
          <w:p w:rsidR="00D602D4" w:rsidRDefault="000B4C86">
            <w:pPr>
              <w:jc w:val="both"/>
              <w:rPr>
                <w:rFonts w:ascii="Times New Roman" w:hAnsi="Times New Roman" w:cs="Times New Roman"/>
              </w:rPr>
            </w:pPr>
            <w:r>
              <w:rPr>
                <w:rFonts w:ascii="Times New Roman" w:hAnsi="Times New Roman" w:cs="Times New Roman"/>
              </w:rPr>
              <w:t>2. В течение отчетного периода совет директоров (или один из его комитетов) рассмотрел вопрос об эффективности информационного взаимодействия общества, акционеров, инвесторов и иных заинтересованных лиц и целесообразности (необходимости) пересмотра информационной политики общества</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 xml:space="preserve">частично </w:t>
            </w:r>
            <w:r>
              <w:rPr>
                <w:rFonts w:ascii="Times New Roman" w:hAnsi="Times New Roman" w:cs="Times New Roman"/>
              </w:rPr>
              <w:lastRenderedPageBreak/>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6.1.2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Общество раскрывает информацию о системе и практике корпоративного управления, включая подробную информацию о соблюдении принципов и рекомендаций </w:t>
            </w:r>
            <w:hyperlink r:id="rId125" w:tooltip="consultantplus://offline/ref=3E1BE820DC37BAD4FCD0CD6F62ACC8C32F346B985EB4A6947B3C569DB408E76274072E222E038594255D841C5AN2U6F" w:history="1">
              <w:r>
                <w:rPr>
                  <w:rFonts w:ascii="Times New Roman" w:hAnsi="Times New Roman" w:cs="Times New Roman"/>
                </w:rPr>
                <w:t>Кодекса</w:t>
              </w:r>
            </w:hyperlink>
          </w:p>
        </w:tc>
        <w:tc>
          <w:tcPr>
            <w:tcW w:w="4399" w:type="dxa"/>
          </w:tcPr>
          <w:p w:rsidR="00D602D4" w:rsidRDefault="000B4C86">
            <w:pPr>
              <w:jc w:val="both"/>
              <w:rPr>
                <w:rFonts w:ascii="Times New Roman" w:hAnsi="Times New Roman" w:cs="Times New Roman"/>
              </w:rPr>
            </w:pPr>
            <w:r>
              <w:rPr>
                <w:rFonts w:ascii="Times New Roman" w:hAnsi="Times New Roman" w:cs="Times New Roman"/>
              </w:rPr>
              <w:t>1. Общество раскрывает информацию о системе корпоративного управления в обществе и общих принципах корпоративного управления, применяемых в обществе, в том числе на сайте общества в сети Интернет.</w:t>
            </w:r>
          </w:p>
          <w:p w:rsidR="00D602D4" w:rsidRDefault="000B4C86">
            <w:pPr>
              <w:jc w:val="both"/>
              <w:rPr>
                <w:rFonts w:ascii="Times New Roman" w:hAnsi="Times New Roman" w:cs="Times New Roman"/>
              </w:rPr>
            </w:pPr>
            <w:r>
              <w:rPr>
                <w:rFonts w:ascii="Times New Roman" w:hAnsi="Times New Roman" w:cs="Times New Roman"/>
              </w:rPr>
              <w:t xml:space="preserve">2. Общество раскрывает информацию о составе исполнительных органов и совета директоров, независимости членов совета и их членстве в комитетах совета директоров (в соответствии с определением </w:t>
            </w:r>
            <w:hyperlink r:id="rId126" w:tooltip="consultantplus://offline/ref=3E1BE820DC37BAD4FCD0CD6F62ACC8C32F346B985EB4A6947B3C569DB408E76274072E222E038594255D841C5AN2U6F" w:history="1">
              <w:r>
                <w:rPr>
                  <w:rFonts w:ascii="Times New Roman" w:hAnsi="Times New Roman" w:cs="Times New Roman"/>
                </w:rPr>
                <w:t>Кодекса</w:t>
              </w:r>
            </w:hyperlink>
            <w:r>
              <w:rPr>
                <w:rFonts w:ascii="Times New Roman" w:hAnsi="Times New Roman" w:cs="Times New Roman"/>
              </w:rPr>
              <w:t>).</w:t>
            </w:r>
          </w:p>
          <w:p w:rsidR="00D602D4" w:rsidRDefault="000B4C86">
            <w:pPr>
              <w:jc w:val="both"/>
              <w:rPr>
                <w:rFonts w:ascii="Times New Roman" w:hAnsi="Times New Roman" w:cs="Times New Roman"/>
              </w:rPr>
            </w:pPr>
            <w:r>
              <w:rPr>
                <w:rFonts w:ascii="Times New Roman" w:hAnsi="Times New Roman" w:cs="Times New Roman"/>
              </w:rPr>
              <w:t>3. В случае наличия лица, контролирующего общество, общество публикует меморандум контролирующего лица относительно планов такого лица в отношении корпоративного управления в обществе</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6.2</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Общество своевременно раскрывает полную, актуальную и достоверную информацию об обществе для обеспечения возможности принятия обоснованных решений акционерами общества и инвесторами</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6.2.1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Общество раскрывает </w:t>
            </w:r>
            <w:r>
              <w:rPr>
                <w:rFonts w:ascii="Times New Roman" w:hAnsi="Times New Roman" w:cs="Times New Roman"/>
              </w:rPr>
              <w:lastRenderedPageBreak/>
              <w:t>информацию в соответствии с принципами регулярности, последовательности и оперативности, а также доступности, достоверности, полноты и сравнимости раскрываемых данных</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 xml:space="preserve">1. В обществе определена процедура, </w:t>
            </w:r>
            <w:r>
              <w:rPr>
                <w:rFonts w:ascii="Times New Roman" w:hAnsi="Times New Roman" w:cs="Times New Roman"/>
              </w:rPr>
              <w:lastRenderedPageBreak/>
              <w:t>обеспечивающая координацию работы всех структурных подразделений и работников общества, связанных с раскрытием информации или деятельность которых может привести к необходимости раскрытия информации.</w:t>
            </w:r>
          </w:p>
          <w:p w:rsidR="00D602D4" w:rsidRDefault="000B4C86">
            <w:pPr>
              <w:jc w:val="both"/>
              <w:rPr>
                <w:rFonts w:ascii="Times New Roman" w:hAnsi="Times New Roman" w:cs="Times New Roman"/>
              </w:rPr>
            </w:pPr>
            <w:r>
              <w:rPr>
                <w:rFonts w:ascii="Times New Roman" w:hAnsi="Times New Roman" w:cs="Times New Roman"/>
              </w:rPr>
              <w:t>2. В случае если ценные бумаги общества обращаются на иностранных организованных рынках, раскрытие существенной информации в Российской Федерации и на таких рынках осуществляется синхронно и эквивалентно в течение отчетного года.</w:t>
            </w:r>
          </w:p>
          <w:p w:rsidR="00D602D4" w:rsidRDefault="000B4C86">
            <w:pPr>
              <w:jc w:val="both"/>
              <w:rPr>
                <w:rFonts w:ascii="Times New Roman" w:hAnsi="Times New Roman" w:cs="Times New Roman"/>
              </w:rPr>
            </w:pPr>
            <w:r>
              <w:rPr>
                <w:rFonts w:ascii="Times New Roman" w:hAnsi="Times New Roman" w:cs="Times New Roman"/>
              </w:rPr>
              <w:t>3. Если иностранные акционеры владеют существенным количеством акций общества, то в течение отчетного года раскрытие информации осуществлялось не только на русском, но также на одном из наиболее распространенных иностранных языков</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lastRenderedPageBreak/>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Borders>
              <w:bottom w:val="none" w:sz="4" w:space="0" w:color="000000"/>
            </w:tcBorders>
          </w:tcPr>
          <w:p w:rsidR="00D602D4" w:rsidRDefault="000B4C86">
            <w:pPr>
              <w:rPr>
                <w:rFonts w:ascii="Times New Roman" w:hAnsi="Times New Roman" w:cs="Times New Roman"/>
              </w:rPr>
            </w:pPr>
            <w:r>
              <w:rPr>
                <w:rFonts w:ascii="Times New Roman" w:hAnsi="Times New Roman" w:cs="Times New Roman"/>
              </w:rPr>
              <w:t>6.2.2</w:t>
            </w:r>
          </w:p>
        </w:tc>
        <w:tc>
          <w:tcPr>
            <w:tcW w:w="2835" w:type="dxa"/>
            <w:tcBorders>
              <w:bottom w:val="none" w:sz="4" w:space="0" w:color="000000"/>
            </w:tcBorders>
          </w:tcPr>
          <w:p w:rsidR="00D602D4" w:rsidRDefault="000B4C86">
            <w:pPr>
              <w:jc w:val="both"/>
              <w:rPr>
                <w:rFonts w:ascii="Times New Roman" w:hAnsi="Times New Roman" w:cs="Times New Roman"/>
              </w:rPr>
            </w:pPr>
            <w:r>
              <w:rPr>
                <w:rFonts w:ascii="Times New Roman" w:hAnsi="Times New Roman" w:cs="Times New Roman"/>
              </w:rPr>
              <w:t>Общество избегает формального подхода при раскрытии информации и раскрывает существенную информацию о своей деятельности, даже если раскрытие такой информации не предусмотрено законодательством</w:t>
            </w:r>
          </w:p>
        </w:tc>
        <w:tc>
          <w:tcPr>
            <w:tcW w:w="4399" w:type="dxa"/>
            <w:tcBorders>
              <w:bottom w:val="none" w:sz="4" w:space="0" w:color="000000"/>
            </w:tcBorders>
          </w:tcPr>
          <w:p w:rsidR="00D602D4" w:rsidRDefault="000B4C86">
            <w:pPr>
              <w:jc w:val="both"/>
              <w:rPr>
                <w:rFonts w:ascii="Times New Roman" w:hAnsi="Times New Roman" w:cs="Times New Roman"/>
              </w:rPr>
            </w:pPr>
            <w:r>
              <w:rPr>
                <w:rFonts w:ascii="Times New Roman" w:hAnsi="Times New Roman" w:cs="Times New Roman"/>
              </w:rPr>
              <w:t>1. В информационной политике общества определены подходы к раскрытию сведений об иных событиях (действиях), оказывающих существенное влияние на стоимость или котировки его ценных бумаг, раскрытие сведений о которых не предусмотрено законодательством.</w:t>
            </w:r>
          </w:p>
          <w:p w:rsidR="00D602D4" w:rsidRDefault="000B4C86">
            <w:pPr>
              <w:jc w:val="both"/>
              <w:rPr>
                <w:rFonts w:ascii="Times New Roman" w:hAnsi="Times New Roman" w:cs="Times New Roman"/>
              </w:rPr>
            </w:pPr>
            <w:r>
              <w:rPr>
                <w:rFonts w:ascii="Times New Roman" w:hAnsi="Times New Roman" w:cs="Times New Roman"/>
              </w:rPr>
              <w:t xml:space="preserve">2. Общество раскрывает информацию о структуре капитала общества в соответствии с рекомендацией 290 </w:t>
            </w:r>
            <w:hyperlink r:id="rId127" w:tooltip="consultantplus://offline/ref=3E1BE820DC37BAD4FCD0CD6F62ACC8C32F346B985EB4A6947B3C569DB408E76274072E222E038594255D841C5AN2U6F" w:history="1">
              <w:r>
                <w:rPr>
                  <w:rFonts w:ascii="Times New Roman" w:hAnsi="Times New Roman" w:cs="Times New Roman"/>
                </w:rPr>
                <w:t>Кодекса</w:t>
              </w:r>
            </w:hyperlink>
            <w:r>
              <w:rPr>
                <w:rFonts w:ascii="Times New Roman" w:hAnsi="Times New Roman" w:cs="Times New Roman"/>
              </w:rPr>
              <w:t xml:space="preserve"> в годовом отчете и на сайте общества в сети Интернет.</w:t>
            </w:r>
          </w:p>
          <w:p w:rsidR="00D602D4" w:rsidRDefault="000B4C86">
            <w:pPr>
              <w:jc w:val="both"/>
              <w:rPr>
                <w:rFonts w:ascii="Times New Roman" w:hAnsi="Times New Roman" w:cs="Times New Roman"/>
              </w:rPr>
            </w:pPr>
            <w:r>
              <w:rPr>
                <w:rFonts w:ascii="Times New Roman" w:hAnsi="Times New Roman" w:cs="Times New Roman"/>
              </w:rPr>
              <w:t xml:space="preserve">3. Общество раскрывает информацию о </w:t>
            </w:r>
            <w:r>
              <w:rPr>
                <w:rFonts w:ascii="Times New Roman" w:hAnsi="Times New Roman" w:cs="Times New Roman"/>
              </w:rPr>
              <w:lastRenderedPageBreak/>
              <w:t>подконтрольных организациях, имеющих для него существенное значение, в том числе о ключевых направлениях их деятельности, о механизмах, обеспечивающих подотчетность подконтрольных организаций, полномочиях совета директоров общества в отношении определения стратегии и оценки результатов деятельности подконтрольных организаций.</w:t>
            </w:r>
          </w:p>
        </w:tc>
        <w:tc>
          <w:tcPr>
            <w:tcW w:w="2484" w:type="dxa"/>
            <w:tcBorders>
              <w:bottom w:val="none" w:sz="4" w:space="0" w:color="000000"/>
            </w:tcBorders>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Borders>
              <w:bottom w:val="none" w:sz="4" w:space="0" w:color="000000"/>
            </w:tcBorders>
          </w:tcPr>
          <w:p w:rsidR="00D602D4" w:rsidRDefault="00D602D4">
            <w:pPr>
              <w:rPr>
                <w:rFonts w:ascii="Times New Roman" w:hAnsi="Times New Roman" w:cs="Times New Roman"/>
              </w:rPr>
            </w:pPr>
          </w:p>
        </w:tc>
      </w:tr>
      <w:tr w:rsidR="00D602D4">
        <w:trPr>
          <w:trHeight w:val="170"/>
        </w:trPr>
        <w:tc>
          <w:tcPr>
            <w:tcW w:w="779" w:type="dxa"/>
            <w:tcBorders>
              <w:top w:val="none" w:sz="4" w:space="0" w:color="000000"/>
            </w:tcBorders>
          </w:tcPr>
          <w:p w:rsidR="00D602D4" w:rsidRDefault="00D602D4">
            <w:pPr>
              <w:rPr>
                <w:rFonts w:ascii="Times New Roman" w:hAnsi="Times New Roman" w:cs="Times New Roman"/>
              </w:rPr>
            </w:pPr>
          </w:p>
        </w:tc>
        <w:tc>
          <w:tcPr>
            <w:tcW w:w="2835" w:type="dxa"/>
            <w:tcBorders>
              <w:top w:val="none" w:sz="4" w:space="0" w:color="000000"/>
            </w:tcBorders>
          </w:tcPr>
          <w:p w:rsidR="00D602D4" w:rsidRDefault="00D602D4">
            <w:pPr>
              <w:rPr>
                <w:rFonts w:ascii="Times New Roman" w:hAnsi="Times New Roman" w:cs="Times New Roman"/>
              </w:rPr>
            </w:pPr>
          </w:p>
        </w:tc>
        <w:tc>
          <w:tcPr>
            <w:tcW w:w="4399" w:type="dxa"/>
            <w:tcBorders>
              <w:top w:val="none" w:sz="4" w:space="0" w:color="000000"/>
            </w:tcBorders>
          </w:tcPr>
          <w:p w:rsidR="00D602D4" w:rsidRDefault="000B4C86">
            <w:pPr>
              <w:jc w:val="both"/>
              <w:rPr>
                <w:rFonts w:ascii="Times New Roman" w:hAnsi="Times New Roman" w:cs="Times New Roman"/>
              </w:rPr>
            </w:pPr>
            <w:r>
              <w:rPr>
                <w:rFonts w:ascii="Times New Roman" w:hAnsi="Times New Roman" w:cs="Times New Roman"/>
              </w:rPr>
              <w:t>4. Общество раскрывает нефинансовый отчет - отчет об устойчивом развитии, экологический отчет, отчет о корпоративной социальной ответственности или иной отчет, содержащий нефинансовую информацию, в том числе о факторах, связанных с окружающей средой (в том числе экологические факторы и факторы, связанные с изменением климата), обществом (социальные факторы) и корпоративным управлением, за исключением отчета эмитента эмиссионных ценных бумаг и годового отчета акционерного общества</w:t>
            </w:r>
          </w:p>
        </w:tc>
        <w:tc>
          <w:tcPr>
            <w:tcW w:w="2484" w:type="dxa"/>
            <w:tcBorders>
              <w:top w:val="none" w:sz="4" w:space="0" w:color="000000"/>
            </w:tcBorders>
          </w:tcPr>
          <w:p w:rsidR="00D602D4" w:rsidRDefault="00D602D4">
            <w:pPr>
              <w:rPr>
                <w:rFonts w:ascii="Times New Roman" w:hAnsi="Times New Roman" w:cs="Times New Roman"/>
              </w:rPr>
            </w:pPr>
          </w:p>
        </w:tc>
        <w:tc>
          <w:tcPr>
            <w:tcW w:w="4385" w:type="dxa"/>
            <w:tcBorders>
              <w:top w:val="none" w:sz="4" w:space="0" w:color="000000"/>
            </w:tcBorders>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6.2.3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Годовой отчет, являясь одним из наиболее важных инструментов информационного взаимодействия с акционерами и другими заинтересованными сторонами, содержит информацию, позволяющую </w:t>
            </w:r>
            <w:r>
              <w:rPr>
                <w:rFonts w:ascii="Times New Roman" w:hAnsi="Times New Roman" w:cs="Times New Roman"/>
              </w:rPr>
              <w:lastRenderedPageBreak/>
              <w:t>оценить итоги деятельности общества за год</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1. Годовой отчет общества содержит информацию о результатах оценки комитетом по аудиту эффективности процесса проведения внешнего и внутреннего аудита.</w:t>
            </w:r>
          </w:p>
          <w:p w:rsidR="00D602D4" w:rsidRDefault="000B4C86">
            <w:pPr>
              <w:jc w:val="both"/>
              <w:rPr>
                <w:rFonts w:ascii="Times New Roman" w:hAnsi="Times New Roman" w:cs="Times New Roman"/>
              </w:rPr>
            </w:pPr>
            <w:r>
              <w:rPr>
                <w:rFonts w:ascii="Times New Roman" w:hAnsi="Times New Roman" w:cs="Times New Roman"/>
              </w:rPr>
              <w:t xml:space="preserve">2. Годовой отчет общества содержит сведения о политике общества в области охраны окружающей среды, социальной </w:t>
            </w:r>
            <w:r>
              <w:rPr>
                <w:rFonts w:ascii="Times New Roman" w:hAnsi="Times New Roman" w:cs="Times New Roman"/>
              </w:rPr>
              <w:lastRenderedPageBreak/>
              <w:t>политике общества</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6.3</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Общество предоставляет информацию и документы по запросам акционеров в соответствии с принципами равнодоступности и необременительности</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6.3.1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Реализация акционерами права на доступ к документам и информации общества не сопряжена с неоправданными сложностями</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информационной политике (внутренних документах, определяющих информационную политику) общества определен необременительный порядок предоставления по запросам акционеров доступа к информации и документам общества.</w:t>
            </w:r>
          </w:p>
          <w:p w:rsidR="00D602D4" w:rsidRDefault="000B4C86">
            <w:pPr>
              <w:jc w:val="both"/>
              <w:rPr>
                <w:rFonts w:ascii="Times New Roman" w:hAnsi="Times New Roman" w:cs="Times New Roman"/>
              </w:rPr>
            </w:pPr>
            <w:r>
              <w:rPr>
                <w:rFonts w:ascii="Times New Roman" w:hAnsi="Times New Roman" w:cs="Times New Roman"/>
              </w:rPr>
              <w:t>2. В информационной политике (внутренних документах, определяющих информационную политику) содержатся положения, предусматривающие, что в случае поступления запроса акционера о предоставлении информации о подконтрольных обществу организациях общество предпринимает необходимые усилия для получения такой информации у соответствующих подконтрольных обществу организаций</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6.3.2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При предоставлении обществом информации акционерам обеспечивается разумный баланс между интересами конкретных акционеров и интересами самого общества, заинтересованного в </w:t>
            </w:r>
            <w:r>
              <w:rPr>
                <w:rFonts w:ascii="Times New Roman" w:hAnsi="Times New Roman" w:cs="Times New Roman"/>
              </w:rPr>
              <w:lastRenderedPageBreak/>
              <w:t>сохранении конфиденциальности важной коммерческой информации, которая может оказать существенное влияние на его конкурентоспособность</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1. В течение отчетного периода общество не отказывало в удовлетворении запросов акционеров о предоставлении информации либо такие отказы были обоснованными.</w:t>
            </w:r>
          </w:p>
          <w:p w:rsidR="00D602D4" w:rsidRDefault="000B4C86">
            <w:pPr>
              <w:jc w:val="both"/>
              <w:rPr>
                <w:rFonts w:ascii="Times New Roman" w:hAnsi="Times New Roman" w:cs="Times New Roman"/>
              </w:rPr>
            </w:pPr>
            <w:r>
              <w:rPr>
                <w:rFonts w:ascii="Times New Roman" w:hAnsi="Times New Roman" w:cs="Times New Roman"/>
              </w:rPr>
              <w:t xml:space="preserve">2. В случаях, определенных информационной политикой общества, акционеры предупреждаются о конфиденциальном характере информации и </w:t>
            </w:r>
            <w:r>
              <w:rPr>
                <w:rFonts w:ascii="Times New Roman" w:hAnsi="Times New Roman" w:cs="Times New Roman"/>
              </w:rPr>
              <w:lastRenderedPageBreak/>
              <w:t>принимают на себя обязанность по сохранению ее конфиденциальности</w:t>
            </w:r>
          </w:p>
        </w:tc>
        <w:tc>
          <w:tcPr>
            <w:tcW w:w="2484" w:type="dxa"/>
          </w:tcPr>
          <w:p w:rsidR="00D602D4" w:rsidRDefault="000B4C86">
            <w:pPr>
              <w:rPr>
                <w:rFonts w:ascii="Times New Roman" w:hAnsi="Times New Roman" w:cs="Times New Roman"/>
              </w:rPr>
            </w:pPr>
            <w:r>
              <w:rPr>
                <w:rFonts w:ascii="Wingdings" w:eastAsia="Wingdings" w:hAnsi="Wingdings" w:cs="Wingdings"/>
              </w:rPr>
              <w:lastRenderedPageBreak/>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7.1</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Действия, которые в значительной степени влияют или могут повлиять на структуру акционерного капитала и финансовое состояние общества и, соответственно, на положение акционеров (существенные корпоративные действия), осуществляются на справедливых условиях, обеспечивающих соблюдение прав и интересов акционеров, а также иных заинтересованных сторон</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7.1.1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Существенными корпоративными действиями признаются реорганизация общества, приобретение 30 и более процентов голосующих акций общества (поглощение), совершение обществом существенных сделок, увеличение или уменьшение уставного капитала общества, осуществление листинга и делистинга акций общества, а также иные действия, которые могут привести к существенному изменению прав акционеров или нарушению их интересов. Уставом общества определен перечень (критерии) сделок или иных </w:t>
            </w:r>
            <w:r>
              <w:rPr>
                <w:rFonts w:ascii="Times New Roman" w:hAnsi="Times New Roman" w:cs="Times New Roman"/>
              </w:rPr>
              <w:lastRenderedPageBreak/>
              <w:t>действий, являющихся существенными корпоративными действиями, и такие действия отнесены к компетенции совета директоров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1. Уставом общества определен перечень (критерии) сделок или иных действий, являющихся существенными корпоративными действиями. Принятие решений в отношении существенных корпоративных действий уставом общества отнесено к компетенции совета директоров. В тех случаях, когда осуществление данных корпоративных действий прямо отнесено законодательством к компетенции общего собрания акционеров, совет директоров предоставляет акционерам соответствующие рекомендации</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0B4C86">
            <w:pPr>
              <w:jc w:val="both"/>
              <w:rPr>
                <w:rFonts w:ascii="Times New Roman" w:hAnsi="Times New Roman" w:cs="Times New Roman"/>
              </w:rPr>
            </w:pPr>
            <w:r>
              <w:rPr>
                <w:rFonts w:ascii="Times New Roman" w:hAnsi="Times New Roman" w:cs="Times New Roman"/>
              </w:rPr>
              <w:t xml:space="preserve">Устав Общества не содержит определения «существенные корпоративные действия». </w:t>
            </w:r>
          </w:p>
          <w:p w:rsidR="00D602D4" w:rsidRDefault="000B4C86">
            <w:pPr>
              <w:jc w:val="both"/>
              <w:rPr>
                <w:rFonts w:ascii="Times New Roman" w:hAnsi="Times New Roman" w:cs="Times New Roman"/>
              </w:rPr>
            </w:pPr>
            <w:r>
              <w:rPr>
                <w:rFonts w:ascii="Times New Roman" w:hAnsi="Times New Roman" w:cs="Times New Roman"/>
              </w:rPr>
              <w:t>Перечень существенных корпоративных действий определен в 2021 году во внутреннем документе Общества - Кодексе корпоративного управления ПАО «Россети «Сибирь» (утв. решением Совета директоров от 29.11.2021, протокол от 02.12.2021 №435/21).</w:t>
            </w:r>
          </w:p>
          <w:p w:rsidR="00D602D4" w:rsidRDefault="000B4C86">
            <w:pPr>
              <w:jc w:val="both"/>
              <w:rPr>
                <w:rFonts w:ascii="Times New Roman" w:hAnsi="Times New Roman" w:cs="Times New Roman"/>
              </w:rPr>
            </w:pPr>
            <w:r>
              <w:rPr>
                <w:rFonts w:ascii="Times New Roman" w:hAnsi="Times New Roman" w:cs="Times New Roman"/>
              </w:rPr>
              <w:t xml:space="preserve">Кроме того, в Уставе Общества перечислено  значительное количество сделок/пунктов, относящихся к существенным корпоративным действиям (например: реорганизация Общества, увеличение/уменьшение уставного капитала Общества, дробление и консолидация акций, принятие решений об участии Общества в других организациях, о приобретении, отчуждении и обременении их акций и долей, изменении доли участия в уставном капитале указанных организаций; принятие </w:t>
            </w:r>
            <w:r>
              <w:rPr>
                <w:rFonts w:ascii="Times New Roman" w:hAnsi="Times New Roman" w:cs="Times New Roman"/>
              </w:rPr>
              <w:lastRenderedPageBreak/>
              <w:t>решения об обращении с заявлением о делистинге акций Общества и (или) эмиссионных ценных бумаг Общества, конвертируемых в его акции; предварительное одобрение решений о заключении  сделок, предметом которых являются внеоборотные активы Общества в размере свыше 10 процентов балансовой стоимости этих активов Общества по данным бухгалтерской отчетности на последнюю отчетную дату; предварительное одобрение решений о заключении Обществом сделок (включая несколько взаимосвязанных сделок), связанных с отчуждением или возможностью отчуждения профильного  имущества, в случаях (размерах), определяемых отдельными решениями Совета директоров Общества, и т.д.),  принятие решений по которым осуществляется Общим собранием акционеров по рекомендации Совета директоров или непосредственно по решению Совета директоров Общества.</w:t>
            </w:r>
          </w:p>
          <w:p w:rsidR="00D602D4" w:rsidRDefault="000B4C86">
            <w:pPr>
              <w:jc w:val="both"/>
              <w:rPr>
                <w:rFonts w:ascii="Times New Roman" w:hAnsi="Times New Roman" w:cs="Times New Roman"/>
              </w:rPr>
            </w:pPr>
            <w:r>
              <w:rPr>
                <w:rFonts w:ascii="Times New Roman" w:hAnsi="Times New Roman" w:cs="Times New Roman"/>
              </w:rPr>
              <w:t>Информация о существенных сделках Общества и его ДО отражена в Годовом отчете Общества за 2024 год.</w:t>
            </w:r>
          </w:p>
          <w:p w:rsidR="00D602D4" w:rsidRDefault="00D602D4">
            <w:pPr>
              <w:jc w:val="both"/>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7.1.2</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 xml:space="preserve">Совет директоров играет ключевую роль в принятии решений или выработке рекомендаций в отношении существенных корпоративных действий, </w:t>
            </w:r>
            <w:r>
              <w:rPr>
                <w:rFonts w:ascii="Times New Roman" w:hAnsi="Times New Roman" w:cs="Times New Roman"/>
              </w:rPr>
              <w:lastRenderedPageBreak/>
              <w:t>совет директоров опирается на позицию независимых директоров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lastRenderedPageBreak/>
              <w:t>1. В обществе предусмотрена процедура, в соответствии с которой независимые директора заявляют о своей позиции по существенным корпоративным действиям до их одобрения</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7.1.3</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При совершении существенных корпоративных действий, затрагивающих права и законные интересы акционеров, обеспечиваются равные условия для всех акционеров общества, а при недостаточности предусмотренных законодательством механизмов, направленных на защиту прав акционеров, - дополнительные меры, защищающие права и законные интересы акционеров общества.</w:t>
            </w:r>
          </w:p>
          <w:p w:rsidR="00D602D4" w:rsidRDefault="000B4C86">
            <w:pPr>
              <w:jc w:val="both"/>
              <w:rPr>
                <w:rFonts w:ascii="Times New Roman" w:hAnsi="Times New Roman" w:cs="Times New Roman"/>
              </w:rPr>
            </w:pPr>
            <w:r>
              <w:rPr>
                <w:rFonts w:ascii="Times New Roman" w:hAnsi="Times New Roman" w:cs="Times New Roman"/>
              </w:rPr>
              <w:t xml:space="preserve">При этом общество руководствуется не только соблюдением формальных требований законодательства, но и принципами корпоративного управления, изложенными в </w:t>
            </w:r>
            <w:hyperlink r:id="rId128" w:tooltip="consultantplus://offline/ref=3E1BE820DC37BAD4FCD0CD6F62ACC8C32F346B985EB4A6947B3C569DB408E76274072E222E038594255D841C5AN2U6F" w:history="1">
              <w:r>
                <w:rPr>
                  <w:rFonts w:ascii="Times New Roman" w:hAnsi="Times New Roman" w:cs="Times New Roman"/>
                </w:rPr>
                <w:t>Кодексе</w:t>
              </w:r>
            </w:hyperlink>
          </w:p>
        </w:tc>
        <w:tc>
          <w:tcPr>
            <w:tcW w:w="4399" w:type="dxa"/>
          </w:tcPr>
          <w:p w:rsidR="00D602D4" w:rsidRDefault="000B4C86">
            <w:pPr>
              <w:jc w:val="both"/>
              <w:rPr>
                <w:rFonts w:ascii="Times New Roman" w:hAnsi="Times New Roman" w:cs="Times New Roman"/>
              </w:rPr>
            </w:pPr>
            <w:r>
              <w:rPr>
                <w:rFonts w:ascii="Times New Roman" w:hAnsi="Times New Roman" w:cs="Times New Roman"/>
              </w:rPr>
              <w:t>1. Уставом общества с учетом особенностей его деятельности к компетенции совета директоров отнесено одобрение, помимо предусмотренных законодательством, иных сделок, имеющих существенное значение для общества.</w:t>
            </w:r>
          </w:p>
          <w:p w:rsidR="00D602D4" w:rsidRDefault="000B4C86">
            <w:pPr>
              <w:jc w:val="both"/>
              <w:rPr>
                <w:rFonts w:ascii="Times New Roman" w:hAnsi="Times New Roman" w:cs="Times New Roman"/>
              </w:rPr>
            </w:pPr>
            <w:r>
              <w:rPr>
                <w:rFonts w:ascii="Times New Roman" w:hAnsi="Times New Roman" w:cs="Times New Roman"/>
              </w:rPr>
              <w:t>2. В течение отчетного периода все существенные корпоративные действия проходили процедуру одобрения до их осуществления.</w:t>
            </w:r>
          </w:p>
        </w:tc>
        <w:tc>
          <w:tcPr>
            <w:tcW w:w="2484" w:type="dxa"/>
          </w:tcPr>
          <w:p w:rsidR="00D602D4" w:rsidRDefault="000B4C86">
            <w:pPr>
              <w:rPr>
                <w:rFonts w:ascii="Times New Roman" w:hAnsi="Times New Roman" w:cs="Times New Roman"/>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D602D4">
            <w:pPr>
              <w:jc w:val="both"/>
              <w:rPr>
                <w:rFonts w:ascii="Times New Roman" w:hAnsi="Times New Roman" w:cs="Times New Roman"/>
              </w:rPr>
            </w:pP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7.2</w:t>
            </w:r>
          </w:p>
        </w:tc>
        <w:tc>
          <w:tcPr>
            <w:tcW w:w="14103" w:type="dxa"/>
            <w:gridSpan w:val="4"/>
          </w:tcPr>
          <w:p w:rsidR="00D602D4" w:rsidRDefault="000B4C86">
            <w:pPr>
              <w:rPr>
                <w:rFonts w:ascii="Times New Roman" w:hAnsi="Times New Roman" w:cs="Times New Roman"/>
              </w:rPr>
            </w:pPr>
            <w:r>
              <w:rPr>
                <w:rFonts w:ascii="Times New Roman" w:hAnsi="Times New Roman" w:cs="Times New Roman"/>
              </w:rPr>
              <w:t xml:space="preserve">Общество обеспечивает такой порядок совершения существенных корпоративных действий, который позволяет акционерам своевременно получать полную информацию о таких действиях, обеспечивает им возможность влиять на совершение таких действий и гарантирует соблюдение </w:t>
            </w:r>
            <w:r>
              <w:rPr>
                <w:rFonts w:ascii="Times New Roman" w:hAnsi="Times New Roman" w:cs="Times New Roman"/>
              </w:rPr>
              <w:lastRenderedPageBreak/>
              <w:t>и адекватный уровень защиты их прав при совершении таких действий</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lastRenderedPageBreak/>
              <w:t>7.2.1</w:t>
            </w:r>
          </w:p>
        </w:tc>
        <w:tc>
          <w:tcPr>
            <w:tcW w:w="2835" w:type="dxa"/>
          </w:tcPr>
          <w:p w:rsidR="00D602D4" w:rsidRDefault="000B4C86">
            <w:pPr>
              <w:jc w:val="both"/>
              <w:rPr>
                <w:rFonts w:ascii="Times New Roman" w:hAnsi="Times New Roman" w:cs="Times New Roman"/>
              </w:rPr>
            </w:pPr>
            <w:r>
              <w:rPr>
                <w:rFonts w:ascii="Times New Roman" w:hAnsi="Times New Roman" w:cs="Times New Roman"/>
              </w:rPr>
              <w:t>Информация о совершении существенных корпоративных действий раскрывается с объяснением причин, условий и последствий совершения таких действий</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 случае, если обществом в течение отчетного периода совершались существенные корпоративные действия, общество своевременно и детально раскрывало информацию о таких действиях, в том числе о причинах, условиях совершения действий и последствиях таких действий для акционеров</w:t>
            </w:r>
          </w:p>
        </w:tc>
        <w:tc>
          <w:tcPr>
            <w:tcW w:w="2484" w:type="dxa"/>
          </w:tcPr>
          <w:p w:rsidR="00D602D4" w:rsidRDefault="000B4C86">
            <w:pPr>
              <w:rPr>
                <w:rFonts w:ascii="Times New Roman" w:hAnsi="Times New Roman" w:cs="Times New Roman"/>
              </w:rPr>
            </w:pPr>
            <w:r>
              <w:rPr>
                <w:rFonts w:ascii="Webdings" w:eastAsia="Webdings" w:hAnsi="Webdings" w:cs="Webdings"/>
              </w:rPr>
              <w:t></w:t>
            </w:r>
            <w:r>
              <w:rPr>
                <w:rFonts w:ascii="Wingdings" w:eastAsia="Wingdings" w:hAnsi="Wingdings" w:cs="Wingdings"/>
              </w:rPr>
              <w:t></w:t>
            </w:r>
            <w:r>
              <w:rPr>
                <w:rFonts w:ascii="Times New Roman" w:hAnsi="Times New Roman" w:cs="Times New Roman"/>
              </w:rPr>
              <w:t>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0B4C86">
            <w:pPr>
              <w:jc w:val="both"/>
              <w:rPr>
                <w:rFonts w:ascii="Times New Roman" w:hAnsi="Times New Roman" w:cs="Times New Roman"/>
              </w:rPr>
            </w:pPr>
            <w:r>
              <w:rPr>
                <w:rFonts w:ascii="Times New Roman" w:hAnsi="Times New Roman" w:cs="Times New Roman"/>
              </w:rPr>
              <w:t>Оценка соответствия критерию в настоящем пункте не может быть дана, так как в отчетном периоде Обществом не совершались существенные корпоративные, действия.</w:t>
            </w:r>
          </w:p>
        </w:tc>
      </w:tr>
      <w:tr w:rsidR="00D602D4">
        <w:trPr>
          <w:trHeight w:val="170"/>
        </w:trPr>
        <w:tc>
          <w:tcPr>
            <w:tcW w:w="779" w:type="dxa"/>
          </w:tcPr>
          <w:p w:rsidR="00D602D4" w:rsidRDefault="000B4C86">
            <w:pPr>
              <w:rPr>
                <w:rFonts w:ascii="Times New Roman" w:hAnsi="Times New Roman" w:cs="Times New Roman"/>
              </w:rPr>
            </w:pPr>
            <w:r>
              <w:rPr>
                <w:rFonts w:ascii="Times New Roman" w:hAnsi="Times New Roman" w:cs="Times New Roman"/>
              </w:rPr>
              <w:t>7.2.2</w:t>
            </w:r>
          </w:p>
        </w:tc>
        <w:tc>
          <w:tcPr>
            <w:tcW w:w="2835" w:type="dxa"/>
          </w:tcPr>
          <w:p w:rsidR="00D602D4" w:rsidRDefault="000B4C86">
            <w:pPr>
              <w:rPr>
                <w:rFonts w:ascii="Times New Roman" w:hAnsi="Times New Roman" w:cs="Times New Roman"/>
              </w:rPr>
            </w:pPr>
            <w:r>
              <w:rPr>
                <w:rFonts w:ascii="Times New Roman" w:hAnsi="Times New Roman" w:cs="Times New Roman"/>
              </w:rPr>
              <w:t>Правила и процедуры, связанные с осуществлением обществом существенных корпоративных действий, закреплены во внутренних документах общества</w:t>
            </w:r>
          </w:p>
        </w:tc>
        <w:tc>
          <w:tcPr>
            <w:tcW w:w="4399" w:type="dxa"/>
          </w:tcPr>
          <w:p w:rsidR="00D602D4" w:rsidRDefault="000B4C86">
            <w:pPr>
              <w:jc w:val="both"/>
              <w:rPr>
                <w:rFonts w:ascii="Times New Roman" w:hAnsi="Times New Roman" w:cs="Times New Roman"/>
              </w:rPr>
            </w:pPr>
            <w:r>
              <w:rPr>
                <w:rFonts w:ascii="Times New Roman" w:hAnsi="Times New Roman" w:cs="Times New Roman"/>
              </w:rPr>
              <w:t>1. Во внутренних документах общества определены случаи и порядок привлечения оценщика для определения стоимости имущества, отчуждаемого или приобретаемого по крупной сделке или сделке с заинтересованностью.</w:t>
            </w:r>
          </w:p>
          <w:p w:rsidR="00D602D4" w:rsidRDefault="000B4C86">
            <w:pPr>
              <w:jc w:val="both"/>
              <w:rPr>
                <w:rFonts w:ascii="Times New Roman" w:hAnsi="Times New Roman" w:cs="Times New Roman"/>
              </w:rPr>
            </w:pPr>
            <w:r>
              <w:rPr>
                <w:rFonts w:ascii="Times New Roman" w:hAnsi="Times New Roman" w:cs="Times New Roman"/>
              </w:rPr>
              <w:t>2. Внутренние документы общества предусматривают процедуру привлечения оценщика для оценки стоимости приобретения и выкупа акций общества.</w:t>
            </w:r>
          </w:p>
          <w:p w:rsidR="00D602D4" w:rsidRDefault="000B4C86">
            <w:pPr>
              <w:jc w:val="both"/>
              <w:rPr>
                <w:rFonts w:ascii="Times New Roman" w:hAnsi="Times New Roman" w:cs="Times New Roman"/>
              </w:rPr>
            </w:pPr>
            <w:r>
              <w:rPr>
                <w:rFonts w:ascii="Times New Roman" w:hAnsi="Times New Roman" w:cs="Times New Roman"/>
              </w:rPr>
              <w:t xml:space="preserve">3. При отсутствии формальной заинтересованности члена совета директоров, единоличного исполнительного органа, члена коллегиального исполнительного органа общества или лица, являющегося контролирующим лицом общества, либо лица, имеющего право давать обществу обязательные для него указания, в сделках общества, но при наличии конфликта интересов или иной их фактической заинтересованности, внутренними документами общества </w:t>
            </w:r>
            <w:r>
              <w:rPr>
                <w:rFonts w:ascii="Times New Roman" w:hAnsi="Times New Roman" w:cs="Times New Roman"/>
              </w:rPr>
              <w:lastRenderedPageBreak/>
              <w:t>предусмотрено, что такие лица не принимают участия в голосовании по вопросу одобрения такой сделки</w:t>
            </w:r>
          </w:p>
        </w:tc>
        <w:tc>
          <w:tcPr>
            <w:tcW w:w="2484" w:type="dxa"/>
          </w:tcPr>
          <w:p w:rsidR="00D602D4" w:rsidRDefault="000B4C86">
            <w:pPr>
              <w:rPr>
                <w:rFonts w:ascii="Times New Roman" w:hAnsi="Times New Roman" w:cs="Times New Roman"/>
              </w:rPr>
            </w:pPr>
            <w:r>
              <w:rPr>
                <w:rFonts w:ascii="Webdings" w:eastAsia="Webdings" w:hAnsi="Webdings" w:cs="Webdings"/>
              </w:rPr>
              <w:lastRenderedPageBreak/>
              <w:t></w:t>
            </w:r>
            <w:r>
              <w:rPr>
                <w:rFonts w:ascii="Webdings" w:eastAsia="Webdings" w:hAnsi="Webdings" w:cs="Webdings"/>
              </w:rPr>
              <w:t></w:t>
            </w:r>
            <w:r>
              <w:rPr>
                <w:rFonts w:ascii="Times New Roman" w:hAnsi="Times New Roman" w:cs="Times New Roman"/>
              </w:rPr>
              <w:t>соблюдается</w:t>
            </w:r>
          </w:p>
          <w:p w:rsidR="00D602D4" w:rsidRDefault="000B4C86">
            <w:pPr>
              <w:rPr>
                <w:rFonts w:ascii="Wingdings" w:eastAsia="Wingdings" w:hAnsi="Wingdings" w:cs="Wingdings"/>
              </w:rPr>
            </w:pPr>
            <w:r>
              <w:rPr>
                <w:rFonts w:ascii="Wingdings" w:eastAsia="Wingdings" w:hAnsi="Wingdings" w:cs="Wingdings"/>
              </w:rPr>
              <w:t></w:t>
            </w:r>
            <w:r>
              <w:rPr>
                <w:rFonts w:ascii="Wingdings" w:eastAsia="Wingdings" w:hAnsi="Wingdings" w:cs="Wingdings"/>
              </w:rPr>
              <w:t></w:t>
            </w:r>
            <w:r>
              <w:rPr>
                <w:rFonts w:ascii="Times New Roman" w:hAnsi="Times New Roman" w:cs="Times New Roman"/>
              </w:rPr>
              <w:t>частично соблюдается</w:t>
            </w:r>
          </w:p>
          <w:p w:rsidR="00D602D4" w:rsidRDefault="000B4C86">
            <w:pPr>
              <w:rPr>
                <w:rFonts w:ascii="Times New Roman" w:hAnsi="Times New Roman" w:cs="Times New Roman"/>
              </w:rPr>
            </w:pPr>
            <w:r>
              <w:rPr>
                <w:rFonts w:ascii="Webdings" w:eastAsia="Webdings" w:hAnsi="Webdings" w:cs="Webdings"/>
              </w:rPr>
              <w:t></w:t>
            </w:r>
            <w:r>
              <w:rPr>
                <w:rFonts w:ascii="Webdings" w:eastAsia="Webdings" w:hAnsi="Webdings" w:cs="Webdings"/>
              </w:rPr>
              <w:t></w:t>
            </w:r>
            <w:r>
              <w:rPr>
                <w:rFonts w:ascii="Times New Roman" w:hAnsi="Times New Roman" w:cs="Times New Roman"/>
              </w:rPr>
              <w:t>не соблюдается</w:t>
            </w:r>
          </w:p>
        </w:tc>
        <w:tc>
          <w:tcPr>
            <w:tcW w:w="4385" w:type="dxa"/>
          </w:tcPr>
          <w:p w:rsidR="00D602D4" w:rsidRDefault="000B4C86">
            <w:pPr>
              <w:jc w:val="both"/>
              <w:rPr>
                <w:rFonts w:ascii="Times New Roman" w:hAnsi="Times New Roman" w:cs="Times New Roman"/>
              </w:rPr>
            </w:pPr>
            <w:r>
              <w:rPr>
                <w:rFonts w:ascii="Times New Roman" w:hAnsi="Times New Roman" w:cs="Times New Roman"/>
              </w:rPr>
              <w:t>Критерий 1 и 2 соблюдаются.</w:t>
            </w:r>
          </w:p>
          <w:p w:rsidR="00D602D4" w:rsidRDefault="000B4C86">
            <w:pPr>
              <w:jc w:val="both"/>
              <w:rPr>
                <w:rFonts w:ascii="Times New Roman" w:hAnsi="Times New Roman" w:cs="Times New Roman"/>
              </w:rPr>
            </w:pPr>
            <w:r>
              <w:rPr>
                <w:rFonts w:ascii="Times New Roman" w:hAnsi="Times New Roman" w:cs="Times New Roman"/>
              </w:rPr>
              <w:t>Критерий 3 не соблюдается.</w:t>
            </w:r>
          </w:p>
          <w:p w:rsidR="00D602D4" w:rsidRDefault="000B4C86">
            <w:pPr>
              <w:jc w:val="both"/>
              <w:rPr>
                <w:rFonts w:ascii="Times New Roman" w:hAnsi="Times New Roman" w:cs="Times New Roman"/>
              </w:rPr>
            </w:pPr>
            <w:r>
              <w:rPr>
                <w:rFonts w:ascii="Times New Roman" w:hAnsi="Times New Roman" w:cs="Times New Roman"/>
              </w:rPr>
              <w:t>Во внутренних документах Общества не предусматривается расширенный перечень оснований, по которым члены Совета директоров Общества и иные предусмотренные законодательством лица признаются заинтересованными в сделках Общества.</w:t>
            </w:r>
          </w:p>
          <w:p w:rsidR="00D602D4" w:rsidRDefault="000B4C86">
            <w:pPr>
              <w:jc w:val="both"/>
              <w:rPr>
                <w:rFonts w:ascii="Times New Roman" w:hAnsi="Times New Roman" w:cs="Times New Roman"/>
              </w:rPr>
            </w:pPr>
            <w:r>
              <w:rPr>
                <w:rFonts w:ascii="Times New Roman" w:hAnsi="Times New Roman" w:cs="Times New Roman"/>
              </w:rPr>
              <w:t>Частичное несоблюдение не является ограниченным во времени. Механизмы и инструменты корпоративного управления, которые используются Обществом вместо рекомендованных Кодексом:</w:t>
            </w:r>
          </w:p>
          <w:p w:rsidR="00D602D4" w:rsidRDefault="000B4C86">
            <w:pPr>
              <w:jc w:val="both"/>
              <w:rPr>
                <w:rFonts w:ascii="Times New Roman" w:hAnsi="Times New Roman" w:cs="Times New Roman"/>
              </w:rPr>
            </w:pPr>
            <w:r>
              <w:rPr>
                <w:rFonts w:ascii="Times New Roman" w:hAnsi="Times New Roman" w:cs="Times New Roman"/>
              </w:rPr>
              <w:t xml:space="preserve">Определение заинтересованности члена Совета директоров в совершении сделки осуществляется в соответствии с действующим законодательством РФ и внутренними документами Общества. В голосовании по вопросам, связанным с получением согласия на сделку, в </w:t>
            </w:r>
            <w:r>
              <w:rPr>
                <w:rFonts w:ascii="Times New Roman" w:hAnsi="Times New Roman" w:cs="Times New Roman"/>
              </w:rPr>
              <w:lastRenderedPageBreak/>
              <w:t>совершении которой имеется заинтересованность или последующим одобрением такой сделки, участвуют исключительно члены Совета директоров, не заинтересованные в совершении сделки.</w:t>
            </w:r>
          </w:p>
          <w:p w:rsidR="00D602D4" w:rsidRDefault="000B4C86">
            <w:pPr>
              <w:jc w:val="both"/>
              <w:rPr>
                <w:rFonts w:ascii="Times New Roman" w:hAnsi="Times New Roman" w:cs="Times New Roman"/>
              </w:rPr>
            </w:pPr>
            <w:r>
              <w:rPr>
                <w:rFonts w:ascii="Times New Roman" w:hAnsi="Times New Roman" w:cs="Times New Roman"/>
              </w:rPr>
              <w:t>Перечень оснований заинтересованности, установленный Федеральным законом «Об акционерных обществах», является исчерпывающим и достаточным для предотвращения риска нанесения ущерба интересам Общества вследствие совершения сделки, в совершении которой имеется заинтересованность.</w:t>
            </w:r>
          </w:p>
          <w:p w:rsidR="00D602D4" w:rsidRDefault="000B4C86">
            <w:pPr>
              <w:jc w:val="both"/>
              <w:rPr>
                <w:rFonts w:ascii="Times New Roman" w:hAnsi="Times New Roman" w:cs="Times New Roman"/>
              </w:rPr>
            </w:pPr>
            <w:r>
              <w:rPr>
                <w:rFonts w:ascii="Times New Roman" w:hAnsi="Times New Roman" w:cs="Times New Roman"/>
              </w:rPr>
              <w:t>В соответствии с п.4.19 Кодекса корпоративного управления ПАО «Россети Сибирь» при возникновении потенциального конфликта интересов у члена Совета директоров Общества, в том числе при наличии заинтересованности в совершении Обществом сделки, такой член Совета директоров Общества обязан уведомить об этом Совет директоров Общества и в любом случае ставить интересы Общества выше собственных интересов.</w:t>
            </w:r>
          </w:p>
          <w:p w:rsidR="00D602D4" w:rsidRDefault="000B4C86">
            <w:pPr>
              <w:jc w:val="both"/>
              <w:rPr>
                <w:rFonts w:ascii="Times New Roman" w:hAnsi="Times New Roman" w:cs="Times New Roman"/>
              </w:rPr>
            </w:pPr>
            <w:r>
              <w:rPr>
                <w:rFonts w:ascii="Times New Roman" w:hAnsi="Times New Roman" w:cs="Times New Roman"/>
              </w:rPr>
              <w:t>Кроме того, ввиду отсутствия в настоящее время соответствующих рекомендаций и (или) пояснений регулятора, определение иных случаев фактической заинтересованности, помимо предусмотренных Федеральным законом «Об акционерных обществах», представляется затруднительным.</w:t>
            </w:r>
          </w:p>
          <w:p w:rsidR="00D602D4" w:rsidRDefault="000B4C86">
            <w:pPr>
              <w:jc w:val="both"/>
              <w:rPr>
                <w:rFonts w:ascii="Times New Roman" w:hAnsi="Times New Roman" w:cs="Times New Roman"/>
              </w:rPr>
            </w:pPr>
            <w:r>
              <w:rPr>
                <w:rFonts w:ascii="Times New Roman" w:hAnsi="Times New Roman" w:cs="Times New Roman"/>
              </w:rPr>
              <w:t xml:space="preserve">По мнению Общества, критерии </w:t>
            </w:r>
            <w:r>
              <w:rPr>
                <w:rFonts w:ascii="Times New Roman" w:hAnsi="Times New Roman" w:cs="Times New Roman"/>
              </w:rPr>
              <w:lastRenderedPageBreak/>
              <w:t>заинтересованности в сделках достаточны. С учетом этого Общество не планирует внесение изменений во внутренние документы Общества в части установления расширенного перечня оснований для признания члена Совета директоров заинтересованным в совершении сделки.</w:t>
            </w:r>
          </w:p>
        </w:tc>
      </w:tr>
    </w:tbl>
    <w:p w:rsidR="00D602D4" w:rsidRDefault="00D602D4">
      <w:pPr>
        <w:pStyle w:val="13"/>
        <w:spacing w:before="0" w:line="240" w:lineRule="auto"/>
        <w:rPr>
          <w:rFonts w:ascii="Times New Roman" w:hAnsi="Times New Roman" w:cs="Times New Roman"/>
          <w:color w:val="000000" w:themeColor="text1"/>
          <w:sz w:val="24"/>
          <w:szCs w:val="24"/>
        </w:rPr>
      </w:pPr>
    </w:p>
    <w:p w:rsidR="00D602D4" w:rsidRDefault="00D602D4">
      <w:pPr>
        <w:pStyle w:val="13"/>
        <w:spacing w:before="0" w:line="240" w:lineRule="auto"/>
        <w:rPr>
          <w:rFonts w:ascii="Times New Roman" w:hAnsi="Times New Roman" w:cs="Times New Roman"/>
          <w:sz w:val="24"/>
          <w:szCs w:val="24"/>
        </w:rPr>
      </w:pPr>
    </w:p>
    <w:p w:rsidR="00D602D4" w:rsidRDefault="00D602D4">
      <w:pPr>
        <w:pStyle w:val="13"/>
        <w:spacing w:before="0" w:line="240" w:lineRule="auto"/>
        <w:rPr>
          <w:rFonts w:ascii="Times New Roman" w:hAnsi="Times New Roman" w:cs="Times New Roman"/>
          <w:sz w:val="24"/>
          <w:szCs w:val="24"/>
        </w:rPr>
      </w:pPr>
    </w:p>
    <w:p w:rsidR="00D602D4" w:rsidRDefault="000B4C86">
      <w:pPr>
        <w:pStyle w:val="13"/>
        <w:spacing w:before="0" w:line="240" w:lineRule="auto"/>
        <w:rPr>
          <w:rFonts w:ascii="Times New Roman" w:hAnsi="Times New Roman" w:cs="Times New Roman"/>
          <w:sz w:val="24"/>
          <w:szCs w:val="24"/>
        </w:rPr>
      </w:pPr>
      <w:bookmarkStart w:id="136" w:name="_Toc172"/>
      <w:r>
        <w:rPr>
          <w:rFonts w:ascii="Times New Roman" w:eastAsia="Times New Roman" w:hAnsi="Times New Roman" w:cs="Times New Roman"/>
          <w:b/>
          <w:color w:val="auto"/>
          <w:sz w:val="26"/>
          <w:szCs w:val="26"/>
        </w:rPr>
        <w:t>Приложение 2. Информация о заключенных ПАО «Россети Сибирь» в 2024 году крупных сделках и сделках, в совершении которых имеется заинтересованность</w:t>
      </w:r>
      <w:bookmarkEnd w:id="136"/>
    </w:p>
    <w:p w:rsidR="00D602D4" w:rsidRDefault="000B4C86">
      <w:pPr>
        <w:pStyle w:val="13"/>
        <w:spacing w:before="0" w:line="240" w:lineRule="auto"/>
        <w:jc w:val="center"/>
        <w:rPr>
          <w:rFonts w:ascii="Times New Roman" w:hAnsi="Times New Roman" w:cs="Times New Roman"/>
          <w:color w:val="000000" w:themeColor="text1"/>
          <w:sz w:val="24"/>
          <w:szCs w:val="24"/>
        </w:rPr>
      </w:pPr>
      <w:r>
        <w:rPr>
          <w:rFonts w:ascii="Times New Roman" w:eastAsia="Calibri" w:hAnsi="Times New Roman" w:cs="Times New Roman"/>
          <w:b/>
          <w:color w:val="000000" w:themeColor="text1"/>
          <w:sz w:val="24"/>
          <w:szCs w:val="24"/>
        </w:rPr>
        <w:t>Информация о крупных сделках, совершенных</w:t>
      </w:r>
    </w:p>
    <w:p w:rsidR="00D602D4" w:rsidRDefault="000B4C86">
      <w:pPr>
        <w:spacing w:after="0" w:line="240" w:lineRule="auto"/>
        <w:ind w:left="426" w:right="-143" w:hanging="426"/>
        <w:jc w:val="center"/>
        <w:rPr>
          <w:rFonts w:ascii="Times New Roman" w:eastAsia="Times New Roman" w:hAnsi="Times New Roman" w:cs="Times New Roman"/>
          <w:b/>
          <w:bCs/>
          <w:iCs/>
          <w:sz w:val="24"/>
          <w:szCs w:val="24"/>
          <w:lang w:eastAsia="ru-RU"/>
        </w:rPr>
      </w:pPr>
      <w:r>
        <w:rPr>
          <w:rFonts w:ascii="Times New Roman" w:eastAsia="Calibri" w:hAnsi="Times New Roman" w:cs="Times New Roman"/>
          <w:b/>
          <w:sz w:val="24"/>
          <w:szCs w:val="24"/>
        </w:rPr>
        <w:t>ПАО «Россети Сибирь» в 2024 году</w:t>
      </w:r>
    </w:p>
    <w:p w:rsidR="00D602D4" w:rsidRDefault="000B4C86">
      <w:pPr>
        <w:spacing w:after="0" w:line="240" w:lineRule="auto"/>
        <w:ind w:firstLine="709"/>
        <w:jc w:val="both"/>
        <w:rPr>
          <w:rFonts w:ascii="Times New Roman" w:eastAsia="Times New Roman" w:hAnsi="Times New Roman" w:cs="Times New Roman"/>
          <w:b/>
          <w:sz w:val="16"/>
          <w:szCs w:val="16"/>
          <w:lang w:eastAsia="ru-RU"/>
        </w:rPr>
      </w:pPr>
      <w:r>
        <w:rPr>
          <w:rFonts w:ascii="Times New Roman" w:eastAsia="Times New Roman" w:hAnsi="Times New Roman" w:cs="Times New Roman"/>
          <w:sz w:val="24"/>
          <w:szCs w:val="24"/>
          <w:lang w:eastAsia="ru-RU"/>
        </w:rPr>
        <w:t>В 2024 году ПАО «Россети Сибирь» не совершало сделок, признаваемых в соответствии с законодательством Российской Федерации крупными сделками.</w:t>
      </w:r>
    </w:p>
    <w:p w:rsidR="00D602D4" w:rsidRDefault="00D602D4">
      <w:pPr>
        <w:rPr>
          <w:rFonts w:ascii="Times New Roman" w:eastAsia="Times New Roman" w:hAnsi="Times New Roman" w:cs="Times New Roman"/>
          <w:b/>
          <w:sz w:val="20"/>
          <w:szCs w:val="20"/>
          <w:lang w:eastAsia="ru-RU"/>
        </w:rPr>
      </w:pPr>
    </w:p>
    <w:p w:rsidR="00D602D4" w:rsidRDefault="00D602D4">
      <w:pPr>
        <w:ind w:left="425"/>
        <w:jc w:val="both"/>
        <w:rPr>
          <w:noProof/>
          <w:lang w:eastAsia="ru-RU"/>
        </w:rPr>
      </w:pPr>
    </w:p>
    <w:p w:rsidR="000B4C86" w:rsidRDefault="000B4C86">
      <w:pPr>
        <w:ind w:left="425"/>
        <w:jc w:val="both"/>
        <w:rPr>
          <w:noProof/>
          <w:lang w:eastAsia="ru-RU"/>
        </w:rPr>
      </w:pPr>
    </w:p>
    <w:p w:rsidR="000B4C86" w:rsidRDefault="000B4C86">
      <w:pPr>
        <w:ind w:left="425"/>
        <w:jc w:val="both"/>
        <w:rPr>
          <w:noProof/>
          <w:lang w:eastAsia="ru-RU"/>
        </w:rPr>
      </w:pPr>
    </w:p>
    <w:p w:rsidR="000B4C86" w:rsidRDefault="000B4C86">
      <w:pPr>
        <w:ind w:left="425"/>
        <w:jc w:val="both"/>
        <w:rPr>
          <w:noProof/>
          <w:lang w:eastAsia="ru-RU"/>
        </w:rPr>
      </w:pPr>
    </w:p>
    <w:p w:rsidR="000B4C86" w:rsidRDefault="000B4C86">
      <w:pPr>
        <w:ind w:left="425"/>
        <w:jc w:val="both"/>
        <w:rPr>
          <w:noProof/>
          <w:lang w:eastAsia="ru-RU"/>
        </w:rPr>
      </w:pPr>
    </w:p>
    <w:p w:rsidR="000B4C86" w:rsidRDefault="000B4C86">
      <w:pPr>
        <w:ind w:left="425"/>
        <w:jc w:val="both"/>
        <w:rPr>
          <w:noProof/>
          <w:lang w:eastAsia="ru-RU"/>
        </w:rPr>
      </w:pPr>
    </w:p>
    <w:p w:rsidR="000B4C86" w:rsidRDefault="000B4C86">
      <w:pPr>
        <w:ind w:left="425"/>
        <w:jc w:val="both"/>
        <w:rPr>
          <w:noProof/>
          <w:lang w:eastAsia="ru-RU"/>
        </w:rPr>
      </w:pPr>
    </w:p>
    <w:p w:rsidR="000B4C86" w:rsidRDefault="000B4C86">
      <w:pPr>
        <w:ind w:left="425"/>
        <w:jc w:val="both"/>
        <w:rPr>
          <w:noProof/>
          <w:lang w:eastAsia="ru-RU"/>
        </w:rPr>
      </w:pPr>
    </w:p>
    <w:p w:rsidR="000B4C86" w:rsidRDefault="000B4C86">
      <w:pPr>
        <w:ind w:left="425"/>
        <w:jc w:val="both"/>
        <w:rPr>
          <w:noProof/>
          <w:lang w:eastAsia="ru-RU"/>
        </w:rPr>
      </w:pPr>
    </w:p>
    <w:p w:rsidR="000B4C86" w:rsidRDefault="000B4C86">
      <w:pPr>
        <w:ind w:left="425"/>
        <w:jc w:val="both"/>
        <w:rPr>
          <w:noProof/>
          <w:lang w:eastAsia="ru-RU"/>
        </w:rPr>
      </w:pPr>
    </w:p>
    <w:p w:rsidR="000B4C86" w:rsidRDefault="000B4C86" w:rsidP="000B4C86">
      <w:pPr>
        <w:rPr>
          <w:rFonts w:ascii="Times New Roman" w:eastAsia="Times New Roman" w:hAnsi="Times New Roman" w:cs="Times New Roman"/>
          <w:b/>
          <w:bCs/>
          <w:sz w:val="20"/>
          <w:szCs w:val="20"/>
          <w:lang w:eastAsia="ru-RU"/>
        </w:rPr>
      </w:pPr>
    </w:p>
    <w:p w:rsidR="000B4C86" w:rsidRDefault="000B4C86" w:rsidP="000B4C86">
      <w:pPr>
        <w:tabs>
          <w:tab w:val="left" w:pos="1276"/>
          <w:tab w:val="left" w:pos="9356"/>
        </w:tabs>
        <w:spacing w:after="0" w:line="240" w:lineRule="auto"/>
        <w:ind w:left="-426" w:firstLine="284"/>
        <w:jc w:val="right"/>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Утвержден</w:t>
      </w:r>
    </w:p>
    <w:p w:rsidR="000B4C86" w:rsidRDefault="000B4C86" w:rsidP="000B4C86">
      <w:pPr>
        <w:tabs>
          <w:tab w:val="left" w:pos="1276"/>
          <w:tab w:val="left" w:pos="9356"/>
        </w:tabs>
        <w:spacing w:after="0" w:line="240" w:lineRule="auto"/>
        <w:ind w:left="-426" w:firstLine="284"/>
        <w:jc w:val="righ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Решением Совета директоров </w:t>
      </w:r>
    </w:p>
    <w:p w:rsidR="000B4C86" w:rsidRDefault="000B4C86" w:rsidP="000B4C86">
      <w:pPr>
        <w:tabs>
          <w:tab w:val="left" w:pos="1276"/>
          <w:tab w:val="left" w:pos="9356"/>
        </w:tabs>
        <w:spacing w:after="0" w:line="240" w:lineRule="auto"/>
        <w:ind w:left="-426" w:firstLine="284"/>
        <w:jc w:val="righ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ПАО «Россети Сибирь»</w:t>
      </w:r>
    </w:p>
    <w:p w:rsidR="000B4C86" w:rsidRDefault="000B4C86" w:rsidP="000B4C86">
      <w:pPr>
        <w:tabs>
          <w:tab w:val="left" w:pos="1276"/>
          <w:tab w:val="left" w:pos="9356"/>
        </w:tabs>
        <w:spacing w:after="0" w:line="240" w:lineRule="auto"/>
        <w:ind w:left="-426" w:firstLine="284"/>
        <w:jc w:val="righ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«26» мая 2025 года</w:t>
      </w:r>
    </w:p>
    <w:p w:rsidR="000B4C86" w:rsidRDefault="000B4C86" w:rsidP="000B4C86">
      <w:pPr>
        <w:tabs>
          <w:tab w:val="left" w:pos="1276"/>
          <w:tab w:val="left" w:pos="9356"/>
        </w:tabs>
        <w:spacing w:after="0" w:line="240" w:lineRule="auto"/>
        <w:ind w:left="-426" w:firstLine="284"/>
        <w:jc w:val="righ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(протокол от «29» мая 2025 года № 554/25)</w:t>
      </w:r>
    </w:p>
    <w:p w:rsidR="000B4C86" w:rsidRDefault="000B4C86" w:rsidP="000B4C86">
      <w:pPr>
        <w:tabs>
          <w:tab w:val="left" w:pos="1276"/>
          <w:tab w:val="left" w:pos="9356"/>
        </w:tabs>
        <w:spacing w:after="0" w:line="240" w:lineRule="auto"/>
        <w:ind w:left="-426" w:firstLine="284"/>
        <w:jc w:val="righ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Достоверность данных подтверждена </w:t>
      </w:r>
    </w:p>
    <w:p w:rsidR="000B4C86" w:rsidRDefault="000B4C86" w:rsidP="000B4C86">
      <w:pPr>
        <w:tabs>
          <w:tab w:val="left" w:pos="1276"/>
          <w:tab w:val="left" w:pos="9356"/>
        </w:tabs>
        <w:spacing w:after="0" w:line="240" w:lineRule="auto"/>
        <w:ind w:left="-426" w:firstLine="284"/>
        <w:jc w:val="righ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решением Ревизионной комиссии </w:t>
      </w:r>
    </w:p>
    <w:p w:rsidR="000B4C86" w:rsidRDefault="000B4C86" w:rsidP="000B4C86">
      <w:pPr>
        <w:tabs>
          <w:tab w:val="left" w:pos="1276"/>
          <w:tab w:val="left" w:pos="9356"/>
        </w:tabs>
        <w:spacing w:after="0" w:line="240" w:lineRule="auto"/>
        <w:ind w:left="-426" w:firstLine="284"/>
        <w:jc w:val="righ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ПАО «Россети Сибирь» </w:t>
      </w:r>
    </w:p>
    <w:p w:rsidR="000B4C86" w:rsidRDefault="000B4C86" w:rsidP="000B4C86">
      <w:pPr>
        <w:tabs>
          <w:tab w:val="left" w:pos="1276"/>
          <w:tab w:val="left" w:pos="9356"/>
        </w:tabs>
        <w:spacing w:after="0" w:line="240" w:lineRule="auto"/>
        <w:ind w:left="-426" w:firstLine="284"/>
        <w:jc w:val="righ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 мая 2025 года</w:t>
      </w:r>
    </w:p>
    <w:p w:rsidR="000B4C86" w:rsidRDefault="000B4C86" w:rsidP="000B4C86">
      <w:pPr>
        <w:tabs>
          <w:tab w:val="left" w:pos="1276"/>
          <w:tab w:val="left" w:pos="9356"/>
        </w:tabs>
        <w:spacing w:after="0" w:line="240" w:lineRule="auto"/>
        <w:ind w:left="-426" w:firstLine="284"/>
        <w:jc w:val="righ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(протокол от «06» мая 2025 года № 3)</w:t>
      </w:r>
    </w:p>
    <w:p w:rsidR="000B4C86" w:rsidRDefault="000B4C86" w:rsidP="000B4C86">
      <w:pPr>
        <w:tabs>
          <w:tab w:val="left" w:pos="9356"/>
        </w:tabs>
        <w:spacing w:after="0" w:line="240" w:lineRule="auto"/>
        <w:jc w:val="center"/>
        <w:rPr>
          <w:rFonts w:ascii="Times New Roman" w:eastAsia="Times New Roman" w:hAnsi="Times New Roman" w:cs="Times New Roman"/>
          <w:sz w:val="20"/>
          <w:szCs w:val="20"/>
          <w:lang w:eastAsia="ru-RU"/>
        </w:rPr>
      </w:pPr>
    </w:p>
    <w:p w:rsidR="000B4C86" w:rsidRDefault="000B4C86" w:rsidP="000B4C86">
      <w:pPr>
        <w:tabs>
          <w:tab w:val="left" w:pos="9356"/>
        </w:tabs>
        <w:spacing w:after="0" w:line="240" w:lineRule="auto"/>
        <w:jc w:val="center"/>
        <w:rPr>
          <w:rFonts w:ascii="Times New Roman" w:eastAsia="Times New Roman" w:hAnsi="Times New Roman" w:cs="Times New Roman"/>
          <w:sz w:val="20"/>
          <w:szCs w:val="20"/>
          <w:lang w:eastAsia="ru-RU"/>
        </w:rPr>
      </w:pPr>
    </w:p>
    <w:p w:rsidR="000B4C86" w:rsidRDefault="000B4C86" w:rsidP="000B4C86">
      <w:pPr>
        <w:tabs>
          <w:tab w:val="left" w:pos="9356"/>
        </w:tabs>
        <w:spacing w:after="0" w:line="240" w:lineRule="auto"/>
        <w:jc w:val="center"/>
        <w:rPr>
          <w:rFonts w:ascii="Times New Roman" w:eastAsia="Times New Roman" w:hAnsi="Times New Roman" w:cs="Times New Roman"/>
          <w:sz w:val="20"/>
          <w:szCs w:val="20"/>
          <w:lang w:eastAsia="ru-RU"/>
        </w:rPr>
      </w:pPr>
    </w:p>
    <w:p w:rsidR="000B4C86" w:rsidRDefault="000B4C86" w:rsidP="000B4C86">
      <w:pPr>
        <w:widowControl w:val="0"/>
        <w:tabs>
          <w:tab w:val="left" w:pos="9356"/>
        </w:tabs>
        <w:spacing w:after="0" w:line="240" w:lineRule="auto"/>
        <w:jc w:val="center"/>
        <w:outlineLvl w:val="5"/>
        <w:rPr>
          <w:rFonts w:ascii="Times New Roman" w:eastAsia="Times New Roman" w:hAnsi="Times New Roman" w:cs="Times New Roman"/>
          <w:b/>
          <w:bCs/>
          <w:sz w:val="20"/>
          <w:szCs w:val="20"/>
          <w:lang w:eastAsia="ru-RU"/>
        </w:rPr>
      </w:pPr>
      <w:r>
        <w:rPr>
          <w:rFonts w:ascii="Times New Roman" w:eastAsia="Calibri" w:hAnsi="Times New Roman" w:cs="Times New Roman"/>
          <w:b/>
          <w:sz w:val="20"/>
          <w:szCs w:val="20"/>
        </w:rPr>
        <w:t>ОТЧЕТ</w:t>
      </w:r>
    </w:p>
    <w:p w:rsidR="000B4C86" w:rsidRDefault="000B4C86" w:rsidP="000B4C86">
      <w:pPr>
        <w:widowControl w:val="0"/>
        <w:tabs>
          <w:tab w:val="left" w:pos="9356"/>
        </w:tabs>
        <w:spacing w:after="0" w:line="240" w:lineRule="auto"/>
        <w:jc w:val="center"/>
        <w:outlineLvl w:val="5"/>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о заключенных ПАО «Россети Сибирь» в 2024 году</w:t>
      </w:r>
    </w:p>
    <w:p w:rsidR="000B4C86" w:rsidRDefault="000B4C86" w:rsidP="000B4C86">
      <w:pPr>
        <w:widowControl w:val="0"/>
        <w:tabs>
          <w:tab w:val="left" w:pos="9356"/>
        </w:tabs>
        <w:spacing w:after="0" w:line="240" w:lineRule="auto"/>
        <w:jc w:val="center"/>
        <w:outlineLvl w:val="5"/>
        <w:rPr>
          <w:rFonts w:ascii="Times New Roman" w:eastAsia="Times New Roman" w:hAnsi="Times New Roman" w:cs="Times New Roman"/>
          <w:sz w:val="20"/>
          <w:szCs w:val="20"/>
          <w:lang w:eastAsia="ru-RU"/>
        </w:rPr>
      </w:pPr>
      <w:r>
        <w:rPr>
          <w:rFonts w:ascii="Times New Roman" w:eastAsia="Times New Roman" w:hAnsi="Times New Roman" w:cs="Times New Roman"/>
          <w:b/>
          <w:bCs/>
          <w:sz w:val="20"/>
          <w:szCs w:val="20"/>
          <w:lang w:eastAsia="ru-RU"/>
        </w:rPr>
        <w:t>сделках, в совершении которых имеется заинтересованность</w:t>
      </w:r>
    </w:p>
    <w:p w:rsidR="000B4C86" w:rsidRDefault="000B4C86" w:rsidP="000B4C86">
      <w:pPr>
        <w:jc w:val="center"/>
        <w:rPr>
          <w:rFonts w:ascii="Times New Roman" w:hAnsi="Times New Roman" w:cs="Times New Roman"/>
          <w:b/>
          <w:sz w:val="20"/>
          <w:szCs w:val="20"/>
        </w:rPr>
      </w:pPr>
    </w:p>
    <w:p w:rsidR="000B4C86" w:rsidRDefault="000B4C86" w:rsidP="000B4C86">
      <w:pPr>
        <w:jc w:val="center"/>
        <w:rPr>
          <w:rFonts w:ascii="Times New Roman" w:hAnsi="Times New Roman" w:cs="Times New Roman"/>
          <w:b/>
          <w:sz w:val="20"/>
          <w:szCs w:val="20"/>
        </w:rPr>
      </w:pPr>
    </w:p>
    <w:p w:rsidR="000B4C86" w:rsidRDefault="000B4C86" w:rsidP="000B4C86">
      <w:pPr>
        <w:jc w:val="center"/>
        <w:rPr>
          <w:rFonts w:ascii="Times New Roman" w:hAnsi="Times New Roman" w:cs="Times New Roman"/>
          <w:b/>
          <w:sz w:val="20"/>
          <w:szCs w:val="20"/>
        </w:rPr>
      </w:pPr>
    </w:p>
    <w:p w:rsidR="000B4C86" w:rsidRDefault="000B4C86" w:rsidP="000B4C86">
      <w:pPr>
        <w:jc w:val="center"/>
        <w:rPr>
          <w:rFonts w:ascii="Times New Roman" w:hAnsi="Times New Roman" w:cs="Times New Roman"/>
          <w:b/>
          <w:sz w:val="20"/>
          <w:szCs w:val="20"/>
        </w:rPr>
      </w:pPr>
    </w:p>
    <w:p w:rsidR="000B4C86" w:rsidRDefault="000B4C86" w:rsidP="000B4C86">
      <w:pPr>
        <w:jc w:val="center"/>
        <w:rPr>
          <w:rFonts w:ascii="Times New Roman" w:hAnsi="Times New Roman" w:cs="Times New Roman"/>
          <w:b/>
          <w:sz w:val="20"/>
          <w:szCs w:val="20"/>
        </w:rPr>
      </w:pPr>
    </w:p>
    <w:p w:rsidR="000B4C86" w:rsidRDefault="000B4C86" w:rsidP="000B4C86">
      <w:pPr>
        <w:jc w:val="center"/>
        <w:rPr>
          <w:rFonts w:ascii="Times New Roman" w:hAnsi="Times New Roman" w:cs="Times New Roman"/>
          <w:b/>
          <w:sz w:val="20"/>
          <w:szCs w:val="20"/>
        </w:rPr>
      </w:pPr>
    </w:p>
    <w:p w:rsidR="000B4C86" w:rsidRDefault="000B4C86" w:rsidP="000B4C86">
      <w:pPr>
        <w:jc w:val="center"/>
        <w:rPr>
          <w:rFonts w:ascii="Times New Roman" w:hAnsi="Times New Roman" w:cs="Times New Roman"/>
          <w:b/>
          <w:sz w:val="20"/>
          <w:szCs w:val="20"/>
        </w:rPr>
      </w:pPr>
    </w:p>
    <w:p w:rsidR="000B4C86" w:rsidRDefault="000B4C86" w:rsidP="000B4C86">
      <w:pPr>
        <w:jc w:val="center"/>
        <w:rPr>
          <w:rFonts w:ascii="Times New Roman" w:hAnsi="Times New Roman" w:cs="Times New Roman"/>
          <w:b/>
          <w:sz w:val="20"/>
          <w:szCs w:val="20"/>
        </w:rPr>
      </w:pPr>
    </w:p>
    <w:p w:rsidR="000B4C86" w:rsidRDefault="000B4C86" w:rsidP="000B4C86">
      <w:pPr>
        <w:jc w:val="center"/>
        <w:rPr>
          <w:rFonts w:ascii="Times New Roman" w:hAnsi="Times New Roman" w:cs="Times New Roman"/>
          <w:b/>
          <w:sz w:val="20"/>
          <w:szCs w:val="20"/>
        </w:rPr>
      </w:pPr>
    </w:p>
    <w:p w:rsidR="000B4C86" w:rsidRDefault="000B4C86" w:rsidP="000B4C86">
      <w:pPr>
        <w:jc w:val="center"/>
        <w:rPr>
          <w:rFonts w:ascii="Times New Roman" w:hAnsi="Times New Roman" w:cs="Times New Roman"/>
          <w:b/>
          <w:sz w:val="20"/>
          <w:szCs w:val="20"/>
        </w:rPr>
      </w:pPr>
    </w:p>
    <w:p w:rsidR="000B4C86" w:rsidRDefault="000B4C86" w:rsidP="000B4C86">
      <w:pPr>
        <w:jc w:val="center"/>
        <w:rPr>
          <w:rFonts w:ascii="Times New Roman" w:hAnsi="Times New Roman" w:cs="Times New Roman"/>
          <w:b/>
          <w:sz w:val="20"/>
          <w:szCs w:val="20"/>
        </w:rPr>
      </w:pPr>
    </w:p>
    <w:p w:rsidR="000B4C86" w:rsidRDefault="000B4C86" w:rsidP="000B4C86">
      <w:pPr>
        <w:jc w:val="center"/>
        <w:rPr>
          <w:rFonts w:ascii="Times New Roman" w:hAnsi="Times New Roman" w:cs="Times New Roman"/>
          <w:b/>
          <w:sz w:val="20"/>
          <w:szCs w:val="20"/>
          <w:lang w:val="en-US"/>
        </w:rPr>
      </w:pPr>
      <w:r>
        <w:rPr>
          <w:rFonts w:ascii="Times New Roman" w:hAnsi="Times New Roman" w:cs="Times New Roman"/>
          <w:b/>
          <w:sz w:val="20"/>
          <w:szCs w:val="20"/>
        </w:rPr>
        <w:t>Город Красноярск 2025</w:t>
      </w:r>
    </w:p>
    <w:p w:rsidR="000B4C86" w:rsidRDefault="000B4C86" w:rsidP="000B4C86">
      <w:pPr>
        <w:jc w:val="center"/>
        <w:rPr>
          <w:rFonts w:ascii="Times New Roman" w:hAnsi="Times New Roman" w:cs="Times New Roman"/>
          <w:b/>
          <w:sz w:val="20"/>
          <w:szCs w:val="20"/>
        </w:rPr>
      </w:pPr>
    </w:p>
    <w:p w:rsidR="000B4C86" w:rsidRDefault="000B4C86">
      <w:pPr>
        <w:ind w:left="425"/>
        <w:jc w:val="both"/>
        <w:rPr>
          <w:noProof/>
          <w:lang w:eastAsia="ru-RU"/>
        </w:rPr>
      </w:pP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482860" name=""/>
                    <pic:cNvPicPr>
                      <a:picLocks noChangeAspect="1"/>
                    </pic:cNvPicPr>
                  </pic:nvPicPr>
                  <pic:blipFill>
                    <a:blip r:embed="rId129"/>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451423" name=""/>
                    <pic:cNvPicPr>
                      <a:picLocks noChangeAspect="1"/>
                    </pic:cNvPicPr>
                  </pic:nvPicPr>
                  <pic:blipFill>
                    <a:blip r:embed="rId130"/>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926242" name=""/>
                    <pic:cNvPicPr>
                      <a:picLocks noChangeAspect="1"/>
                    </pic:cNvPicPr>
                  </pic:nvPicPr>
                  <pic:blipFill>
                    <a:blip r:embed="rId131"/>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00936" name=""/>
                    <pic:cNvPicPr>
                      <a:picLocks noChangeAspect="1"/>
                    </pic:cNvPicPr>
                  </pic:nvPicPr>
                  <pic:blipFill>
                    <a:blip r:embed="rId132"/>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292617" name=""/>
                    <pic:cNvPicPr>
                      <a:picLocks noChangeAspect="1"/>
                    </pic:cNvPicPr>
                  </pic:nvPicPr>
                  <pic:blipFill>
                    <a:blip r:embed="rId133"/>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524461" name=""/>
                    <pic:cNvPicPr>
                      <a:picLocks noChangeAspect="1"/>
                    </pic:cNvPicPr>
                  </pic:nvPicPr>
                  <pic:blipFill>
                    <a:blip r:embed="rId134"/>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952253" name=""/>
                    <pic:cNvPicPr>
                      <a:picLocks noChangeAspect="1"/>
                    </pic:cNvPicPr>
                  </pic:nvPicPr>
                  <pic:blipFill>
                    <a:blip r:embed="rId135"/>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53177" name=""/>
                    <pic:cNvPicPr>
                      <a:picLocks noChangeAspect="1"/>
                    </pic:cNvPicPr>
                  </pic:nvPicPr>
                  <pic:blipFill>
                    <a:blip r:embed="rId136"/>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84703" name=""/>
                    <pic:cNvPicPr>
                      <a:picLocks noChangeAspect="1"/>
                    </pic:cNvPicPr>
                  </pic:nvPicPr>
                  <pic:blipFill>
                    <a:blip r:embed="rId137"/>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988697" name=""/>
                    <pic:cNvPicPr>
                      <a:picLocks noChangeAspect="1"/>
                    </pic:cNvPicPr>
                  </pic:nvPicPr>
                  <pic:blipFill>
                    <a:blip r:embed="rId138"/>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467236" name=""/>
                    <pic:cNvPicPr>
                      <a:picLocks noChangeAspect="1"/>
                    </pic:cNvPicPr>
                  </pic:nvPicPr>
                  <pic:blipFill>
                    <a:blip r:embed="rId139"/>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38856" name=""/>
                    <pic:cNvPicPr>
                      <a:picLocks noChangeAspect="1"/>
                    </pic:cNvPicPr>
                  </pic:nvPicPr>
                  <pic:blipFill>
                    <a:blip r:embed="rId140"/>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542569" name=""/>
                    <pic:cNvPicPr>
                      <a:picLocks noChangeAspect="1"/>
                    </pic:cNvPicPr>
                  </pic:nvPicPr>
                  <pic:blipFill>
                    <a:blip r:embed="rId141"/>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51437" name=""/>
                    <pic:cNvPicPr>
                      <a:picLocks noChangeAspect="1"/>
                    </pic:cNvPicPr>
                  </pic:nvPicPr>
                  <pic:blipFill>
                    <a:blip r:embed="rId142"/>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081712" name=""/>
                    <pic:cNvPicPr>
                      <a:picLocks noChangeAspect="1"/>
                    </pic:cNvPicPr>
                  </pic:nvPicPr>
                  <pic:blipFill>
                    <a:blip r:embed="rId143"/>
                    <a:stretch/>
                  </pic:blipFill>
                  <pic:spPr bwMode="auto">
                    <a:xfrm>
                      <a:off x="0" y="0"/>
                      <a:ext cx="9035290" cy="6389369"/>
                    </a:xfrm>
                    <a:prstGeom prst="rect">
                      <a:avLst/>
                    </a:prstGeom>
                  </pic:spPr>
                </pic:pic>
              </a:graphicData>
            </a:graphic>
          </wp:inline>
        </w:drawing>
      </w:r>
    </w:p>
    <w:p w:rsidR="00D602D4" w:rsidRDefault="000B4C86">
      <w:pPr>
        <w:widowControl w:val="0"/>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extent cx="9035290" cy="638937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680131" name=""/>
                    <pic:cNvPicPr>
                      <a:picLocks noChangeAspect="1"/>
                    </pic:cNvPicPr>
                  </pic:nvPicPr>
                  <pic:blipFill>
                    <a:blip r:embed="rId144"/>
                    <a:stretch/>
                  </pic:blipFill>
                  <pic:spPr bwMode="auto">
                    <a:xfrm>
                      <a:off x="0" y="0"/>
                      <a:ext cx="9035290" cy="6389369"/>
                    </a:xfrm>
                    <a:prstGeom prst="rect">
                      <a:avLst/>
                    </a:prstGeom>
                  </pic:spPr>
                </pic:pic>
              </a:graphicData>
            </a:graphic>
          </wp:inline>
        </w:drawing>
      </w:r>
    </w:p>
    <w:p w:rsidR="00D602D4" w:rsidRDefault="00D602D4">
      <w:pPr>
        <w:widowControl w:val="0"/>
        <w:spacing w:after="0" w:line="240" w:lineRule="auto"/>
        <w:jc w:val="both"/>
        <w:rPr>
          <w:rFonts w:ascii="Times New Roman" w:eastAsia="Times New Roman" w:hAnsi="Times New Roman" w:cs="Times New Roman"/>
          <w:lang w:eastAsia="ru-RU"/>
        </w:rPr>
      </w:pPr>
    </w:p>
    <w:p w:rsidR="00D602D4" w:rsidRDefault="00D602D4">
      <w:pPr>
        <w:widowControl w:val="0"/>
        <w:spacing w:after="0" w:line="240" w:lineRule="auto"/>
        <w:jc w:val="both"/>
        <w:rPr>
          <w:rFonts w:ascii="Times New Roman" w:eastAsia="Times New Roman" w:hAnsi="Times New Roman" w:cs="Times New Roman"/>
          <w:lang w:eastAsia="ru-RU"/>
        </w:rPr>
      </w:pPr>
    </w:p>
    <w:p w:rsidR="00D602D4" w:rsidRDefault="00D602D4">
      <w:pPr>
        <w:widowControl w:val="0"/>
        <w:spacing w:after="0" w:line="240" w:lineRule="auto"/>
        <w:jc w:val="both"/>
        <w:rPr>
          <w:rFonts w:ascii="Times New Roman" w:eastAsia="Times New Roman" w:hAnsi="Times New Roman" w:cs="Times New Roman"/>
          <w:lang w:eastAsia="ru-RU"/>
        </w:rPr>
      </w:pPr>
    </w:p>
    <w:p w:rsidR="00D602D4" w:rsidRDefault="000B4C86">
      <w:pPr>
        <w:widowControl w:val="0"/>
        <w:spacing w:after="0" w:line="240" w:lineRule="auto"/>
        <w:jc w:val="both"/>
        <w:rPr>
          <w:rFonts w:ascii="Times New Roman" w:eastAsia="Times New Roman" w:hAnsi="Times New Roman" w:cs="Times New Roman"/>
          <w:lang w:eastAsia="ru-RU"/>
        </w:rPr>
      </w:pPr>
      <w:bookmarkStart w:id="137" w:name="_Toc177"/>
      <w:r>
        <w:rPr>
          <w:rFonts w:ascii="Times New Roman" w:eastAsia="Times New Roman" w:hAnsi="Times New Roman" w:cs="Times New Roman"/>
          <w:b/>
          <w:bCs/>
          <w:color w:val="000000" w:themeColor="text1"/>
          <w:sz w:val="26"/>
          <w:szCs w:val="26"/>
        </w:rPr>
        <w:t>Приложение 3. Информация о существенных сделках, совершенных Обществом и подконтрольными ему юридическими лицами (в том числе взаимосвязанных сделок, совершенных обществом, одним и (или) несколькими подконтрольными ему юридическими лицами) за отчетный год.</w:t>
      </w:r>
      <w:bookmarkEnd w:id="137"/>
    </w:p>
    <w:p w:rsidR="00D602D4" w:rsidRDefault="00D602D4"/>
    <w:p w:rsidR="00D602D4" w:rsidRDefault="000B4C86">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2024 году ПАО «Россети Сибирь» и подконтрольные ему юридические лица не совершали существенных сделок.</w:t>
      </w: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D602D4">
      <w:pPr>
        <w:spacing w:after="0" w:line="240" w:lineRule="auto"/>
        <w:ind w:firstLine="709"/>
        <w:jc w:val="both"/>
        <w:rPr>
          <w:rFonts w:ascii="Times New Roman" w:hAnsi="Times New Roman" w:cs="Times New Roman"/>
          <w:b/>
          <w:bCs/>
          <w:sz w:val="16"/>
          <w:szCs w:val="16"/>
        </w:rPr>
      </w:pPr>
    </w:p>
    <w:p w:rsidR="00D602D4" w:rsidRDefault="000B4C86">
      <w:pPr>
        <w:pStyle w:val="13"/>
        <w:rPr>
          <w:rFonts w:ascii="Times New Roman" w:hAnsi="Times New Roman" w:cs="Times New Roman"/>
          <w:b/>
          <w:bCs/>
          <w:sz w:val="16"/>
          <w:szCs w:val="16"/>
        </w:rPr>
      </w:pPr>
      <w:bookmarkStart w:id="138" w:name="_Toc178"/>
      <w:r>
        <w:rPr>
          <w:rFonts w:ascii="Times New Roman" w:eastAsia="Times New Roman" w:hAnsi="Times New Roman" w:cs="Times New Roman"/>
          <w:b/>
          <w:color w:val="auto"/>
          <w:sz w:val="26"/>
          <w:szCs w:val="26"/>
        </w:rPr>
        <w:lastRenderedPageBreak/>
        <w:t>Приложение 4. Сведения об участии Общества в деятельности коммерческих и некоммерческих организаций в 2024 году</w:t>
      </w:r>
      <w:bookmarkEnd w:id="138"/>
    </w:p>
    <w:p w:rsidR="00D602D4" w:rsidRDefault="00D602D4">
      <w:pPr>
        <w:pStyle w:val="13"/>
        <w:spacing w:before="0" w:line="240" w:lineRule="auto"/>
      </w:pPr>
    </w:p>
    <w:p w:rsidR="00D602D4" w:rsidRDefault="000B4C86">
      <w:pPr>
        <w:spacing w:after="0" w:line="240" w:lineRule="auto"/>
        <w:ind w:left="426" w:right="-143" w:hanging="42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eastAsia="ru-RU"/>
        </w:rPr>
        <w:t xml:space="preserve">Сведения об участии в деятельности дочерних, зависимых и других </w:t>
      </w:r>
    </w:p>
    <w:p w:rsidR="00D602D4" w:rsidRDefault="000B4C86">
      <w:pPr>
        <w:spacing w:after="0" w:line="240" w:lineRule="auto"/>
        <w:ind w:left="426" w:right="-143" w:hanging="42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eastAsia="ru-RU"/>
        </w:rPr>
        <w:t>хозяйственных обществ (коммерческих организациях) в 2024 году</w:t>
      </w:r>
    </w:p>
    <w:tbl>
      <w:tblPr>
        <w:tblW w:w="15167"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2126"/>
        <w:gridCol w:w="2126"/>
        <w:gridCol w:w="2552"/>
        <w:gridCol w:w="1562"/>
        <w:gridCol w:w="1698"/>
        <w:gridCol w:w="1701"/>
        <w:gridCol w:w="1417"/>
      </w:tblGrid>
      <w:tr w:rsidR="00D602D4">
        <w:trPr>
          <w:trHeight w:val="493"/>
        </w:trPr>
        <w:tc>
          <w:tcPr>
            <w:tcW w:w="1985" w:type="dxa"/>
            <w:vMerge w:val="restart"/>
            <w:vAlign w:val="center"/>
          </w:tcPr>
          <w:p w:rsidR="00D602D4" w:rsidRDefault="000B4C86">
            <w:pPr>
              <w:spacing w:after="0" w:line="240" w:lineRule="auto"/>
              <w:ind w:left="426" w:right="-143" w:hanging="426"/>
              <w:jc w:val="center"/>
              <w:rPr>
                <w:rFonts w:ascii="Times New Roman" w:eastAsia="Times New Roman" w:hAnsi="Times New Roman" w:cs="Times New Roman"/>
                <w:i/>
                <w:sz w:val="20"/>
                <w:szCs w:val="20"/>
                <w:lang w:eastAsia="ru-RU"/>
              </w:rPr>
            </w:pPr>
            <w:r>
              <w:rPr>
                <w:rFonts w:ascii="Times New Roman" w:eastAsia="Times New Roman" w:hAnsi="Times New Roman" w:cs="Times New Roman"/>
                <w:i/>
                <w:sz w:val="20"/>
                <w:szCs w:val="20"/>
                <w:lang w:eastAsia="ru-RU"/>
              </w:rPr>
              <w:t>Сокращенное</w:t>
            </w:r>
          </w:p>
          <w:p w:rsidR="00D602D4" w:rsidRDefault="000B4C86">
            <w:pPr>
              <w:spacing w:after="0" w:line="240" w:lineRule="auto"/>
              <w:ind w:left="426" w:right="-143" w:hanging="426"/>
              <w:jc w:val="center"/>
              <w:rPr>
                <w:rFonts w:ascii="Times New Roman" w:eastAsia="Times New Roman" w:hAnsi="Times New Roman" w:cs="Times New Roman"/>
                <w:i/>
                <w:sz w:val="20"/>
                <w:szCs w:val="20"/>
                <w:lang w:eastAsia="ru-RU"/>
              </w:rPr>
            </w:pPr>
            <w:r>
              <w:rPr>
                <w:rFonts w:ascii="Times New Roman" w:eastAsia="Times New Roman" w:hAnsi="Times New Roman" w:cs="Times New Roman"/>
                <w:i/>
                <w:sz w:val="20"/>
                <w:szCs w:val="20"/>
                <w:lang w:eastAsia="ru-RU"/>
              </w:rPr>
              <w:t>Фирменное</w:t>
            </w:r>
          </w:p>
          <w:p w:rsidR="00D602D4" w:rsidRDefault="000B4C86">
            <w:pPr>
              <w:spacing w:after="0" w:line="240" w:lineRule="auto"/>
              <w:ind w:left="426" w:right="-143" w:hanging="426"/>
              <w:jc w:val="center"/>
              <w:rPr>
                <w:rFonts w:ascii="Times New Roman" w:eastAsia="Times New Roman" w:hAnsi="Times New Roman" w:cs="Times New Roman"/>
                <w:i/>
                <w:sz w:val="20"/>
                <w:szCs w:val="20"/>
                <w:lang w:eastAsia="ru-RU"/>
              </w:rPr>
            </w:pPr>
            <w:r>
              <w:rPr>
                <w:rFonts w:ascii="Times New Roman" w:eastAsia="Times New Roman" w:hAnsi="Times New Roman" w:cs="Times New Roman"/>
                <w:i/>
                <w:sz w:val="20"/>
                <w:szCs w:val="20"/>
                <w:lang w:eastAsia="ru-RU"/>
              </w:rPr>
              <w:t>наименование</w:t>
            </w:r>
          </w:p>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i/>
                <w:sz w:val="20"/>
                <w:szCs w:val="20"/>
                <w:lang w:eastAsia="ru-RU"/>
              </w:rPr>
              <w:t>Общества</w:t>
            </w:r>
          </w:p>
        </w:tc>
        <w:tc>
          <w:tcPr>
            <w:tcW w:w="2126" w:type="dxa"/>
            <w:vMerge w:val="restart"/>
            <w:vAlign w:val="center"/>
          </w:tcPr>
          <w:p w:rsidR="00D602D4" w:rsidRDefault="000B4C86">
            <w:pPr>
              <w:spacing w:after="0" w:line="240" w:lineRule="auto"/>
              <w:ind w:left="37" w:right="-143" w:hanging="37"/>
              <w:jc w:val="center"/>
              <w:rPr>
                <w:rFonts w:ascii="Times New Roman" w:eastAsia="Times New Roman" w:hAnsi="Times New Roman" w:cs="Times New Roman"/>
                <w:i/>
                <w:sz w:val="20"/>
                <w:szCs w:val="20"/>
                <w:lang w:eastAsia="ru-RU"/>
              </w:rPr>
            </w:pPr>
            <w:r>
              <w:rPr>
                <w:rFonts w:ascii="Times New Roman" w:eastAsia="Times New Roman" w:hAnsi="Times New Roman" w:cs="Times New Roman"/>
                <w:i/>
                <w:sz w:val="20"/>
                <w:szCs w:val="20"/>
                <w:lang w:eastAsia="ru-RU"/>
              </w:rPr>
              <w:t>Регион</w:t>
            </w:r>
          </w:p>
          <w:p w:rsidR="00D602D4" w:rsidRDefault="000B4C86">
            <w:pPr>
              <w:spacing w:after="0" w:line="240" w:lineRule="auto"/>
              <w:ind w:left="37" w:right="-143" w:hanging="37"/>
              <w:jc w:val="center"/>
              <w:rPr>
                <w:rFonts w:ascii="Times New Roman" w:eastAsia="Times New Roman" w:hAnsi="Times New Roman" w:cs="Times New Roman"/>
                <w:i/>
                <w:sz w:val="20"/>
                <w:szCs w:val="20"/>
                <w:lang w:eastAsia="ru-RU"/>
              </w:rPr>
            </w:pPr>
            <w:r>
              <w:rPr>
                <w:rFonts w:ascii="Times New Roman" w:eastAsia="Times New Roman" w:hAnsi="Times New Roman" w:cs="Times New Roman"/>
                <w:i/>
                <w:sz w:val="20"/>
                <w:szCs w:val="20"/>
                <w:lang w:eastAsia="ru-RU"/>
              </w:rPr>
              <w:t>деятельности</w:t>
            </w:r>
          </w:p>
        </w:tc>
        <w:tc>
          <w:tcPr>
            <w:tcW w:w="2126" w:type="dxa"/>
            <w:vMerge w:val="restart"/>
            <w:vAlign w:val="center"/>
          </w:tcPr>
          <w:p w:rsidR="00D602D4" w:rsidRDefault="000B4C86">
            <w:pPr>
              <w:spacing w:after="0" w:line="240" w:lineRule="auto"/>
              <w:ind w:right="-143"/>
              <w:jc w:val="center"/>
              <w:rPr>
                <w:rFonts w:ascii="Times New Roman" w:eastAsia="Times New Roman" w:hAnsi="Times New Roman" w:cs="Times New Roman"/>
                <w:i/>
                <w:sz w:val="20"/>
                <w:szCs w:val="20"/>
                <w:lang w:eastAsia="ru-RU"/>
              </w:rPr>
            </w:pPr>
            <w:r>
              <w:rPr>
                <w:rFonts w:ascii="Times New Roman" w:eastAsia="Times New Roman" w:hAnsi="Times New Roman" w:cs="Times New Roman"/>
                <w:i/>
                <w:sz w:val="20"/>
                <w:szCs w:val="20"/>
                <w:lang w:eastAsia="ru-RU"/>
              </w:rPr>
              <w:t>Основной</w:t>
            </w:r>
          </w:p>
          <w:p w:rsidR="00D602D4" w:rsidRDefault="000B4C86">
            <w:pPr>
              <w:spacing w:after="0" w:line="240" w:lineRule="auto"/>
              <w:ind w:right="-143"/>
              <w:jc w:val="center"/>
              <w:rPr>
                <w:rFonts w:ascii="Times New Roman" w:eastAsia="Times New Roman" w:hAnsi="Times New Roman" w:cs="Times New Roman"/>
                <w:i/>
                <w:sz w:val="20"/>
                <w:szCs w:val="20"/>
                <w:lang w:eastAsia="ru-RU"/>
              </w:rPr>
            </w:pPr>
            <w:r>
              <w:rPr>
                <w:rFonts w:ascii="Times New Roman" w:eastAsia="Times New Roman" w:hAnsi="Times New Roman" w:cs="Times New Roman"/>
                <w:i/>
                <w:sz w:val="20"/>
                <w:szCs w:val="20"/>
                <w:lang w:eastAsia="ru-RU"/>
              </w:rPr>
              <w:t>Вид</w:t>
            </w:r>
          </w:p>
          <w:p w:rsidR="00D602D4" w:rsidRDefault="000B4C86">
            <w:pPr>
              <w:spacing w:after="0" w:line="240" w:lineRule="auto"/>
              <w:ind w:right="-143"/>
              <w:jc w:val="center"/>
              <w:rPr>
                <w:rFonts w:ascii="Times New Roman" w:eastAsia="Times New Roman" w:hAnsi="Times New Roman" w:cs="Times New Roman"/>
                <w:sz w:val="20"/>
                <w:szCs w:val="20"/>
                <w:lang w:eastAsia="ru-RU"/>
              </w:rPr>
            </w:pPr>
            <w:r>
              <w:rPr>
                <w:rFonts w:ascii="Times New Roman" w:eastAsia="Times New Roman" w:hAnsi="Times New Roman" w:cs="Times New Roman"/>
                <w:i/>
                <w:sz w:val="20"/>
                <w:szCs w:val="20"/>
                <w:lang w:eastAsia="ru-RU"/>
              </w:rPr>
              <w:t>деятельности</w:t>
            </w:r>
          </w:p>
        </w:tc>
        <w:tc>
          <w:tcPr>
            <w:tcW w:w="2552" w:type="dxa"/>
            <w:vMerge w:val="restart"/>
            <w:vAlign w:val="center"/>
          </w:tcPr>
          <w:p w:rsidR="00D602D4" w:rsidRDefault="000B4C86">
            <w:pPr>
              <w:spacing w:after="0" w:line="240" w:lineRule="auto"/>
              <w:ind w:right="-143"/>
              <w:jc w:val="center"/>
              <w:rPr>
                <w:rFonts w:ascii="Times New Roman" w:eastAsia="Times New Roman" w:hAnsi="Times New Roman" w:cs="Times New Roman"/>
                <w:sz w:val="20"/>
                <w:szCs w:val="20"/>
                <w:lang w:eastAsia="ru-RU"/>
              </w:rPr>
            </w:pPr>
            <w:r>
              <w:rPr>
                <w:rFonts w:ascii="Times New Roman" w:eastAsia="Times New Roman" w:hAnsi="Times New Roman" w:cs="Times New Roman"/>
                <w:i/>
                <w:sz w:val="20"/>
                <w:szCs w:val="20"/>
                <w:lang w:eastAsia="ru-RU"/>
              </w:rPr>
              <w:t>Цель участия</w:t>
            </w:r>
          </w:p>
        </w:tc>
        <w:tc>
          <w:tcPr>
            <w:tcW w:w="1562" w:type="dxa"/>
            <w:vMerge w:val="restart"/>
            <w:vAlign w:val="center"/>
          </w:tcPr>
          <w:p w:rsidR="00D602D4" w:rsidRDefault="000B4C86">
            <w:pPr>
              <w:spacing w:after="0" w:line="240" w:lineRule="auto"/>
              <w:ind w:right="-143"/>
              <w:jc w:val="center"/>
              <w:rPr>
                <w:rFonts w:ascii="Times New Roman" w:eastAsia="Times New Roman" w:hAnsi="Times New Roman" w:cs="Times New Roman"/>
                <w:i/>
                <w:sz w:val="20"/>
                <w:szCs w:val="20"/>
                <w:lang w:eastAsia="ru-RU"/>
              </w:rPr>
            </w:pPr>
            <w:r>
              <w:rPr>
                <w:rFonts w:ascii="Times New Roman" w:eastAsia="Times New Roman" w:hAnsi="Times New Roman" w:cs="Times New Roman"/>
                <w:i/>
                <w:sz w:val="20"/>
                <w:szCs w:val="20"/>
                <w:lang w:eastAsia="ru-RU"/>
              </w:rPr>
              <w:t>Доля ПАО «Россети Сибирь» в уставном капитале Общества на 31.12.2024</w:t>
            </w:r>
          </w:p>
        </w:tc>
        <w:tc>
          <w:tcPr>
            <w:tcW w:w="3399" w:type="dxa"/>
            <w:gridSpan w:val="2"/>
            <w:vAlign w:val="center"/>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i/>
                <w:sz w:val="20"/>
                <w:szCs w:val="20"/>
                <w:lang w:eastAsia="ru-RU"/>
              </w:rPr>
              <w:t>Финансовые показатели</w:t>
            </w:r>
            <w:r>
              <w:rPr>
                <w:rFonts w:ascii="Times New Roman" w:eastAsia="Times New Roman" w:hAnsi="Times New Roman" w:cs="Times New Roman"/>
                <w:i/>
                <w:sz w:val="20"/>
                <w:szCs w:val="20"/>
                <w:lang w:eastAsia="ru-RU"/>
              </w:rPr>
              <w:br/>
              <w:t>за 2024 год</w:t>
            </w:r>
          </w:p>
        </w:tc>
        <w:tc>
          <w:tcPr>
            <w:tcW w:w="1417" w:type="dxa"/>
            <w:vMerge w:val="restart"/>
            <w:vAlign w:val="center"/>
          </w:tcPr>
          <w:p w:rsidR="00D602D4" w:rsidRDefault="000B4C86">
            <w:pPr>
              <w:spacing w:after="0" w:line="240" w:lineRule="auto"/>
              <w:ind w:left="34" w:right="-143" w:hanging="34"/>
              <w:jc w:val="center"/>
              <w:rPr>
                <w:rFonts w:ascii="Times New Roman" w:eastAsia="Times New Roman" w:hAnsi="Times New Roman" w:cs="Times New Roman"/>
                <w:sz w:val="20"/>
                <w:szCs w:val="20"/>
                <w:lang w:eastAsia="ru-RU"/>
              </w:rPr>
            </w:pPr>
            <w:r>
              <w:rPr>
                <w:rFonts w:ascii="Times New Roman" w:eastAsia="Times New Roman" w:hAnsi="Times New Roman" w:cs="Times New Roman"/>
                <w:i/>
                <w:sz w:val="20"/>
                <w:szCs w:val="20"/>
                <w:lang w:eastAsia="ru-RU"/>
              </w:rPr>
              <w:t>Размер полученных в отчетном году дивидендов по имеющимся у общества акциям</w:t>
            </w:r>
          </w:p>
        </w:tc>
      </w:tr>
      <w:tr w:rsidR="00D602D4">
        <w:trPr>
          <w:trHeight w:val="53"/>
        </w:trPr>
        <w:tc>
          <w:tcPr>
            <w:tcW w:w="1985" w:type="dxa"/>
            <w:vMerge/>
            <w:shd w:val="clear" w:color="FFFFFF" w:fill="FFFFFF"/>
          </w:tcPr>
          <w:p w:rsidR="00D602D4" w:rsidRDefault="00D602D4">
            <w:pPr>
              <w:spacing w:after="0" w:line="240" w:lineRule="auto"/>
              <w:ind w:left="426" w:right="-143" w:hanging="426"/>
              <w:rPr>
                <w:rFonts w:ascii="Times New Roman" w:eastAsia="Times New Roman" w:hAnsi="Times New Roman" w:cs="Times New Roman"/>
                <w:sz w:val="20"/>
                <w:szCs w:val="20"/>
                <w:lang w:eastAsia="ru-RU"/>
              </w:rPr>
            </w:pPr>
          </w:p>
        </w:tc>
        <w:tc>
          <w:tcPr>
            <w:tcW w:w="2126" w:type="dxa"/>
            <w:vMerge/>
            <w:shd w:val="clear" w:color="FFFFFF" w:fill="FFFFFF"/>
          </w:tcPr>
          <w:p w:rsidR="00D602D4" w:rsidRDefault="00D602D4">
            <w:pPr>
              <w:spacing w:after="0" w:line="240" w:lineRule="auto"/>
              <w:ind w:left="426" w:right="-143" w:hanging="426"/>
              <w:rPr>
                <w:rFonts w:ascii="Times New Roman" w:eastAsia="Times New Roman" w:hAnsi="Times New Roman" w:cs="Times New Roman"/>
                <w:sz w:val="20"/>
                <w:szCs w:val="20"/>
                <w:lang w:eastAsia="ru-RU"/>
              </w:rPr>
            </w:pPr>
          </w:p>
        </w:tc>
        <w:tc>
          <w:tcPr>
            <w:tcW w:w="2126" w:type="dxa"/>
            <w:vMerge/>
            <w:shd w:val="clear" w:color="FFFFFF" w:fill="FFFFFF"/>
          </w:tcPr>
          <w:p w:rsidR="00D602D4" w:rsidRDefault="00D602D4">
            <w:pPr>
              <w:spacing w:after="0" w:line="240" w:lineRule="auto"/>
              <w:ind w:left="426" w:right="-143" w:hanging="426"/>
              <w:rPr>
                <w:rFonts w:ascii="Times New Roman" w:eastAsia="Times New Roman" w:hAnsi="Times New Roman" w:cs="Times New Roman"/>
                <w:sz w:val="20"/>
                <w:szCs w:val="20"/>
                <w:lang w:eastAsia="ru-RU"/>
              </w:rPr>
            </w:pPr>
          </w:p>
        </w:tc>
        <w:tc>
          <w:tcPr>
            <w:tcW w:w="2552" w:type="dxa"/>
            <w:vMerge/>
            <w:shd w:val="clear" w:color="FFFFFF" w:fill="FFFFFF"/>
          </w:tcPr>
          <w:p w:rsidR="00D602D4" w:rsidRDefault="00D602D4">
            <w:pPr>
              <w:spacing w:after="0" w:line="240" w:lineRule="auto"/>
              <w:ind w:left="426" w:right="-143" w:hanging="426"/>
              <w:rPr>
                <w:rFonts w:ascii="Times New Roman" w:eastAsia="Times New Roman" w:hAnsi="Times New Roman" w:cs="Times New Roman"/>
                <w:sz w:val="20"/>
                <w:szCs w:val="20"/>
                <w:lang w:eastAsia="ru-RU"/>
              </w:rPr>
            </w:pPr>
          </w:p>
        </w:tc>
        <w:tc>
          <w:tcPr>
            <w:tcW w:w="1562" w:type="dxa"/>
            <w:vMerge/>
            <w:shd w:val="clear" w:color="FFFFFF" w:fill="FFFFFF"/>
          </w:tcPr>
          <w:p w:rsidR="00D602D4" w:rsidRDefault="00D602D4">
            <w:pPr>
              <w:spacing w:after="0" w:line="240" w:lineRule="auto"/>
              <w:ind w:left="426" w:right="-143" w:hanging="426"/>
              <w:jc w:val="center"/>
              <w:rPr>
                <w:rFonts w:ascii="Times New Roman" w:eastAsia="Times New Roman" w:hAnsi="Times New Roman" w:cs="Times New Roman"/>
                <w:i/>
                <w:sz w:val="20"/>
                <w:szCs w:val="20"/>
                <w:lang w:eastAsia="ru-RU"/>
              </w:rPr>
            </w:pPr>
          </w:p>
        </w:tc>
        <w:tc>
          <w:tcPr>
            <w:tcW w:w="1698" w:type="dxa"/>
            <w:vAlign w:val="center"/>
          </w:tcPr>
          <w:p w:rsidR="00D602D4" w:rsidRDefault="000B4C86">
            <w:pPr>
              <w:spacing w:after="0" w:line="240" w:lineRule="auto"/>
              <w:ind w:left="37" w:right="-143" w:hanging="37"/>
              <w:jc w:val="center"/>
              <w:rPr>
                <w:rFonts w:ascii="Times New Roman" w:eastAsia="Times New Roman" w:hAnsi="Times New Roman" w:cs="Times New Roman"/>
                <w:i/>
                <w:sz w:val="20"/>
                <w:szCs w:val="20"/>
                <w:lang w:eastAsia="ru-RU"/>
              </w:rPr>
            </w:pPr>
            <w:r>
              <w:rPr>
                <w:rFonts w:ascii="Times New Roman" w:eastAsia="Times New Roman" w:hAnsi="Times New Roman" w:cs="Times New Roman"/>
                <w:i/>
                <w:sz w:val="20"/>
                <w:szCs w:val="20"/>
                <w:lang w:eastAsia="ru-RU"/>
              </w:rPr>
              <w:t>Выручка</w:t>
            </w:r>
          </w:p>
          <w:p w:rsidR="00D602D4" w:rsidRDefault="000B4C86">
            <w:pPr>
              <w:spacing w:after="0" w:line="240" w:lineRule="auto"/>
              <w:ind w:left="37" w:right="-143" w:hanging="37"/>
              <w:jc w:val="center"/>
              <w:rPr>
                <w:rFonts w:ascii="Times New Roman" w:eastAsia="Times New Roman" w:hAnsi="Times New Roman" w:cs="Times New Roman"/>
                <w:sz w:val="20"/>
                <w:szCs w:val="20"/>
                <w:lang w:eastAsia="ru-RU"/>
              </w:rPr>
            </w:pPr>
            <w:r>
              <w:rPr>
                <w:rFonts w:ascii="Times New Roman" w:eastAsia="Times New Roman" w:hAnsi="Times New Roman" w:cs="Times New Roman"/>
                <w:i/>
                <w:sz w:val="20"/>
                <w:szCs w:val="20"/>
                <w:lang w:eastAsia="ru-RU"/>
              </w:rPr>
              <w:t>тыс. руб.</w:t>
            </w:r>
          </w:p>
        </w:tc>
        <w:tc>
          <w:tcPr>
            <w:tcW w:w="1701" w:type="dxa"/>
            <w:vAlign w:val="center"/>
          </w:tcPr>
          <w:p w:rsidR="00D602D4" w:rsidRDefault="000B4C86">
            <w:pPr>
              <w:spacing w:after="0" w:line="240" w:lineRule="auto"/>
              <w:ind w:left="37" w:right="-143" w:hanging="37"/>
              <w:jc w:val="center"/>
              <w:rPr>
                <w:rFonts w:ascii="Times New Roman" w:eastAsia="Times New Roman" w:hAnsi="Times New Roman" w:cs="Times New Roman"/>
                <w:i/>
                <w:sz w:val="20"/>
                <w:szCs w:val="20"/>
                <w:lang w:eastAsia="ru-RU"/>
              </w:rPr>
            </w:pPr>
            <w:r>
              <w:rPr>
                <w:rFonts w:ascii="Times New Roman" w:eastAsia="Times New Roman" w:hAnsi="Times New Roman" w:cs="Times New Roman"/>
                <w:i/>
                <w:sz w:val="20"/>
                <w:szCs w:val="20"/>
                <w:lang w:eastAsia="ru-RU"/>
              </w:rPr>
              <w:t>Чистая прибыль тыс. руб.</w:t>
            </w:r>
          </w:p>
        </w:tc>
        <w:tc>
          <w:tcPr>
            <w:tcW w:w="1417" w:type="dxa"/>
            <w:vMerge/>
            <w:shd w:val="clear" w:color="FFFFFF" w:fill="FFFFFF"/>
          </w:tcPr>
          <w:p w:rsidR="00D602D4" w:rsidRDefault="00D602D4">
            <w:pPr>
              <w:spacing w:after="0" w:line="240" w:lineRule="auto"/>
              <w:ind w:left="426" w:right="-143" w:hanging="426"/>
              <w:rPr>
                <w:rFonts w:ascii="Times New Roman" w:eastAsia="Times New Roman" w:hAnsi="Times New Roman" w:cs="Times New Roman"/>
                <w:sz w:val="20"/>
                <w:szCs w:val="20"/>
                <w:lang w:eastAsia="ru-RU"/>
              </w:rPr>
            </w:pPr>
          </w:p>
        </w:tc>
      </w:tr>
      <w:tr w:rsidR="00D602D4">
        <w:trPr>
          <w:trHeight w:val="246"/>
        </w:trPr>
        <w:tc>
          <w:tcPr>
            <w:tcW w:w="1985" w:type="dxa"/>
            <w:shd w:val="clear" w:color="FFFFFF" w:fill="FFFFFF"/>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2126" w:type="dxa"/>
            <w:shd w:val="clear" w:color="FFFFFF" w:fill="FFFFFF"/>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2126" w:type="dxa"/>
            <w:shd w:val="clear" w:color="FFFFFF" w:fill="FFFFFF"/>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2552" w:type="dxa"/>
            <w:shd w:val="clear" w:color="FFFFFF" w:fill="FFFFFF"/>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562" w:type="dxa"/>
            <w:shd w:val="clear" w:color="FFFFFF" w:fill="FFFFFF"/>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698" w:type="dxa"/>
            <w:shd w:val="clear" w:color="FFFFFF" w:fill="FFFFFF"/>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701" w:type="dxa"/>
            <w:shd w:val="clear" w:color="FFFFFF" w:fill="FFFFFF"/>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1417" w:type="dxa"/>
            <w:shd w:val="clear" w:color="FFFFFF" w:fill="FFFFFF"/>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w:t>
            </w:r>
          </w:p>
        </w:tc>
      </w:tr>
      <w:tr w:rsidR="00D602D4">
        <w:trPr>
          <w:trHeight w:val="246"/>
        </w:trPr>
        <w:tc>
          <w:tcPr>
            <w:tcW w:w="15167" w:type="dxa"/>
            <w:gridSpan w:val="8"/>
            <w:shd w:val="clear" w:color="FFFFFF" w:fill="FFFFFF"/>
          </w:tcPr>
          <w:p w:rsidR="00D602D4" w:rsidRDefault="000B4C86">
            <w:pPr>
              <w:spacing w:after="0" w:line="240" w:lineRule="auto"/>
              <w:ind w:left="426" w:right="-143" w:hanging="42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Профильные общества</w:t>
            </w:r>
          </w:p>
        </w:tc>
      </w:tr>
      <w:tr w:rsidR="00D602D4">
        <w:trPr>
          <w:trHeight w:val="53"/>
        </w:trPr>
        <w:tc>
          <w:tcPr>
            <w:tcW w:w="1985"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АО</w:t>
            </w:r>
          </w:p>
          <w:p w:rsidR="00D602D4" w:rsidRDefault="000B4C86">
            <w:pPr>
              <w:widowControl w:val="0"/>
              <w:rPr>
                <w:rFonts w:ascii="Times New Roman" w:hAnsi="Times New Roman" w:cs="Times New Roman"/>
                <w:sz w:val="20"/>
                <w:szCs w:val="20"/>
              </w:rPr>
            </w:pPr>
            <w:r>
              <w:rPr>
                <w:rFonts w:ascii="Times New Roman" w:hAnsi="Times New Roman" w:cs="Times New Roman"/>
                <w:sz w:val="20"/>
                <w:szCs w:val="20"/>
              </w:rPr>
              <w:t>«Тываэнерго»</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Республика Тыва</w:t>
            </w:r>
          </w:p>
        </w:tc>
        <w:tc>
          <w:tcPr>
            <w:tcW w:w="2126" w:type="dxa"/>
            <w:shd w:val="clear" w:color="FFFFFF" w:fill="FFFFFF"/>
            <w:vAlign w:val="center"/>
          </w:tcPr>
          <w:p w:rsidR="00D602D4" w:rsidRDefault="000B4C86">
            <w:pPr>
              <w:spacing w:after="0" w:line="240" w:lineRule="auto"/>
              <w:ind w:left="33" w:right="-143"/>
              <w:rPr>
                <w:rFonts w:ascii="Times New Roman" w:hAnsi="Times New Roman" w:cs="Times New Roman"/>
                <w:sz w:val="20"/>
                <w:szCs w:val="20"/>
              </w:rPr>
            </w:pPr>
            <w:r>
              <w:rPr>
                <w:rFonts w:ascii="Times New Roman" w:hAnsi="Times New Roman" w:cs="Times New Roman"/>
                <w:sz w:val="20"/>
                <w:szCs w:val="20"/>
              </w:rPr>
              <w:t>Оказание услуг по передаче электрической энергии.</w:t>
            </w:r>
          </w:p>
        </w:tc>
        <w:tc>
          <w:tcPr>
            <w:tcW w:w="2552" w:type="dxa"/>
            <w:shd w:val="clear" w:color="FFFFFF" w:fill="FFFFFF"/>
            <w:vAlign w:val="center"/>
          </w:tcPr>
          <w:p w:rsidR="00D602D4" w:rsidRDefault="000B4C86">
            <w:pPr>
              <w:tabs>
                <w:tab w:val="center" w:pos="1168"/>
              </w:tabs>
              <w:spacing w:after="0" w:line="240" w:lineRule="auto"/>
              <w:ind w:left="33"/>
              <w:rPr>
                <w:rFonts w:ascii="Times New Roman" w:hAnsi="Times New Roman" w:cs="Times New Roman"/>
                <w:sz w:val="20"/>
                <w:szCs w:val="20"/>
              </w:rPr>
            </w:pPr>
            <w:r>
              <w:rPr>
                <w:rFonts w:ascii="Times New Roman" w:hAnsi="Times New Roman" w:cs="Times New Roman"/>
                <w:sz w:val="20"/>
                <w:szCs w:val="20"/>
              </w:rPr>
              <w:t>Осуществление контрольной функции электросетевой компании на территории Республики Тыва</w:t>
            </w:r>
          </w:p>
        </w:tc>
        <w:tc>
          <w:tcPr>
            <w:tcW w:w="1562" w:type="dxa"/>
            <w:vAlign w:val="center"/>
          </w:tcPr>
          <w:p w:rsidR="00D602D4" w:rsidRDefault="000B4C86">
            <w:pPr>
              <w:spacing w:after="0" w:line="240" w:lineRule="auto"/>
              <w:ind w:left="426" w:right="-143" w:hanging="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11,32%</w:t>
            </w:r>
          </w:p>
        </w:tc>
        <w:tc>
          <w:tcPr>
            <w:tcW w:w="1698" w:type="dxa"/>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eastAsia="Times New Roman" w:hAnsi="Times New Roman" w:cs="Times New Roman"/>
                <w:color w:val="000000"/>
                <w:sz w:val="20"/>
                <w:szCs w:val="20"/>
              </w:rPr>
              <w:t>3 664 375 </w:t>
            </w:r>
          </w:p>
        </w:tc>
        <w:tc>
          <w:tcPr>
            <w:tcW w:w="1701" w:type="dxa"/>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eastAsia="Times New Roman" w:hAnsi="Times New Roman" w:cs="Times New Roman"/>
                <w:color w:val="000000"/>
                <w:sz w:val="20"/>
                <w:szCs w:val="20"/>
              </w:rPr>
              <w:t>-117 930 </w:t>
            </w:r>
          </w:p>
        </w:tc>
        <w:tc>
          <w:tcPr>
            <w:tcW w:w="1417" w:type="dxa"/>
            <w:vAlign w:val="center"/>
          </w:tcPr>
          <w:p w:rsidR="00D602D4" w:rsidRDefault="000B4C86">
            <w:pPr>
              <w:spacing w:after="0" w:line="240" w:lineRule="auto"/>
              <w:ind w:left="33"/>
              <w:jc w:val="righ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602D4">
        <w:trPr>
          <w:trHeight w:val="53"/>
        </w:trPr>
        <w:tc>
          <w:tcPr>
            <w:tcW w:w="15167" w:type="dxa"/>
            <w:gridSpan w:val="8"/>
            <w:shd w:val="clear" w:color="FFFFFF" w:fill="FFFFFF"/>
          </w:tcPr>
          <w:p w:rsidR="00D602D4" w:rsidRDefault="000B4C86">
            <w:pPr>
              <w:spacing w:after="0" w:line="240" w:lineRule="auto"/>
              <w:ind w:left="426" w:right="-143" w:hanging="42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Непрофильные общества</w:t>
            </w:r>
          </w:p>
        </w:tc>
      </w:tr>
      <w:tr w:rsidR="00D602D4">
        <w:trPr>
          <w:trHeight w:val="1172"/>
        </w:trPr>
        <w:tc>
          <w:tcPr>
            <w:tcW w:w="1985" w:type="dxa"/>
            <w:shd w:val="clear" w:color="FFFFFF" w:fill="FFFFFF"/>
            <w:vAlign w:val="center"/>
          </w:tcPr>
          <w:p w:rsidR="00D602D4" w:rsidRDefault="000B4C86">
            <w:pPr>
              <w:widowControl w:val="0"/>
              <w:rPr>
                <w:rFonts w:ascii="Times New Roman" w:hAnsi="Times New Roman" w:cs="Times New Roman"/>
                <w:sz w:val="20"/>
                <w:szCs w:val="20"/>
              </w:rPr>
            </w:pPr>
            <w:r>
              <w:rPr>
                <w:rFonts w:ascii="Times New Roman" w:hAnsi="Times New Roman" w:cs="Times New Roman"/>
                <w:sz w:val="20"/>
                <w:szCs w:val="20"/>
              </w:rPr>
              <w:t>АО «Соцсфера»</w:t>
            </w:r>
          </w:p>
        </w:tc>
        <w:tc>
          <w:tcPr>
            <w:tcW w:w="2126" w:type="dxa"/>
            <w:shd w:val="clear" w:color="FFFFFF" w:fill="FFFFFF"/>
            <w:vAlign w:val="center"/>
          </w:tcPr>
          <w:p w:rsidR="00D602D4" w:rsidRDefault="000B4C86">
            <w:pPr>
              <w:spacing w:after="0" w:line="240" w:lineRule="auto"/>
              <w:ind w:left="33" w:right="-143"/>
              <w:rPr>
                <w:rFonts w:ascii="Times New Roman" w:eastAsia="Times New Roman" w:hAnsi="Times New Roman" w:cs="Times New Roman"/>
                <w:sz w:val="20"/>
                <w:szCs w:val="20"/>
                <w:lang w:eastAsia="ru-RU"/>
              </w:rPr>
            </w:pPr>
            <w:r>
              <w:rPr>
                <w:rFonts w:ascii="Times New Roman" w:hAnsi="Times New Roman" w:cs="Times New Roman"/>
                <w:sz w:val="20"/>
                <w:szCs w:val="20"/>
              </w:rPr>
              <w:t>Омская область</w:t>
            </w:r>
          </w:p>
        </w:tc>
        <w:tc>
          <w:tcPr>
            <w:tcW w:w="2126" w:type="dxa"/>
            <w:shd w:val="clear" w:color="FFFFFF" w:fill="FFFFFF"/>
            <w:vAlign w:val="center"/>
          </w:tcPr>
          <w:p w:rsidR="00D602D4" w:rsidRDefault="000B4C86">
            <w:pPr>
              <w:spacing w:after="0" w:line="240" w:lineRule="auto"/>
              <w:ind w:left="33" w:right="-143"/>
              <w:rPr>
                <w:rFonts w:ascii="Times New Roman" w:hAnsi="Times New Roman" w:cs="Times New Roman"/>
                <w:sz w:val="20"/>
                <w:szCs w:val="20"/>
              </w:rPr>
            </w:pPr>
            <w:r>
              <w:rPr>
                <w:rFonts w:ascii="Times New Roman" w:hAnsi="Times New Roman" w:cs="Times New Roman"/>
                <w:sz w:val="20"/>
                <w:szCs w:val="20"/>
              </w:rPr>
              <w:t>Оказание услуг отдыха, в т.ч. детского оздоровительного отдыха</w:t>
            </w:r>
          </w:p>
        </w:tc>
        <w:tc>
          <w:tcPr>
            <w:tcW w:w="2552" w:type="dxa"/>
            <w:shd w:val="clear" w:color="FFFFFF" w:fill="FFFFFF"/>
            <w:vAlign w:val="center"/>
          </w:tcPr>
          <w:p w:rsidR="00D602D4" w:rsidRDefault="000B4C86">
            <w:pPr>
              <w:spacing w:after="0" w:line="240" w:lineRule="auto"/>
              <w:ind w:left="33"/>
              <w:rPr>
                <w:rFonts w:ascii="Times New Roman" w:hAnsi="Times New Roman" w:cs="Times New Roman"/>
                <w:sz w:val="20"/>
                <w:szCs w:val="20"/>
              </w:rPr>
            </w:pPr>
            <w:r>
              <w:rPr>
                <w:rFonts w:ascii="Times New Roman" w:hAnsi="Times New Roman" w:cs="Times New Roman"/>
                <w:sz w:val="20"/>
                <w:szCs w:val="20"/>
              </w:rPr>
              <w:t>Социальное обеспечение сотрудников и детей сотрудников по предоставлению услуг оздоровительного отдыха.</w:t>
            </w:r>
          </w:p>
        </w:tc>
        <w:tc>
          <w:tcPr>
            <w:tcW w:w="1562" w:type="dxa"/>
            <w:vAlign w:val="center"/>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w:t>
            </w:r>
          </w:p>
        </w:tc>
        <w:tc>
          <w:tcPr>
            <w:tcW w:w="1698" w:type="dxa"/>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92 985</w:t>
            </w:r>
          </w:p>
        </w:tc>
        <w:tc>
          <w:tcPr>
            <w:tcW w:w="1701" w:type="dxa"/>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900</w:t>
            </w:r>
          </w:p>
        </w:tc>
        <w:tc>
          <w:tcPr>
            <w:tcW w:w="1417" w:type="dxa"/>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0,00</w:t>
            </w:r>
          </w:p>
        </w:tc>
      </w:tr>
      <w:tr w:rsidR="00D602D4">
        <w:trPr>
          <w:trHeight w:val="53"/>
        </w:trPr>
        <w:tc>
          <w:tcPr>
            <w:tcW w:w="1985"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АО</w:t>
            </w:r>
          </w:p>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«ЭСК Сибири»</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Красноярский край</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Энергетический аудит</w:t>
            </w:r>
          </w:p>
        </w:tc>
        <w:tc>
          <w:tcPr>
            <w:tcW w:w="2552"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Развитие энергоаудита</w:t>
            </w:r>
          </w:p>
        </w:tc>
        <w:tc>
          <w:tcPr>
            <w:tcW w:w="1562" w:type="dxa"/>
            <w:vAlign w:val="center"/>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100% </w:t>
            </w:r>
          </w:p>
        </w:tc>
        <w:tc>
          <w:tcPr>
            <w:tcW w:w="1698" w:type="dxa"/>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273 822</w:t>
            </w:r>
          </w:p>
        </w:tc>
        <w:tc>
          <w:tcPr>
            <w:tcW w:w="1701" w:type="dxa"/>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31 102</w:t>
            </w:r>
          </w:p>
        </w:tc>
        <w:tc>
          <w:tcPr>
            <w:tcW w:w="1417" w:type="dxa"/>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0,00</w:t>
            </w:r>
          </w:p>
        </w:tc>
      </w:tr>
      <w:tr w:rsidR="00D602D4">
        <w:trPr>
          <w:trHeight w:val="53"/>
        </w:trPr>
        <w:tc>
          <w:tcPr>
            <w:tcW w:w="1985"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ПАО «Красноярскэнергосбыт»</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Красноярский край</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Реализация (продажа) электрической энергии на оптовом и розничных рынках электрической энергии (мощности) потребителям (в том числе гражданам)</w:t>
            </w:r>
          </w:p>
        </w:tc>
        <w:tc>
          <w:tcPr>
            <w:tcW w:w="2552"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Получение дополнительного дохода</w:t>
            </w:r>
          </w:p>
        </w:tc>
        <w:tc>
          <w:tcPr>
            <w:tcW w:w="1562" w:type="dxa"/>
            <w:vAlign w:val="center"/>
          </w:tcPr>
          <w:p w:rsidR="00D602D4" w:rsidRDefault="000B4C86">
            <w:pPr>
              <w:spacing w:after="0" w:line="240" w:lineRule="auto"/>
              <w:ind w:left="426" w:right="-143" w:hanging="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0,9224%</w:t>
            </w:r>
          </w:p>
        </w:tc>
        <w:tc>
          <w:tcPr>
            <w:tcW w:w="1698" w:type="dxa"/>
            <w:vAlign w:val="center"/>
          </w:tcPr>
          <w:p w:rsidR="00D602D4" w:rsidRDefault="000B4C86">
            <w:pPr>
              <w:spacing w:after="0" w:line="240" w:lineRule="auto"/>
              <w:jc w:val="right"/>
              <w:rPr>
                <w:rFonts w:ascii="Times New Roman" w:hAnsi="Times New Roman" w:cs="Times New Roman"/>
                <w:sz w:val="20"/>
                <w:szCs w:val="20"/>
              </w:rPr>
            </w:pPr>
            <w:r>
              <w:rPr>
                <w:rFonts w:ascii="Times New Roman" w:hAnsi="Times New Roman" w:cs="Times New Roman"/>
                <w:sz w:val="20"/>
                <w:szCs w:val="20"/>
              </w:rPr>
              <w:t>За 2023</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43 800 115</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Раскрытая Отчетность по РСБУ за 2024 по состоянию на 04.03.2025 отсутствует в общедоступных источниках сети интернет</w:t>
            </w:r>
          </w:p>
        </w:tc>
        <w:tc>
          <w:tcPr>
            <w:tcW w:w="1701" w:type="dxa"/>
            <w:vAlign w:val="center"/>
          </w:tcPr>
          <w:p w:rsidR="00D602D4" w:rsidRDefault="000B4C86">
            <w:pPr>
              <w:spacing w:after="0" w:line="240" w:lineRule="auto"/>
              <w:jc w:val="right"/>
              <w:rPr>
                <w:rFonts w:ascii="Times New Roman" w:hAnsi="Times New Roman" w:cs="Times New Roman"/>
                <w:sz w:val="20"/>
                <w:szCs w:val="20"/>
              </w:rPr>
            </w:pPr>
            <w:r>
              <w:rPr>
                <w:rFonts w:ascii="Times New Roman" w:hAnsi="Times New Roman" w:cs="Times New Roman"/>
                <w:sz w:val="20"/>
                <w:szCs w:val="20"/>
              </w:rPr>
              <w:t>За 2023</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1 774 783</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Раскрытая Отчетность по РСБУ за 2024 по состоянию на 04.03.2025 отсутствует в общедоступных источниках сети интернет</w:t>
            </w:r>
          </w:p>
        </w:tc>
        <w:tc>
          <w:tcPr>
            <w:tcW w:w="1417" w:type="dxa"/>
            <w:shd w:val="clear" w:color="FFFFFF" w:themeColor="background1" w:fill="FFFFFF" w:themeFill="background1"/>
            <w:vAlign w:val="center"/>
          </w:tcPr>
          <w:p w:rsidR="00D602D4" w:rsidRDefault="00D602D4">
            <w:pPr>
              <w:spacing w:after="0" w:line="240" w:lineRule="auto"/>
              <w:ind w:left="33"/>
              <w:jc w:val="right"/>
              <w:rPr>
                <w:rFonts w:ascii="Times New Roman" w:hAnsi="Times New Roman" w:cs="Times New Roman"/>
                <w:sz w:val="20"/>
                <w:szCs w:val="20"/>
              </w:rPr>
            </w:pP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8 173 987,09</w:t>
            </w:r>
          </w:p>
          <w:p w:rsidR="00D602D4" w:rsidRDefault="00D602D4">
            <w:pPr>
              <w:spacing w:after="0" w:line="240" w:lineRule="auto"/>
              <w:ind w:left="33"/>
              <w:jc w:val="right"/>
              <w:rPr>
                <w:rFonts w:ascii="Times New Roman" w:hAnsi="Times New Roman" w:cs="Times New Roman"/>
                <w:sz w:val="20"/>
                <w:szCs w:val="20"/>
              </w:rPr>
            </w:pP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 xml:space="preserve">От привилег. акций – </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4 907 392,02</w:t>
            </w:r>
          </w:p>
          <w:p w:rsidR="00D602D4" w:rsidRDefault="00D602D4">
            <w:pPr>
              <w:spacing w:after="0" w:line="240" w:lineRule="auto"/>
              <w:ind w:left="33"/>
              <w:jc w:val="right"/>
              <w:rPr>
                <w:rFonts w:ascii="Times New Roman" w:hAnsi="Times New Roman" w:cs="Times New Roman"/>
                <w:sz w:val="20"/>
                <w:szCs w:val="20"/>
              </w:rPr>
            </w:pP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 xml:space="preserve">От обык. акций - </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3 266 595,07</w:t>
            </w:r>
          </w:p>
          <w:p w:rsidR="00D602D4" w:rsidRDefault="00D602D4">
            <w:pPr>
              <w:spacing w:after="0" w:line="240" w:lineRule="auto"/>
              <w:ind w:left="33"/>
              <w:jc w:val="right"/>
              <w:rPr>
                <w:rFonts w:ascii="Times New Roman" w:hAnsi="Times New Roman" w:cs="Times New Roman"/>
                <w:sz w:val="20"/>
                <w:szCs w:val="20"/>
              </w:rPr>
            </w:pPr>
          </w:p>
        </w:tc>
      </w:tr>
      <w:tr w:rsidR="00D602D4">
        <w:trPr>
          <w:trHeight w:val="53"/>
        </w:trPr>
        <w:tc>
          <w:tcPr>
            <w:tcW w:w="198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ПАО «Интер РАО»</w:t>
            </w:r>
          </w:p>
        </w:tc>
        <w:tc>
          <w:tcPr>
            <w:tcW w:w="2126" w:type="dxa"/>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Санкт-Петербург, Москва, Псковская, </w:t>
            </w:r>
            <w:r>
              <w:rPr>
                <w:rFonts w:ascii="Times New Roman" w:hAnsi="Times New Roman" w:cs="Times New Roman"/>
                <w:sz w:val="20"/>
                <w:szCs w:val="20"/>
              </w:rPr>
              <w:lastRenderedPageBreak/>
              <w:t>Калужская, Орловская, Тамбовская, Владимирская, Волгаградская, Тульская, Воронежская, Саратовская, Челябинская области, Краснодарский край и др. регионы России.</w:t>
            </w:r>
          </w:p>
          <w:p w:rsidR="00D602D4" w:rsidRDefault="00D602D4">
            <w:pPr>
              <w:widowControl w:val="0"/>
              <w:spacing w:after="0" w:line="240" w:lineRule="auto"/>
              <w:rPr>
                <w:rFonts w:ascii="Times New Roman" w:hAnsi="Times New Roman" w:cs="Times New Roman"/>
                <w:sz w:val="20"/>
                <w:szCs w:val="20"/>
              </w:rPr>
            </w:pP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Экспорт и импорт электроэнергии.</w:t>
            </w:r>
          </w:p>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Купля-продажа электроэнергии на внутреннем оптовом рынке.</w:t>
            </w:r>
          </w:p>
        </w:tc>
        <w:tc>
          <w:tcPr>
            <w:tcW w:w="2552"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Получение дополнительного дохода</w:t>
            </w:r>
          </w:p>
        </w:tc>
        <w:tc>
          <w:tcPr>
            <w:tcW w:w="1562" w:type="dxa"/>
            <w:shd w:val="clear" w:color="FFFFFF" w:themeColor="background1" w:fill="FFFFFF" w:themeFill="background1"/>
            <w:vAlign w:val="center"/>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0,0004%</w:t>
            </w:r>
          </w:p>
        </w:tc>
        <w:tc>
          <w:tcPr>
            <w:tcW w:w="1698" w:type="dxa"/>
            <w:shd w:val="clear" w:color="FFFFFF" w:themeColor="background1" w:fill="FFFFFF" w:themeFill="background1"/>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52 912 715</w:t>
            </w:r>
          </w:p>
        </w:tc>
        <w:tc>
          <w:tcPr>
            <w:tcW w:w="1701" w:type="dxa"/>
            <w:shd w:val="clear" w:color="FFFFFF" w:themeColor="background1" w:fill="FFFFFF" w:themeFill="background1"/>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38 875 979</w:t>
            </w:r>
          </w:p>
        </w:tc>
        <w:tc>
          <w:tcPr>
            <w:tcW w:w="1417" w:type="dxa"/>
            <w:shd w:val="clear" w:color="FFFFFF" w:themeColor="background1" w:fill="FFFFFF" w:themeFill="background1"/>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121 709,06</w:t>
            </w:r>
          </w:p>
        </w:tc>
      </w:tr>
      <w:tr w:rsidR="00D602D4">
        <w:trPr>
          <w:trHeight w:val="1551"/>
        </w:trPr>
        <w:tc>
          <w:tcPr>
            <w:tcW w:w="198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ПАО «Мосэнерго»</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Москва и Московская область</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Производство, передача и реализация тепловой и электрической энергии.</w:t>
            </w:r>
          </w:p>
        </w:tc>
        <w:tc>
          <w:tcPr>
            <w:tcW w:w="2552"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Получение дополнительного дохода</w:t>
            </w:r>
          </w:p>
        </w:tc>
        <w:tc>
          <w:tcPr>
            <w:tcW w:w="1562" w:type="dxa"/>
            <w:vAlign w:val="center"/>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0,0005%</w:t>
            </w:r>
          </w:p>
        </w:tc>
        <w:tc>
          <w:tcPr>
            <w:tcW w:w="1698" w:type="dxa"/>
            <w:vAlign w:val="center"/>
          </w:tcPr>
          <w:p w:rsidR="00D602D4" w:rsidRDefault="000B4C86">
            <w:pPr>
              <w:spacing w:after="0" w:line="240" w:lineRule="auto"/>
              <w:jc w:val="right"/>
              <w:rPr>
                <w:rFonts w:ascii="Times New Roman" w:hAnsi="Times New Roman" w:cs="Times New Roman"/>
                <w:sz w:val="20"/>
                <w:szCs w:val="20"/>
              </w:rPr>
            </w:pPr>
            <w:r>
              <w:rPr>
                <w:rFonts w:ascii="Times New Roman" w:hAnsi="Times New Roman" w:cs="Times New Roman"/>
                <w:sz w:val="20"/>
                <w:szCs w:val="20"/>
              </w:rPr>
              <w:t>За 2023</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247 149 540</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Раскрытая Отчетность по РСБУ за 2024 по состоянию на 04.03.2025 отсутствует в общедоступных источниках сети интернет</w:t>
            </w:r>
          </w:p>
        </w:tc>
        <w:tc>
          <w:tcPr>
            <w:tcW w:w="1701" w:type="dxa"/>
            <w:vAlign w:val="center"/>
          </w:tcPr>
          <w:p w:rsidR="00D602D4" w:rsidRDefault="000B4C86">
            <w:pPr>
              <w:spacing w:after="0" w:line="240" w:lineRule="auto"/>
              <w:jc w:val="right"/>
              <w:rPr>
                <w:rFonts w:ascii="Times New Roman" w:hAnsi="Times New Roman" w:cs="Times New Roman"/>
                <w:sz w:val="20"/>
                <w:szCs w:val="20"/>
              </w:rPr>
            </w:pPr>
            <w:r>
              <w:rPr>
                <w:rFonts w:ascii="Times New Roman" w:hAnsi="Times New Roman" w:cs="Times New Roman"/>
                <w:sz w:val="20"/>
                <w:szCs w:val="20"/>
              </w:rPr>
              <w:t>За 2023</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19 259 237</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Раскрытая Отчетность по РСБУ за 2024 по состоянию на 04.03.2025 отсутствует в общедоступных источниках сети интернет.</w:t>
            </w:r>
          </w:p>
        </w:tc>
        <w:tc>
          <w:tcPr>
            <w:tcW w:w="1417" w:type="dxa"/>
            <w:tcBorders>
              <w:top w:val="single" w:sz="4" w:space="0" w:color="000000"/>
              <w:left w:val="single" w:sz="4" w:space="0" w:color="000000"/>
              <w:bottom w:val="single" w:sz="4" w:space="0" w:color="000000"/>
              <w:right w:val="single" w:sz="4" w:space="0" w:color="000000"/>
            </w:tcBorders>
            <w:shd w:val="clear" w:color="FFFFFF" w:themeColor="background1" w:fill="FFFFFF" w:themeFill="background1"/>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24 701,25</w:t>
            </w:r>
          </w:p>
        </w:tc>
      </w:tr>
      <w:tr w:rsidR="00D602D4">
        <w:trPr>
          <w:trHeight w:val="2605"/>
        </w:trPr>
        <w:tc>
          <w:tcPr>
            <w:tcW w:w="198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ПАО «ОГК-2»</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Псковская область, Ставропольский край, Ханты-Мансийский автономный округ, Челябинская и Свердловская области</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Производство и реализация электрической и тепловой энергии, продажа мощности.</w:t>
            </w:r>
          </w:p>
        </w:tc>
        <w:tc>
          <w:tcPr>
            <w:tcW w:w="2552"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Получение дополнительного дохода</w:t>
            </w:r>
          </w:p>
        </w:tc>
        <w:tc>
          <w:tcPr>
            <w:tcW w:w="1562" w:type="dxa"/>
            <w:vAlign w:val="center"/>
          </w:tcPr>
          <w:p w:rsidR="00D602D4" w:rsidRDefault="000B4C86">
            <w:pPr>
              <w:spacing w:after="0" w:line="240" w:lineRule="auto"/>
              <w:ind w:left="426" w:right="-143" w:hanging="42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eastAsia="ru-RU"/>
              </w:rPr>
              <w:t>0,0004%</w:t>
            </w:r>
          </w:p>
        </w:tc>
        <w:tc>
          <w:tcPr>
            <w:tcW w:w="1698" w:type="dxa"/>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За 2023</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164 677 466</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Раскрытая Отчетность по РСБУ за 2024 по состоянию на 04.03.2025 отсутствует в общедоступных источниках сети интернет</w:t>
            </w:r>
          </w:p>
        </w:tc>
        <w:tc>
          <w:tcPr>
            <w:tcW w:w="1701" w:type="dxa"/>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eastAsia="Times New Roman" w:hAnsi="Times New Roman" w:cs="Times New Roman"/>
                <w:sz w:val="20"/>
                <w:szCs w:val="20"/>
              </w:rPr>
              <w:t>За 2023</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9 918 131</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Раскрытая Отчетность по РСБУ за 2024 по состоянию на 04.03.2025 отсутствует в общедоступных источниках сети интернет</w:t>
            </w:r>
          </w:p>
        </w:tc>
        <w:tc>
          <w:tcPr>
            <w:tcW w:w="1417" w:type="dxa"/>
            <w:tcBorders>
              <w:top w:val="non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0,00</w:t>
            </w:r>
          </w:p>
        </w:tc>
      </w:tr>
      <w:tr w:rsidR="00D602D4">
        <w:trPr>
          <w:trHeight w:val="2691"/>
        </w:trPr>
        <w:tc>
          <w:tcPr>
            <w:tcW w:w="198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ПАО «ЭЛ5-Энерго»</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Ставропольский край, Тверская, Свердловская, Мурманская, Ростовская области</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Производство и реализация электрической и тепловой энергии, продажа мощности.</w:t>
            </w:r>
          </w:p>
        </w:tc>
        <w:tc>
          <w:tcPr>
            <w:tcW w:w="2552"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Получение дополнительного дохода</w:t>
            </w:r>
          </w:p>
        </w:tc>
        <w:tc>
          <w:tcPr>
            <w:tcW w:w="1562" w:type="dxa"/>
            <w:vAlign w:val="center"/>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0,0006%</w:t>
            </w:r>
          </w:p>
        </w:tc>
        <w:tc>
          <w:tcPr>
            <w:tcW w:w="1698" w:type="dxa"/>
            <w:vAlign w:val="center"/>
          </w:tcPr>
          <w:p w:rsidR="00D602D4" w:rsidRDefault="000B4C86">
            <w:pPr>
              <w:spacing w:after="0" w:line="240" w:lineRule="auto"/>
              <w:jc w:val="right"/>
              <w:rPr>
                <w:rFonts w:ascii="Times New Roman" w:hAnsi="Times New Roman" w:cs="Times New Roman"/>
                <w:sz w:val="20"/>
                <w:szCs w:val="20"/>
              </w:rPr>
            </w:pPr>
            <w:r>
              <w:rPr>
                <w:rFonts w:ascii="Times New Roman" w:hAnsi="Times New Roman" w:cs="Times New Roman"/>
                <w:sz w:val="20"/>
                <w:szCs w:val="20"/>
              </w:rPr>
              <w:t>За 2023</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53 218 224</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Раскрытая Отчетность по РСБУ за 2024 по состоянию на 04.03.2025 отсутствует в общедоступных источниках сети интернет.</w:t>
            </w:r>
          </w:p>
        </w:tc>
        <w:tc>
          <w:tcPr>
            <w:tcW w:w="1701" w:type="dxa"/>
            <w:vAlign w:val="center"/>
          </w:tcPr>
          <w:p w:rsidR="00D602D4" w:rsidRDefault="000B4C86">
            <w:pPr>
              <w:spacing w:after="0" w:line="240" w:lineRule="auto"/>
              <w:jc w:val="right"/>
              <w:rPr>
                <w:rFonts w:ascii="Times New Roman" w:hAnsi="Times New Roman" w:cs="Times New Roman"/>
                <w:sz w:val="20"/>
                <w:szCs w:val="20"/>
              </w:rPr>
            </w:pPr>
            <w:r>
              <w:rPr>
                <w:rFonts w:ascii="Times New Roman" w:hAnsi="Times New Roman" w:cs="Times New Roman"/>
                <w:sz w:val="20"/>
                <w:szCs w:val="20"/>
              </w:rPr>
              <w:t>За 2023</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2 986 800</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Раскрытая Отчетность по РСБУ за 2024 по состоянию на 04.03.2025 отсутствует в общедоступных источниках сети интернет</w:t>
            </w:r>
          </w:p>
        </w:tc>
        <w:tc>
          <w:tcPr>
            <w:tcW w:w="1417" w:type="dxa"/>
            <w:tcBorders>
              <w:top w:val="non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0,00</w:t>
            </w:r>
          </w:p>
        </w:tc>
      </w:tr>
      <w:tr w:rsidR="00D602D4">
        <w:trPr>
          <w:trHeight w:val="53"/>
        </w:trPr>
        <w:tc>
          <w:tcPr>
            <w:tcW w:w="198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ПАО «Юнипро»</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Ханты-Мансийский автономный округ, Красноярский край Московская, Смоленская, Пермская области </w:t>
            </w:r>
          </w:p>
        </w:tc>
        <w:tc>
          <w:tcPr>
            <w:tcW w:w="2126"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Производство и реализация электрической и тепловой энергии, продажа мощности.</w:t>
            </w:r>
          </w:p>
        </w:tc>
        <w:tc>
          <w:tcPr>
            <w:tcW w:w="2552" w:type="dxa"/>
            <w:shd w:val="clear" w:color="FFFFFF" w:fill="FFFFFF"/>
            <w:vAlign w:val="center"/>
          </w:tcPr>
          <w:p w:rsidR="00D602D4" w:rsidRDefault="000B4C86">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Получение дополнительного дохода</w:t>
            </w:r>
          </w:p>
        </w:tc>
        <w:tc>
          <w:tcPr>
            <w:tcW w:w="1562" w:type="dxa"/>
            <w:vAlign w:val="center"/>
          </w:tcPr>
          <w:p w:rsidR="00D602D4" w:rsidRDefault="000B4C86">
            <w:pPr>
              <w:spacing w:after="0" w:line="240" w:lineRule="auto"/>
              <w:ind w:left="426" w:right="-143" w:hanging="426"/>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0,0009%</w:t>
            </w:r>
          </w:p>
        </w:tc>
        <w:tc>
          <w:tcPr>
            <w:tcW w:w="1698" w:type="dxa"/>
            <w:vAlign w:val="center"/>
          </w:tcPr>
          <w:p w:rsidR="00D602D4" w:rsidRDefault="000B4C86">
            <w:pPr>
              <w:spacing w:after="0" w:line="240" w:lineRule="auto"/>
              <w:jc w:val="right"/>
              <w:rPr>
                <w:rFonts w:ascii="Times New Roman" w:hAnsi="Times New Roman" w:cs="Times New Roman"/>
                <w:sz w:val="20"/>
                <w:szCs w:val="20"/>
              </w:rPr>
            </w:pPr>
            <w:r>
              <w:rPr>
                <w:rFonts w:ascii="Times New Roman" w:hAnsi="Times New Roman" w:cs="Times New Roman"/>
                <w:sz w:val="20"/>
                <w:szCs w:val="20"/>
              </w:rPr>
              <w:t>За 2023</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124 185 018</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Раскрытая Отчетность по РСБУ за 2024 по состоянию на 04.03.2025 отсутствует в общедоступных источниках сети интернет.</w:t>
            </w:r>
          </w:p>
        </w:tc>
        <w:tc>
          <w:tcPr>
            <w:tcW w:w="1701" w:type="dxa"/>
            <w:vAlign w:val="center"/>
          </w:tcPr>
          <w:p w:rsidR="00D602D4" w:rsidRDefault="000B4C86">
            <w:pPr>
              <w:spacing w:after="0" w:line="240" w:lineRule="auto"/>
              <w:jc w:val="right"/>
              <w:rPr>
                <w:rFonts w:ascii="Times New Roman" w:hAnsi="Times New Roman" w:cs="Times New Roman"/>
                <w:sz w:val="20"/>
                <w:szCs w:val="20"/>
              </w:rPr>
            </w:pPr>
            <w:r>
              <w:rPr>
                <w:rFonts w:ascii="Times New Roman" w:hAnsi="Times New Roman" w:cs="Times New Roman"/>
                <w:sz w:val="20"/>
                <w:szCs w:val="20"/>
              </w:rPr>
              <w:t>За 2023</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21 475 288</w:t>
            </w:r>
          </w:p>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Раскрытая Отчетность по РСБУ за 2024 по состоянию на 04.03.2025 отсутствует в общедоступных источниках сети интернет.</w:t>
            </w:r>
          </w:p>
        </w:tc>
        <w:tc>
          <w:tcPr>
            <w:tcW w:w="1417"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ind w:left="33"/>
              <w:jc w:val="right"/>
              <w:rPr>
                <w:rFonts w:ascii="Times New Roman" w:hAnsi="Times New Roman" w:cs="Times New Roman"/>
                <w:sz w:val="20"/>
                <w:szCs w:val="20"/>
              </w:rPr>
            </w:pPr>
            <w:r>
              <w:rPr>
                <w:rFonts w:ascii="Times New Roman" w:hAnsi="Times New Roman" w:cs="Times New Roman"/>
                <w:sz w:val="20"/>
                <w:szCs w:val="20"/>
              </w:rPr>
              <w:t>0,00</w:t>
            </w:r>
          </w:p>
        </w:tc>
      </w:tr>
    </w:tbl>
    <w:p w:rsidR="00D602D4" w:rsidRDefault="00D602D4">
      <w:pPr>
        <w:pStyle w:val="13"/>
        <w:spacing w:before="0" w:line="240" w:lineRule="auto"/>
      </w:pPr>
    </w:p>
    <w:p w:rsidR="00D602D4" w:rsidRDefault="000B4C86">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Информация об участии Общества в некоммерческих организациях</w:t>
      </w:r>
    </w:p>
    <w:tbl>
      <w:tblPr>
        <w:tblW w:w="153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2"/>
        <w:gridCol w:w="2223"/>
        <w:gridCol w:w="4651"/>
        <w:gridCol w:w="6095"/>
        <w:gridCol w:w="1853"/>
      </w:tblGrid>
      <w:tr w:rsidR="00D602D4">
        <w:trPr>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w:t>
            </w:r>
          </w:p>
        </w:tc>
        <w:tc>
          <w:tcPr>
            <w:tcW w:w="2223" w:type="dxa"/>
            <w:tcBorders>
              <w:top w:val="single" w:sz="4" w:space="0" w:color="000000"/>
              <w:left w:val="single" w:sz="4" w:space="0" w:color="000000"/>
              <w:bottom w:val="single" w:sz="4" w:space="0" w:color="000000"/>
              <w:right w:val="single" w:sz="4" w:space="0" w:color="000000"/>
            </w:tcBorders>
            <w:vAlign w:val="center"/>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Наименование некоммерческой организации и место нахождения</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Times New Roman" w:hAnsi="Times New Roman" w:cs="Times New Roman"/>
                <w:sz w:val="20"/>
                <w:szCs w:val="20"/>
                <w:lang w:eastAsia="ru-RU"/>
              </w:rPr>
              <w:t>Основные сведения об организации (виды деятельности)</w:t>
            </w:r>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jc w:val="center"/>
              <w:rPr>
                <w:rFonts w:ascii="Times New Roman" w:eastAsia="Times New Roman" w:hAnsi="Times New Roman" w:cs="Times New Roman"/>
              </w:rPr>
            </w:pPr>
            <w:r>
              <w:rPr>
                <w:rFonts w:ascii="Times New Roman" w:eastAsia="Times New Roman" w:hAnsi="Times New Roman" w:cs="Times New Roman"/>
                <w:sz w:val="20"/>
                <w:szCs w:val="20"/>
                <w:lang w:eastAsia="ru-RU"/>
              </w:rPr>
              <w:t>Цель участия</w:t>
            </w: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firstLine="33"/>
              <w:jc w:val="center"/>
              <w:rPr>
                <w:rFonts w:ascii="Times New Roman" w:eastAsia="Times New Roman" w:hAnsi="Times New Roman" w:cs="Times New Roman"/>
                <w:u w:val="single"/>
              </w:rPr>
            </w:pPr>
            <w:r>
              <w:rPr>
                <w:rFonts w:ascii="Times New Roman" w:eastAsia="Times New Roman" w:hAnsi="Times New Roman" w:cs="Times New Roman"/>
                <w:sz w:val="20"/>
                <w:szCs w:val="20"/>
                <w:lang w:eastAsia="ru-RU"/>
              </w:rPr>
              <w:t>Финансовые параметры участия (виды платежей/ сумма, тыс. руб.)</w:t>
            </w:r>
          </w:p>
        </w:tc>
      </w:tr>
      <w:tr w:rsidR="00D602D4">
        <w:trPr>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lang w:val="en-US"/>
              </w:rPr>
              <w:t>1</w:t>
            </w:r>
            <w:r>
              <w:rPr>
                <w:rFonts w:ascii="Times New Roman" w:eastAsia="Calibri" w:hAnsi="Times New Roman" w:cs="Times New Roman"/>
                <w:sz w:val="20"/>
                <w:szCs w:val="20"/>
              </w:rPr>
              <w:t>.</w:t>
            </w:r>
          </w:p>
        </w:tc>
        <w:tc>
          <w:tcPr>
            <w:tcW w:w="222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left="6"/>
              <w:rPr>
                <w:rFonts w:ascii="Times New Roman" w:hAnsi="Times New Roman" w:cs="Times New Roman"/>
              </w:rPr>
            </w:pPr>
            <w:r>
              <w:rPr>
                <w:rFonts w:ascii="Times New Roman" w:hAnsi="Times New Roman" w:cs="Times New Roman"/>
                <w:sz w:val="20"/>
                <w:szCs w:val="20"/>
              </w:rPr>
              <w:t xml:space="preserve">НО «Ассоциация предприятий энергетики Омской области» </w:t>
            </w:r>
          </w:p>
          <w:p w:rsidR="00D602D4" w:rsidRDefault="000B4C86">
            <w:pPr>
              <w:spacing w:after="0" w:line="240" w:lineRule="auto"/>
              <w:ind w:left="6"/>
              <w:rPr>
                <w:rFonts w:ascii="Times New Roman" w:hAnsi="Times New Roman" w:cs="Times New Roman"/>
              </w:rPr>
            </w:pPr>
            <w:r>
              <w:rPr>
                <w:rFonts w:ascii="Times New Roman" w:hAnsi="Times New Roman" w:cs="Times New Roman"/>
                <w:sz w:val="20"/>
                <w:szCs w:val="20"/>
              </w:rPr>
              <w:t xml:space="preserve"> г. Омск, ул.Петра Некрасова, 1</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pStyle w:val="ConsPlusNonformat"/>
              <w:rPr>
                <w:rFonts w:ascii="Times New Roman" w:hAnsi="Times New Roman" w:cs="Times New Roman"/>
                <w:sz w:val="22"/>
                <w:szCs w:val="22"/>
              </w:rPr>
            </w:pPr>
            <w:r>
              <w:rPr>
                <w:rFonts w:ascii="Times New Roman" w:hAnsi="Times New Roman" w:cs="Times New Roman"/>
              </w:rPr>
              <w:t>- координация деятельности членов – участников Ассоциации;</w:t>
            </w:r>
          </w:p>
          <w:p w:rsidR="00D602D4" w:rsidRDefault="000B4C86">
            <w:pPr>
              <w:pStyle w:val="ConsPlusNonformat"/>
              <w:rPr>
                <w:rFonts w:ascii="Times New Roman" w:hAnsi="Times New Roman" w:cs="Times New Roman"/>
                <w:sz w:val="22"/>
                <w:szCs w:val="22"/>
              </w:rPr>
            </w:pPr>
            <w:r>
              <w:rPr>
                <w:rFonts w:ascii="Times New Roman" w:hAnsi="Times New Roman" w:cs="Times New Roman"/>
              </w:rPr>
              <w:t>- защита прав и интересов членов Ассоциации,</w:t>
            </w:r>
          </w:p>
          <w:p w:rsidR="00D602D4" w:rsidRDefault="000B4C86">
            <w:pPr>
              <w:pStyle w:val="ConsPlusNonformat"/>
              <w:rPr>
                <w:rFonts w:ascii="Times New Roman" w:hAnsi="Times New Roman" w:cs="Times New Roman"/>
                <w:sz w:val="22"/>
                <w:szCs w:val="22"/>
              </w:rPr>
            </w:pPr>
            <w:r>
              <w:rPr>
                <w:rFonts w:ascii="Times New Roman" w:hAnsi="Times New Roman" w:cs="Times New Roman"/>
              </w:rPr>
              <w:t>- консолидация усилий в повышении энергетической эффективности производства;</w:t>
            </w:r>
          </w:p>
          <w:p w:rsidR="00D602D4" w:rsidRDefault="000B4C86">
            <w:pPr>
              <w:pStyle w:val="ConsPlusNonformat"/>
              <w:rPr>
                <w:rFonts w:ascii="Times New Roman" w:hAnsi="Times New Roman" w:cs="Times New Roman"/>
                <w:sz w:val="22"/>
                <w:szCs w:val="22"/>
              </w:rPr>
            </w:pPr>
            <w:r>
              <w:rPr>
                <w:rFonts w:ascii="Times New Roman" w:hAnsi="Times New Roman" w:cs="Times New Roman"/>
              </w:rPr>
              <w:t>- участие в формировании региональной политики ценообразования на энергоносители, повышение роли энергетических служб в определении стратегии развития предприятий и совершенствование системы их управления.</w:t>
            </w:r>
          </w:p>
          <w:p w:rsidR="00D602D4" w:rsidRDefault="00D602D4">
            <w:pPr>
              <w:spacing w:after="0" w:line="240" w:lineRule="auto"/>
              <w:ind w:left="73" w:right="-1"/>
              <w:rPr>
                <w:rFonts w:ascii="Times New Roman" w:hAnsi="Times New Roman" w:cs="Times New Roman"/>
                <w:u w:val="single"/>
              </w:rPr>
            </w:pPr>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pStyle w:val="ConsPlusNonformat"/>
              <w:rPr>
                <w:rFonts w:ascii="Times New Roman" w:hAnsi="Times New Roman" w:cs="Times New Roman"/>
                <w:sz w:val="22"/>
                <w:szCs w:val="22"/>
              </w:rPr>
            </w:pPr>
            <w:r>
              <w:rPr>
                <w:rFonts w:ascii="Times New Roman" w:hAnsi="Times New Roman" w:cs="Times New Roman"/>
              </w:rPr>
              <w:t>- участие в разработке и осуществлении программ по развитию энергетики и коммунального хозяйства на территории Омской области;</w:t>
            </w:r>
          </w:p>
          <w:p w:rsidR="00D602D4" w:rsidRDefault="000B4C86">
            <w:pPr>
              <w:pStyle w:val="ConsPlusNonformat"/>
              <w:rPr>
                <w:rFonts w:ascii="Times New Roman" w:hAnsi="Times New Roman" w:cs="Times New Roman"/>
                <w:sz w:val="22"/>
                <w:szCs w:val="22"/>
              </w:rPr>
            </w:pPr>
            <w:r>
              <w:rPr>
                <w:rFonts w:ascii="Times New Roman" w:hAnsi="Times New Roman" w:cs="Times New Roman"/>
              </w:rPr>
              <w:t>- участие в разработке нормативной базы энергосбережения на территории Омской области;</w:t>
            </w:r>
          </w:p>
          <w:p w:rsidR="00D602D4" w:rsidRDefault="000B4C86">
            <w:pPr>
              <w:pStyle w:val="ConsPlusNonformat"/>
              <w:rPr>
                <w:rFonts w:ascii="Times New Roman" w:hAnsi="Times New Roman" w:cs="Times New Roman"/>
                <w:sz w:val="22"/>
                <w:szCs w:val="22"/>
              </w:rPr>
            </w:pPr>
            <w:r>
              <w:rPr>
                <w:rFonts w:ascii="Times New Roman" w:hAnsi="Times New Roman" w:cs="Times New Roman"/>
              </w:rPr>
              <w:t>- содействие организации подготовки и переподготовки кадров;</w:t>
            </w:r>
          </w:p>
          <w:p w:rsidR="00D602D4" w:rsidRDefault="000B4C86">
            <w:pPr>
              <w:pStyle w:val="ConsPlusNonformat"/>
              <w:rPr>
                <w:rFonts w:ascii="Times New Roman" w:hAnsi="Times New Roman" w:cs="Times New Roman"/>
                <w:sz w:val="22"/>
                <w:szCs w:val="22"/>
              </w:rPr>
            </w:pPr>
            <w:r>
              <w:rPr>
                <w:rFonts w:ascii="Times New Roman" w:hAnsi="Times New Roman" w:cs="Times New Roman"/>
              </w:rPr>
              <w:t>- организация взаимодействия между членами Ассоциации с органами государственной власти и управления, другими организациями;</w:t>
            </w:r>
          </w:p>
          <w:p w:rsidR="00D602D4" w:rsidRDefault="000B4C86">
            <w:pPr>
              <w:pStyle w:val="ConsPlusNonformat"/>
              <w:rPr>
                <w:rFonts w:ascii="Times New Roman" w:hAnsi="Times New Roman" w:cs="Times New Roman"/>
                <w:sz w:val="22"/>
                <w:szCs w:val="22"/>
              </w:rPr>
            </w:pPr>
            <w:r>
              <w:rPr>
                <w:rFonts w:ascii="Times New Roman" w:hAnsi="Times New Roman" w:cs="Times New Roman"/>
              </w:rPr>
              <w:t>- оказание правовой и консультационной помощи членам Ассоциации по вопросам их профессиональной деятельности;</w:t>
            </w:r>
          </w:p>
          <w:p w:rsidR="00D602D4" w:rsidRDefault="000B4C86">
            <w:pPr>
              <w:pStyle w:val="ConsPlusNonformat"/>
              <w:rPr>
                <w:rFonts w:ascii="Times New Roman" w:hAnsi="Times New Roman" w:cs="Times New Roman"/>
                <w:sz w:val="22"/>
                <w:szCs w:val="22"/>
              </w:rPr>
            </w:pPr>
            <w:r>
              <w:rPr>
                <w:rFonts w:ascii="Times New Roman" w:hAnsi="Times New Roman" w:cs="Times New Roman"/>
              </w:rPr>
              <w:t>- содействие в урегулировании споров между предприятиями, организациями - членами Ассоциации;</w:t>
            </w:r>
          </w:p>
          <w:p w:rsidR="00D602D4" w:rsidRDefault="000B4C86">
            <w:pPr>
              <w:pStyle w:val="ConsPlusNonformat"/>
              <w:rPr>
                <w:rFonts w:ascii="Times New Roman" w:hAnsi="Times New Roman" w:cs="Times New Roman"/>
                <w:sz w:val="22"/>
                <w:szCs w:val="22"/>
              </w:rPr>
            </w:pPr>
            <w:r>
              <w:rPr>
                <w:rFonts w:ascii="Times New Roman" w:hAnsi="Times New Roman" w:cs="Times New Roman"/>
              </w:rPr>
              <w:lastRenderedPageBreak/>
              <w:t>- создание эффективной информационной базы для членов Ассоциации</w:t>
            </w:r>
          </w:p>
          <w:p w:rsidR="00D602D4" w:rsidRDefault="00D602D4">
            <w:pPr>
              <w:spacing w:after="0" w:line="240" w:lineRule="auto"/>
              <w:ind w:left="73" w:right="-1"/>
              <w:rPr>
                <w:rFonts w:ascii="Times New Roman" w:hAnsi="Times New Roman" w:cs="Times New Roman"/>
                <w:u w:val="single"/>
              </w:rPr>
            </w:pP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firstLine="34"/>
              <w:jc w:val="center"/>
              <w:rPr>
                <w:rFonts w:ascii="Times New Roman" w:hAnsi="Times New Roman" w:cs="Times New Roman"/>
              </w:rPr>
            </w:pPr>
            <w:r>
              <w:rPr>
                <w:rFonts w:ascii="Times New Roman" w:hAnsi="Times New Roman" w:cs="Times New Roman"/>
                <w:sz w:val="20"/>
                <w:szCs w:val="20"/>
              </w:rPr>
              <w:lastRenderedPageBreak/>
              <w:t>Вступительный взнос в размере 100 000 руб.</w:t>
            </w:r>
          </w:p>
        </w:tc>
      </w:tr>
      <w:tr w:rsidR="00D602D4">
        <w:trPr>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2.</w:t>
            </w:r>
          </w:p>
        </w:tc>
        <w:tc>
          <w:tcPr>
            <w:tcW w:w="222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Ассоциация «ЭРА России»</w:t>
            </w:r>
          </w:p>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(Объединение работодателей энергетики)</w:t>
            </w:r>
          </w:p>
          <w:p w:rsidR="00D602D4" w:rsidRDefault="00D602D4">
            <w:pPr>
              <w:spacing w:after="0" w:line="240" w:lineRule="auto"/>
              <w:rPr>
                <w:rFonts w:ascii="Times New Roman" w:eastAsia="Calibri" w:hAnsi="Times New Roman" w:cs="Times New Roman"/>
              </w:rPr>
            </w:pPr>
          </w:p>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 xml:space="preserve">г. Москва, </w:t>
            </w:r>
            <w:r>
              <w:rPr>
                <w:rFonts w:ascii="Times New Roman" w:hAnsi="Times New Roman" w:cs="Times New Roman"/>
                <w:sz w:val="20"/>
                <w:szCs w:val="20"/>
                <w:shd w:val="clear" w:color="auto" w:fill="FFFFFF"/>
              </w:rPr>
              <w:t>2-й Павелецкий проезд, д. 5/1</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hAnsi="Times New Roman" w:cs="Times New Roman"/>
                <w:sz w:val="20"/>
                <w:szCs w:val="20"/>
                <w:shd w:val="clear" w:color="auto" w:fill="FFFFFF"/>
              </w:rPr>
              <w:t>содействие развитию электроэнергетики, топливно-энергетического комплекса Российской Федерации путем отстаивания интересов работодателей в социально-трудовой, экономической и других сферах, проведение согласованной социально ответственной политики организаций – членов Ассоциации.</w:t>
            </w:r>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hAnsi="Times New Roman" w:cs="Times New Roman"/>
                <w:sz w:val="20"/>
                <w:szCs w:val="20"/>
              </w:rPr>
              <w:t>Поддержка работодателя на отраслевом уровне по вопросам взаимодействия сторон социального</w:t>
            </w: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rPr>
            </w:pPr>
            <w:r>
              <w:rPr>
                <w:rFonts w:ascii="Times New Roman" w:hAnsi="Times New Roman" w:cs="Times New Roman"/>
                <w:sz w:val="20"/>
                <w:szCs w:val="20"/>
              </w:rPr>
              <w:t xml:space="preserve">Ежегодно </w:t>
            </w:r>
          </w:p>
          <w:p w:rsidR="00D602D4" w:rsidRDefault="000B4C86">
            <w:pPr>
              <w:spacing w:after="0" w:line="240" w:lineRule="auto"/>
              <w:rPr>
                <w:rFonts w:ascii="Times New Roman" w:eastAsia="Calibri" w:hAnsi="Times New Roman" w:cs="Times New Roman"/>
              </w:rPr>
            </w:pPr>
            <w:r>
              <w:rPr>
                <w:rFonts w:ascii="Times New Roman" w:hAnsi="Times New Roman" w:cs="Times New Roman"/>
                <w:sz w:val="20"/>
                <w:szCs w:val="20"/>
              </w:rPr>
              <w:t>1200 тыс. руб.</w:t>
            </w:r>
          </w:p>
        </w:tc>
      </w:tr>
      <w:tr w:rsidR="00D602D4">
        <w:trPr>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3.</w:t>
            </w:r>
          </w:p>
        </w:tc>
        <w:tc>
          <w:tcPr>
            <w:tcW w:w="222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 xml:space="preserve">Некоммерческое партнерство «Научно-технический совет Единой энергетической системы» </w:t>
            </w:r>
          </w:p>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г. Москва, проезд Завода Серп и Молот, дом 10, офис 608</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shd w:val="clear" w:color="auto" w:fill="FFFFFF"/>
              <w:spacing w:after="0" w:line="240" w:lineRule="auto"/>
              <w:jc w:val="both"/>
              <w:rPr>
                <w:rFonts w:ascii="Times New Roman" w:hAnsi="Times New Roman" w:cs="Times New Roman"/>
                <w:color w:val="000000"/>
              </w:rPr>
            </w:pPr>
            <w:r>
              <w:rPr>
                <w:rFonts w:ascii="Times New Roman" w:hAnsi="Times New Roman" w:cs="Times New Roman"/>
                <w:bCs/>
                <w:color w:val="000000"/>
                <w:sz w:val="20"/>
                <w:szCs w:val="20"/>
              </w:rPr>
              <w:t>Основные направления деятельности Партнерства:</w:t>
            </w:r>
          </w:p>
          <w:p w:rsidR="00D602D4" w:rsidRDefault="000B4C86">
            <w:pPr>
              <w:shd w:val="clear" w:color="auto" w:fill="FFFFFF"/>
              <w:spacing w:after="0" w:line="240" w:lineRule="auto"/>
              <w:jc w:val="both"/>
              <w:rPr>
                <w:rFonts w:ascii="Times New Roman" w:hAnsi="Times New Roman" w:cs="Times New Roman"/>
                <w:color w:val="000000"/>
              </w:rPr>
            </w:pPr>
            <w:r>
              <w:rPr>
                <w:rFonts w:ascii="Times New Roman" w:hAnsi="Times New Roman" w:cs="Times New Roman"/>
                <w:color w:val="000000"/>
                <w:sz w:val="20"/>
                <w:szCs w:val="20"/>
              </w:rPr>
              <w:t> - Внедрение новейших технологий науки и техники.</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Техническое перевооружение предприятий электроэнергетики.</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Инвестиционная политика.</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Развитие ЕЭС России.</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Законодательное и нормативно-техническое обеспечение.</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Разработка стратегии в условиях рынка.</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Рациональное размещение предприятий электроэнергетики.</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Эффективное использование топливных ресурсов.</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Проекты новых технологий и оборудования.</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Автоматизированное управление технологиями и предприятиями.</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Воздействие на окружающую среду предприятий электроэнергетики.</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Развитие нетрадиционных способов производства энергии.</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Комплексное использование гидроэнергетического потенциала.</w:t>
            </w:r>
          </w:p>
          <w:p w:rsidR="00D602D4" w:rsidRDefault="000B4C86">
            <w:pPr>
              <w:shd w:val="clear" w:color="auto" w:fill="FFFFFF"/>
              <w:spacing w:after="0" w:line="240" w:lineRule="auto"/>
              <w:rPr>
                <w:rFonts w:ascii="Times New Roman" w:hAnsi="Times New Roman" w:cs="Times New Roman"/>
                <w:color w:val="000000"/>
              </w:rPr>
            </w:pPr>
            <w:r>
              <w:rPr>
                <w:rFonts w:ascii="Times New Roman" w:hAnsi="Times New Roman" w:cs="Times New Roman"/>
                <w:color w:val="000000"/>
                <w:sz w:val="20"/>
                <w:szCs w:val="20"/>
              </w:rPr>
              <w:t>- Внешние энергетические связи и параллельная работа с энергосистемами других стран.</w:t>
            </w:r>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shd w:val="clear" w:color="auto" w:fill="FFFFFF"/>
              <w:spacing w:after="0" w:line="240" w:lineRule="auto"/>
              <w:jc w:val="both"/>
              <w:rPr>
                <w:rFonts w:ascii="Times New Roman" w:hAnsi="Times New Roman" w:cs="Times New Roman"/>
                <w:bCs/>
              </w:rPr>
            </w:pPr>
            <w:r>
              <w:rPr>
                <w:rFonts w:ascii="Times New Roman" w:hAnsi="Times New Roman" w:cs="Times New Roman"/>
                <w:bCs/>
                <w:sz w:val="20"/>
                <w:szCs w:val="20"/>
              </w:rPr>
              <w:t>Основной целью является содействие в формировании научно-обоснованной технической и экономической политике в Единой энергетической системе России. Членство в НП «НТС ЕЭС» предоставляет Партнерам следующие преимущества:</w:t>
            </w:r>
          </w:p>
          <w:p w:rsidR="00D602D4" w:rsidRDefault="000B4C86">
            <w:pPr>
              <w:shd w:val="clear" w:color="auto" w:fill="FFFFFF"/>
              <w:spacing w:after="0" w:line="240" w:lineRule="auto"/>
              <w:rPr>
                <w:rFonts w:ascii="Times New Roman" w:hAnsi="Times New Roman" w:cs="Times New Roman"/>
                <w:bCs/>
              </w:rPr>
            </w:pPr>
            <w:r>
              <w:rPr>
                <w:rFonts w:ascii="Times New Roman" w:hAnsi="Times New Roman" w:cs="Times New Roman"/>
                <w:bCs/>
                <w:sz w:val="20"/>
                <w:szCs w:val="20"/>
              </w:rPr>
              <w:t xml:space="preserve">- </w:t>
            </w:r>
            <w:hyperlink r:id="rId145" w:tooltip="http://www.nts-ees.ru/vozmozhnost-koordinacii-deyatelnosti-s-drugimi-subektami-edinoy-energeticheskoy-sistemy" w:history="1">
              <w:r>
                <w:rPr>
                  <w:rFonts w:ascii="Times New Roman" w:hAnsi="Times New Roman" w:cs="Times New Roman"/>
                  <w:bCs/>
                  <w:sz w:val="20"/>
                  <w:szCs w:val="20"/>
                </w:rPr>
                <w:t>Возможность координации деятельности с другими субъектами единой энергетической системы</w:t>
              </w:r>
            </w:hyperlink>
          </w:p>
          <w:p w:rsidR="00D602D4" w:rsidRDefault="000B4C86">
            <w:pPr>
              <w:shd w:val="clear" w:color="auto" w:fill="FFFFFF"/>
              <w:spacing w:after="0" w:line="240" w:lineRule="auto"/>
              <w:rPr>
                <w:rFonts w:ascii="Times New Roman" w:hAnsi="Times New Roman" w:cs="Times New Roman"/>
                <w:bCs/>
              </w:rPr>
            </w:pPr>
            <w:r>
              <w:rPr>
                <w:rFonts w:ascii="Times New Roman" w:hAnsi="Times New Roman" w:cs="Times New Roman"/>
                <w:bCs/>
                <w:sz w:val="20"/>
                <w:szCs w:val="20"/>
              </w:rPr>
              <w:t xml:space="preserve">- </w:t>
            </w:r>
            <w:hyperlink r:id="rId146" w:tooltip="http://www.nts-ees.ru/pravo-dostupa-k-rezultatam-rabot-vypolnennyh-po-zakazu-chlenov-partnerstva" w:history="1">
              <w:r>
                <w:rPr>
                  <w:rFonts w:ascii="Times New Roman" w:hAnsi="Times New Roman" w:cs="Times New Roman"/>
                  <w:bCs/>
                  <w:sz w:val="20"/>
                  <w:szCs w:val="20"/>
                </w:rPr>
                <w:t>Право доступа к результатам работ, выполненных по заказу членов Партнерства</w:t>
              </w:r>
            </w:hyperlink>
          </w:p>
          <w:p w:rsidR="00D602D4" w:rsidRDefault="000B4C86">
            <w:pPr>
              <w:shd w:val="clear" w:color="auto" w:fill="FFFFFF"/>
              <w:spacing w:after="0" w:line="240" w:lineRule="auto"/>
              <w:rPr>
                <w:rFonts w:ascii="Times New Roman" w:hAnsi="Times New Roman" w:cs="Times New Roman"/>
                <w:bCs/>
              </w:rPr>
            </w:pPr>
            <w:r>
              <w:rPr>
                <w:rFonts w:ascii="Times New Roman" w:hAnsi="Times New Roman" w:cs="Times New Roman"/>
                <w:bCs/>
                <w:sz w:val="20"/>
                <w:szCs w:val="20"/>
              </w:rPr>
              <w:t xml:space="preserve">- </w:t>
            </w:r>
            <w:hyperlink r:id="rId147" w:tooltip="http://www.nts-ees.ru/zashchita-interesov-chlenov-partnerstva-v-federalnom-sobranii-gosudarstvennyh-federalnyh-i" w:history="1">
              <w:r>
                <w:rPr>
                  <w:rFonts w:ascii="Times New Roman" w:hAnsi="Times New Roman" w:cs="Times New Roman"/>
                  <w:bCs/>
                  <w:sz w:val="20"/>
                  <w:szCs w:val="20"/>
                </w:rPr>
                <w:t>Защита интересов членов Партнерства в Федеральном Собрании, государственных федеральных и региональных органах исполнительной власти</w:t>
              </w:r>
            </w:hyperlink>
          </w:p>
          <w:p w:rsidR="00D602D4" w:rsidRDefault="00D602D4">
            <w:pPr>
              <w:spacing w:after="0" w:line="240" w:lineRule="auto"/>
              <w:ind w:right="-1"/>
              <w:jc w:val="center"/>
              <w:rPr>
                <w:rFonts w:ascii="Times New Roman" w:hAnsi="Times New Roman" w:cs="Times New Roman"/>
              </w:rPr>
            </w:pP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Ежегодный членский взнос - 2 000 000 (Два миллиона) рублей.</w:t>
            </w:r>
          </w:p>
          <w:p w:rsidR="00D602D4" w:rsidRDefault="00D602D4">
            <w:pPr>
              <w:spacing w:after="0" w:line="240" w:lineRule="auto"/>
              <w:ind w:right="-1"/>
              <w:rPr>
                <w:rFonts w:ascii="Times New Roman" w:hAnsi="Times New Roman" w:cs="Times New Roman"/>
              </w:rPr>
            </w:pPr>
          </w:p>
        </w:tc>
      </w:tr>
      <w:tr w:rsidR="00D602D4">
        <w:trPr>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4.</w:t>
            </w:r>
          </w:p>
        </w:tc>
        <w:tc>
          <w:tcPr>
            <w:tcW w:w="222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Ассоциация Саморегулируемая организация «Енисейский альянс строителей»</w:t>
            </w:r>
          </w:p>
          <w:p w:rsidR="00D602D4" w:rsidRDefault="00D602D4">
            <w:pPr>
              <w:spacing w:after="0" w:line="240" w:lineRule="auto"/>
              <w:rPr>
                <w:rFonts w:ascii="Times New Roman" w:eastAsia="Calibri" w:hAnsi="Times New Roman" w:cs="Times New Roman"/>
              </w:rPr>
            </w:pPr>
          </w:p>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г. Красноярск, пр-т. Комсомольский, д. 22/1, пом. 97</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hAnsi="Times New Roman" w:cs="Times New Roman"/>
                <w:sz w:val="20"/>
                <w:szCs w:val="20"/>
              </w:rPr>
              <w:lastRenderedPageBreak/>
              <w:t>общероссийское отраслевое объединение работодателей в области строительства</w:t>
            </w:r>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hAnsi="Times New Roman" w:cs="Times New Roman"/>
                <w:sz w:val="20"/>
                <w:szCs w:val="20"/>
              </w:rPr>
              <w:t>Для выполнения работ по строительству, реконструкции и техническому перевооружению</w:t>
            </w: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hAnsi="Times New Roman" w:cs="Times New Roman"/>
                <w:sz w:val="20"/>
                <w:szCs w:val="20"/>
              </w:rPr>
              <w:t>Годовой взнос 72,5 тыс. руб.</w:t>
            </w:r>
          </w:p>
        </w:tc>
      </w:tr>
      <w:tr w:rsidR="00D602D4">
        <w:trPr>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5.</w:t>
            </w:r>
          </w:p>
        </w:tc>
        <w:tc>
          <w:tcPr>
            <w:tcW w:w="222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left="-32" w:right="-1"/>
              <w:rPr>
                <w:rFonts w:ascii="Times New Roman" w:hAnsi="Times New Roman" w:cs="Times New Roman"/>
              </w:rPr>
            </w:pPr>
            <w:r>
              <w:rPr>
                <w:rFonts w:ascii="Times New Roman" w:hAnsi="Times New Roman" w:cs="Times New Roman"/>
                <w:sz w:val="20"/>
                <w:szCs w:val="20"/>
              </w:rPr>
              <w:t>Алтайская торгово-промышленная палата</w:t>
            </w:r>
          </w:p>
          <w:p w:rsidR="00D602D4" w:rsidRDefault="000B4C86">
            <w:pPr>
              <w:spacing w:after="0" w:line="240" w:lineRule="auto"/>
              <w:ind w:left="-32" w:right="-1"/>
              <w:rPr>
                <w:rFonts w:ascii="Times New Roman" w:hAnsi="Times New Roman" w:cs="Times New Roman"/>
              </w:rPr>
            </w:pPr>
            <w:r>
              <w:rPr>
                <w:rFonts w:ascii="Times New Roman" w:hAnsi="Times New Roman" w:cs="Times New Roman"/>
                <w:sz w:val="20"/>
                <w:szCs w:val="20"/>
              </w:rPr>
              <w:t>г. Барнаул, пл. Баварина, 2 (бизнес-центр "Парус"),  этажи 6 и 7</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left="33" w:right="-1"/>
              <w:jc w:val="both"/>
              <w:rPr>
                <w:rFonts w:ascii="Times New Roman" w:eastAsia="Times New Roman" w:hAnsi="Times New Roman" w:cs="Times New Roman"/>
                <w:color w:val="000000"/>
              </w:rPr>
            </w:pPr>
            <w:r>
              <w:rPr>
                <w:rFonts w:ascii="Times New Roman" w:eastAsia="Times New Roman" w:hAnsi="Times New Roman" w:cs="Times New Roman"/>
                <w:color w:val="000000"/>
                <w:sz w:val="20"/>
                <w:szCs w:val="20"/>
                <w:lang w:eastAsia="ru-RU"/>
              </w:rPr>
              <w:t xml:space="preserve">Действует на территории Алтайского края с 1991 года. Основная цель: содействие развитию социально ориентированной экономики в Алтайском крае, ее интегрированию в российскую и мировую хозяйственные системы, создание благоприятных условий для развития предпринимательства. </w:t>
            </w:r>
          </w:p>
          <w:p w:rsidR="00D602D4" w:rsidRDefault="000B4C86">
            <w:pPr>
              <w:pStyle w:val="afd"/>
              <w:shd w:val="clear" w:color="auto" w:fill="FFFFFF"/>
              <w:spacing w:after="0" w:line="240" w:lineRule="auto"/>
              <w:jc w:val="both"/>
              <w:rPr>
                <w:color w:val="000000"/>
                <w:sz w:val="22"/>
                <w:szCs w:val="22"/>
              </w:rPr>
            </w:pPr>
            <w:r>
              <w:rPr>
                <w:bCs/>
                <w:color w:val="000000"/>
                <w:sz w:val="20"/>
                <w:szCs w:val="20"/>
              </w:rPr>
              <w:t>Комитет Алтайской ТПП по энергетике</w:t>
            </w:r>
            <w:r>
              <w:rPr>
                <w:color w:val="000000"/>
                <w:sz w:val="20"/>
                <w:szCs w:val="20"/>
              </w:rPr>
              <w:t> создан в 2005 году с целью содействия развитию топливно-энергетического комплекса Алтайского края. Объединяет ведущие профильные предприятия и организация края. Приоритетным направлением деятельности Комитета является внедрение энергосберегающих технологий. Тесно сотрудничает с у</w:t>
            </w:r>
            <w:r>
              <w:rPr>
                <w:bCs/>
                <w:color w:val="000000"/>
                <w:sz w:val="20"/>
                <w:szCs w:val="20"/>
                <w:shd w:val="clear" w:color="auto" w:fill="FFFFFF"/>
              </w:rPr>
              <w:t xml:space="preserve">правлением Алтайского края по государственному регулированию цен и тарифов,  </w:t>
            </w:r>
            <w:r>
              <w:rPr>
                <w:bCs/>
                <w:color w:val="000000"/>
                <w:sz w:val="20"/>
                <w:szCs w:val="20"/>
              </w:rPr>
              <w:t xml:space="preserve">министерством по промышленности и энергетике Алтайского края, управлением Алтайского края по развитию предпринимательства и рыночной инфраструктуры, администрацией города Барнаула, </w:t>
            </w:r>
            <w:hyperlink r:id="rId148" w:tooltip="http://www.energy-alttpp.ru/about/partners/services/" w:history="1">
              <w:r>
                <w:rPr>
                  <w:bCs/>
                  <w:sz w:val="20"/>
                  <w:szCs w:val="20"/>
                </w:rPr>
                <w:t>центром энергосбережения</w:t>
              </w:r>
            </w:hyperlink>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jc w:val="both"/>
              <w:rPr>
                <w:rFonts w:ascii="Times New Roman" w:hAnsi="Times New Roman" w:cs="Times New Roman"/>
              </w:rPr>
            </w:pPr>
            <w:r>
              <w:rPr>
                <w:rFonts w:ascii="Times New Roman" w:hAnsi="Times New Roman" w:cs="Times New Roman"/>
                <w:sz w:val="20"/>
                <w:szCs w:val="20"/>
              </w:rPr>
              <w:t>Участие в Алтайской ТПП дает возможность обсуждать на рынке энергоресурсов вопросы при участии, содействии всех членов топливно-энергетического комплекса, с привлечением законодательных, исполнительных и иных органов власти, что способствует достижению Обществом поставленных стратегических приоритетов, в частности, обеспечения надежности электроснабжения, развития инфраструктуры, инвестиционной привлекательности. Участие в союзе способствует продвижению инвестиционных проектов Общества.</w:t>
            </w: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firstLine="33"/>
              <w:jc w:val="center"/>
              <w:rPr>
                <w:rFonts w:ascii="Times New Roman" w:hAnsi="Times New Roman" w:cs="Times New Roman"/>
              </w:rPr>
            </w:pPr>
            <w:r>
              <w:rPr>
                <w:rFonts w:ascii="Times New Roman" w:hAnsi="Times New Roman" w:cs="Times New Roman"/>
                <w:sz w:val="20"/>
                <w:szCs w:val="20"/>
              </w:rPr>
              <w:t>Годовой членский взнос 7 тыс. руб.</w:t>
            </w:r>
          </w:p>
        </w:tc>
      </w:tr>
      <w:tr w:rsidR="00D602D4">
        <w:trPr>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6.</w:t>
            </w:r>
          </w:p>
        </w:tc>
        <w:tc>
          <w:tcPr>
            <w:tcW w:w="222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Ассоциация "ЭНЕРГОПРОЕКТ"</w:t>
            </w:r>
          </w:p>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 г. Москва, Киевское шоссе 22-й км (п. Московский), домовладение 4, строение 4, блок Д, этаж 7, офис 710Д</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left="73" w:right="-1"/>
              <w:jc w:val="center"/>
              <w:rPr>
                <w:rFonts w:ascii="Times New Roman" w:hAnsi="Times New Roman" w:cs="Times New Roman"/>
                <w:u w:val="single"/>
              </w:rPr>
            </w:pPr>
            <w:r>
              <w:rPr>
                <w:rFonts w:ascii="Times New Roman" w:hAnsi="Times New Roman" w:cs="Times New Roman"/>
                <w:sz w:val="20"/>
                <w:szCs w:val="20"/>
              </w:rPr>
              <w:t>общероссийское отраслевое объединение работодателей в области проектирования</w:t>
            </w:r>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jc w:val="center"/>
              <w:rPr>
                <w:rFonts w:ascii="Times New Roman" w:hAnsi="Times New Roman" w:cs="Times New Roman"/>
              </w:rPr>
            </w:pPr>
            <w:r>
              <w:rPr>
                <w:rFonts w:ascii="Times New Roman" w:hAnsi="Times New Roman" w:cs="Times New Roman"/>
                <w:sz w:val="20"/>
                <w:szCs w:val="20"/>
              </w:rPr>
              <w:t>Для выполнения работ по проектированию</w:t>
            </w: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hAnsi="Times New Roman" w:cs="Times New Roman"/>
              </w:rPr>
            </w:pPr>
            <w:r>
              <w:rPr>
                <w:rFonts w:ascii="Times New Roman" w:hAnsi="Times New Roman" w:cs="Times New Roman"/>
                <w:sz w:val="20"/>
                <w:szCs w:val="20"/>
              </w:rPr>
              <w:t>Каждое полугодие - 3,25</w:t>
            </w:r>
          </w:p>
          <w:p w:rsidR="00D602D4" w:rsidRDefault="000B4C86">
            <w:pPr>
              <w:spacing w:after="0" w:line="240" w:lineRule="auto"/>
              <w:rPr>
                <w:rFonts w:ascii="Times New Roman" w:eastAsia="Calibri" w:hAnsi="Times New Roman" w:cs="Times New Roman"/>
                <w:highlight w:val="yellow"/>
              </w:rPr>
            </w:pPr>
            <w:r>
              <w:rPr>
                <w:rFonts w:ascii="Times New Roman" w:hAnsi="Times New Roman" w:cs="Times New Roman"/>
                <w:sz w:val="20"/>
                <w:szCs w:val="20"/>
              </w:rPr>
              <w:t>Ежеквартально -75,0</w:t>
            </w:r>
          </w:p>
        </w:tc>
      </w:tr>
      <w:tr w:rsidR="00D602D4">
        <w:trPr>
          <w:trHeight w:val="1060"/>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7.</w:t>
            </w:r>
          </w:p>
        </w:tc>
        <w:tc>
          <w:tcPr>
            <w:tcW w:w="222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Саморегулируемая организация Ассоциация лиц, осуществляющих</w:t>
            </w:r>
          </w:p>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 xml:space="preserve">деятельность в области энергетического обследования «ЭнергоПрофАудит» </w:t>
            </w:r>
          </w:p>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 xml:space="preserve">г. Москва, ул. Ткацкая, </w:t>
            </w:r>
            <w:r>
              <w:rPr>
                <w:rFonts w:ascii="Times New Roman" w:hAnsi="Times New Roman" w:cs="Times New Roman"/>
                <w:sz w:val="20"/>
                <w:szCs w:val="20"/>
              </w:rPr>
              <w:lastRenderedPageBreak/>
              <w:t>1</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left="73" w:right="-1"/>
              <w:rPr>
                <w:rFonts w:ascii="Times New Roman" w:hAnsi="Times New Roman" w:cs="Times New Roman"/>
              </w:rPr>
            </w:pPr>
            <w:r>
              <w:rPr>
                <w:rFonts w:ascii="Times New Roman" w:hAnsi="Times New Roman" w:cs="Times New Roman"/>
                <w:sz w:val="20"/>
                <w:szCs w:val="20"/>
              </w:rPr>
              <w:lastRenderedPageBreak/>
              <w:t>Осуществляет деятельность в области энергетического обследования.</w:t>
            </w:r>
          </w:p>
          <w:p w:rsidR="00D602D4" w:rsidRDefault="000B4C86">
            <w:pPr>
              <w:spacing w:after="0" w:line="240" w:lineRule="auto"/>
              <w:ind w:left="73" w:right="-1"/>
              <w:rPr>
                <w:rFonts w:ascii="Times New Roman" w:hAnsi="Times New Roman" w:cs="Times New Roman"/>
              </w:rPr>
            </w:pPr>
            <w:r>
              <w:rPr>
                <w:rFonts w:ascii="Times New Roman" w:hAnsi="Times New Roman" w:cs="Times New Roman"/>
                <w:sz w:val="20"/>
                <w:szCs w:val="20"/>
              </w:rPr>
              <w:t>В состав членов СРО входят 13 ДО из Группы компаний ПАО «Россети» (в т.ч. ПАО «Россети Сибирь»)</w:t>
            </w:r>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Проведение энергетического обследования (ст.15 Федеральный закон от 23.11.2009 №261-ФЗ).</w:t>
            </w:r>
          </w:p>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 xml:space="preserve">Участие в НКО дает возможность Обществу самостоятельного без привлечения сторонних организаций проведения энергетического обследования хозяйственным способом с выполнением требований к обследованию в соответствии с законодательством (ст.15 ч.5.3 Федеральный закон от 23.11.2009 №261-ФЗ). НКО проводит проверку энергопаспорта в ПК </w:t>
            </w:r>
            <w:r>
              <w:rPr>
                <w:rFonts w:ascii="Times New Roman" w:hAnsi="Times New Roman" w:cs="Times New Roman"/>
                <w:sz w:val="20"/>
                <w:szCs w:val="20"/>
                <w:lang w:val="en-US"/>
              </w:rPr>
              <w:t>E</w:t>
            </w:r>
            <w:r>
              <w:rPr>
                <w:rFonts w:ascii="Times New Roman" w:hAnsi="Times New Roman" w:cs="Times New Roman"/>
                <w:sz w:val="20"/>
                <w:szCs w:val="20"/>
              </w:rPr>
              <w:t>-</w:t>
            </w:r>
            <w:r>
              <w:rPr>
                <w:rFonts w:ascii="Times New Roman" w:hAnsi="Times New Roman" w:cs="Times New Roman"/>
                <w:sz w:val="20"/>
                <w:szCs w:val="20"/>
                <w:lang w:val="en-US"/>
              </w:rPr>
              <w:t>Pass</w:t>
            </w:r>
            <w:r>
              <w:rPr>
                <w:rFonts w:ascii="Times New Roman" w:hAnsi="Times New Roman" w:cs="Times New Roman"/>
                <w:sz w:val="20"/>
                <w:szCs w:val="20"/>
              </w:rPr>
              <w:t xml:space="preserve"> и последующую экспертизу отчета и энергетического паспорта Общества, регистрирует и </w:t>
            </w:r>
            <w:r>
              <w:rPr>
                <w:rFonts w:ascii="Times New Roman" w:hAnsi="Times New Roman" w:cs="Times New Roman"/>
                <w:sz w:val="20"/>
                <w:szCs w:val="20"/>
              </w:rPr>
              <w:lastRenderedPageBreak/>
              <w:t>направляет его в Минэкономразвития России.</w:t>
            </w:r>
          </w:p>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Получение методологической помощи.</w:t>
            </w: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MS Mincho" w:hAnsi="Times New Roman" w:cs="Times New Roman"/>
              </w:rPr>
            </w:pPr>
            <w:r>
              <w:rPr>
                <w:rFonts w:ascii="Times New Roman" w:eastAsia="MS Mincho" w:hAnsi="Times New Roman" w:cs="Times New Roman"/>
                <w:sz w:val="20"/>
                <w:szCs w:val="20"/>
                <w:lang w:eastAsia="ja-JP"/>
              </w:rPr>
              <w:lastRenderedPageBreak/>
              <w:t>Членский взнос в год –</w:t>
            </w:r>
          </w:p>
          <w:p w:rsidR="00D602D4" w:rsidRDefault="000B4C86">
            <w:pPr>
              <w:spacing w:after="0" w:line="240" w:lineRule="auto"/>
              <w:rPr>
                <w:rFonts w:ascii="Times New Roman" w:eastAsia="MS Mincho" w:hAnsi="Times New Roman" w:cs="Times New Roman"/>
              </w:rPr>
            </w:pPr>
            <w:r>
              <w:rPr>
                <w:rFonts w:ascii="Times New Roman" w:eastAsia="MS Mincho" w:hAnsi="Times New Roman" w:cs="Times New Roman"/>
                <w:sz w:val="20"/>
                <w:szCs w:val="20"/>
                <w:lang w:eastAsia="ja-JP"/>
              </w:rPr>
              <w:t>525 000 руб.</w:t>
            </w:r>
          </w:p>
          <w:p w:rsidR="00D602D4" w:rsidRDefault="000B4C86">
            <w:pPr>
              <w:spacing w:after="0" w:line="240" w:lineRule="auto"/>
              <w:rPr>
                <w:rFonts w:ascii="Times New Roman" w:eastAsia="MS Mincho" w:hAnsi="Times New Roman" w:cs="Times New Roman"/>
              </w:rPr>
            </w:pPr>
            <w:r>
              <w:rPr>
                <w:rFonts w:ascii="Times New Roman" w:eastAsia="MS Mincho" w:hAnsi="Times New Roman" w:cs="Times New Roman"/>
                <w:sz w:val="20"/>
                <w:szCs w:val="20"/>
                <w:lang w:eastAsia="ja-JP"/>
              </w:rPr>
              <w:t>(ежеквартальный – 30 тыс. руб. за 1 кв.2020, начиная со 2-го кв.2020 – 165 000 рублей)</w:t>
            </w:r>
          </w:p>
          <w:p w:rsidR="00D602D4" w:rsidRDefault="00D602D4">
            <w:pPr>
              <w:spacing w:after="0" w:line="240" w:lineRule="auto"/>
              <w:ind w:right="-1" w:firstLine="33"/>
              <w:rPr>
                <w:rFonts w:ascii="Times New Roman" w:hAnsi="Times New Roman" w:cs="Times New Roman"/>
              </w:rPr>
            </w:pPr>
          </w:p>
          <w:p w:rsidR="00D602D4" w:rsidRDefault="000B4C86">
            <w:pPr>
              <w:spacing w:after="0" w:line="240" w:lineRule="auto"/>
              <w:ind w:right="-1" w:firstLine="33"/>
              <w:rPr>
                <w:rFonts w:ascii="Times New Roman" w:hAnsi="Times New Roman" w:cs="Times New Roman"/>
              </w:rPr>
            </w:pPr>
            <w:r>
              <w:rPr>
                <w:rFonts w:ascii="Times New Roman" w:hAnsi="Times New Roman" w:cs="Times New Roman"/>
                <w:sz w:val="20"/>
                <w:szCs w:val="20"/>
              </w:rPr>
              <w:lastRenderedPageBreak/>
              <w:t>Целевой взнос (единоразовый)</w:t>
            </w:r>
            <w:r>
              <w:rPr>
                <w:rFonts w:ascii="Times New Roman" w:eastAsia="MS Mincho" w:hAnsi="Times New Roman" w:cs="Times New Roman"/>
                <w:sz w:val="20"/>
                <w:szCs w:val="20"/>
                <w:lang w:eastAsia="ja-JP"/>
              </w:rPr>
              <w:t xml:space="preserve"> – 250 000 руб.</w:t>
            </w:r>
          </w:p>
        </w:tc>
      </w:tr>
      <w:tr w:rsidR="00D602D4">
        <w:trPr>
          <w:trHeight w:val="509"/>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lastRenderedPageBreak/>
              <w:t>8.</w:t>
            </w:r>
          </w:p>
        </w:tc>
        <w:tc>
          <w:tcPr>
            <w:tcW w:w="222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left="-32" w:right="-1"/>
              <w:rPr>
                <w:rFonts w:ascii="Times New Roman" w:hAnsi="Times New Roman" w:cs="Times New Roman"/>
              </w:rPr>
            </w:pPr>
            <w:r>
              <w:rPr>
                <w:rFonts w:ascii="Times New Roman" w:hAnsi="Times New Roman" w:cs="Times New Roman"/>
                <w:sz w:val="20"/>
                <w:szCs w:val="20"/>
              </w:rPr>
              <w:t>НП ТСО</w:t>
            </w:r>
          </w:p>
          <w:p w:rsidR="00D602D4" w:rsidRDefault="000B4C86">
            <w:pPr>
              <w:spacing w:after="0" w:line="240" w:lineRule="auto"/>
              <w:ind w:left="-32" w:right="-1"/>
              <w:rPr>
                <w:rFonts w:ascii="Times New Roman" w:hAnsi="Times New Roman" w:cs="Times New Roman"/>
              </w:rPr>
            </w:pPr>
            <w:r>
              <w:rPr>
                <w:rFonts w:ascii="Times New Roman" w:hAnsi="Times New Roman" w:cs="Times New Roman"/>
                <w:sz w:val="20"/>
                <w:szCs w:val="20"/>
              </w:rPr>
              <w:t>г. Москва, Просвирин пер., д.4</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Консолидация, представление и защита интересов участников партнерства в органах власти всех уровней, инфраструктурных, некоммерческих и общественных организациях.</w:t>
            </w:r>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jc w:val="both"/>
              <w:rPr>
                <w:rFonts w:ascii="Times New Roman" w:hAnsi="Times New Roman" w:cs="Times New Roman"/>
              </w:rPr>
            </w:pPr>
            <w:r>
              <w:rPr>
                <w:rFonts w:ascii="Times New Roman" w:hAnsi="Times New Roman" w:cs="Times New Roman"/>
                <w:sz w:val="20"/>
                <w:szCs w:val="20"/>
              </w:rPr>
              <w:t>Продвижение законодательных инициатив в сфере энергетики</w:t>
            </w: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firstLine="33"/>
              <w:jc w:val="center"/>
              <w:rPr>
                <w:rFonts w:ascii="Times New Roman" w:hAnsi="Times New Roman" w:cs="Times New Roman"/>
              </w:rPr>
            </w:pPr>
            <w:r>
              <w:rPr>
                <w:rFonts w:ascii="Times New Roman" w:hAnsi="Times New Roman" w:cs="Times New Roman"/>
                <w:sz w:val="20"/>
                <w:szCs w:val="20"/>
              </w:rPr>
              <w:t>Ежеквартальные членские взносы 100 тыс. руб.</w:t>
            </w:r>
          </w:p>
        </w:tc>
      </w:tr>
      <w:tr w:rsidR="00D602D4">
        <w:trPr>
          <w:trHeight w:val="509"/>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9.</w:t>
            </w:r>
          </w:p>
        </w:tc>
        <w:tc>
          <w:tcPr>
            <w:tcW w:w="222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Ассоциация "Инженерные изыскания в строительстве"</w:t>
            </w:r>
          </w:p>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г. Москва, ул. Электрозаводская, д. 60</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left="73" w:right="-1"/>
              <w:jc w:val="center"/>
              <w:rPr>
                <w:rFonts w:ascii="Times New Roman" w:hAnsi="Times New Roman" w:cs="Times New Roman"/>
              </w:rPr>
            </w:pPr>
            <w:r>
              <w:rPr>
                <w:rFonts w:ascii="Times New Roman" w:hAnsi="Times New Roman" w:cs="Times New Roman"/>
                <w:sz w:val="20"/>
                <w:szCs w:val="20"/>
              </w:rPr>
              <w:t>общероссийское отраслевое объединение работодателей в области инженерных изысканиях</w:t>
            </w:r>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jc w:val="center"/>
              <w:rPr>
                <w:rFonts w:ascii="Times New Roman" w:hAnsi="Times New Roman" w:cs="Times New Roman"/>
              </w:rPr>
            </w:pPr>
            <w:r>
              <w:rPr>
                <w:rFonts w:ascii="Times New Roman" w:hAnsi="Times New Roman" w:cs="Times New Roman"/>
                <w:sz w:val="20"/>
                <w:szCs w:val="20"/>
              </w:rPr>
              <w:t>Для выполнения работ по инженерным изысканиям</w:t>
            </w: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firstLine="33"/>
              <w:jc w:val="center"/>
              <w:rPr>
                <w:rFonts w:ascii="Times New Roman" w:hAnsi="Times New Roman" w:cs="Times New Roman"/>
              </w:rPr>
            </w:pPr>
            <w:r>
              <w:rPr>
                <w:rFonts w:ascii="Times New Roman" w:hAnsi="Times New Roman" w:cs="Times New Roman"/>
                <w:sz w:val="20"/>
                <w:szCs w:val="20"/>
              </w:rPr>
              <w:t xml:space="preserve">Ежегодно 55,0 тыс. руб. </w:t>
            </w:r>
          </w:p>
        </w:tc>
      </w:tr>
      <w:tr w:rsidR="00D602D4">
        <w:trPr>
          <w:trHeight w:val="509"/>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10.</w:t>
            </w:r>
          </w:p>
        </w:tc>
        <w:tc>
          <w:tcPr>
            <w:tcW w:w="222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Ассоциация</w:t>
            </w:r>
          </w:p>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НП «Совет рынка»</w:t>
            </w:r>
          </w:p>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г. Москва, Краснопресненская наб., д. 12, подъезд 7, этажи 7 и 8</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1. Определение порядка ведения реестра субъектов оптового рынка, принятие решения о присвоении или лишении статуса субъекта оптового рынка</w:t>
            </w:r>
          </w:p>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2. Разработка формы договора о присоединении к торговой системе оптового рынка, регламентов оптового рынка, стандартных форм договоров</w:t>
            </w:r>
          </w:p>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3. Организация системы досудебного урегулирования споров между субъектами оптового рынка и субъектами электроэнергетики в случаях, предусмотренных договором о присоединении к торговой системе оптового рынка</w:t>
            </w:r>
          </w:p>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4. Установление системы и порядка применения имущественных и иных санкций в отношении субъектов оптового рынка</w:t>
            </w:r>
          </w:p>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5. Участие в подготовке проектов правил оптового и розничных рынков и предложений о внесении в них изменений</w:t>
            </w:r>
          </w:p>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6. Осуществление контроля за соблюдением правил и регламентов оптового рынка субъектами оптового рынка - участниками обращения электрической энергии и (или) мощности, организациями коммерческой инфраструктуры, организацией по управлению единой национальной (общероссийской) электрической сетью</w:t>
            </w:r>
          </w:p>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lastRenderedPageBreak/>
              <w:t>7. Признание генерирующих объектов функционирующими на основе использования возобновляемых источников энергии квалифицированными генерирующими объектами</w:t>
            </w:r>
          </w:p>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8. Ведение реестра выдачи и погашения сертификатов, подтверждающих объем производства электрической энергии на основе использования ВИЭ</w:t>
            </w:r>
          </w:p>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9. Мониторинг ценовой ситуации на оптовом и розничных рынках</w:t>
            </w:r>
          </w:p>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10. Прогнозирование цен электрической энергии и мощности</w:t>
            </w:r>
          </w:p>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11. Разработка мер, направленных на повышение платежной дисциплины на розничном рынке электроэнергии</w:t>
            </w:r>
          </w:p>
          <w:p w:rsidR="00D602D4" w:rsidRDefault="000B4C86">
            <w:pPr>
              <w:spacing w:after="0" w:line="240" w:lineRule="auto"/>
              <w:ind w:left="73" w:right="-1"/>
              <w:jc w:val="both"/>
              <w:rPr>
                <w:rFonts w:ascii="Times New Roman" w:hAnsi="Times New Roman" w:cs="Times New Roman"/>
              </w:rPr>
            </w:pPr>
            <w:r>
              <w:rPr>
                <w:rFonts w:ascii="Times New Roman" w:hAnsi="Times New Roman" w:cs="Times New Roman"/>
                <w:sz w:val="20"/>
                <w:szCs w:val="20"/>
              </w:rPr>
              <w:t>12. Развитие электронного документооборота на ОРЭМ, осуществляемого через операторов ЭДО, а также совершенствование действующего законодательства Российской Федерации в сфере ЭДО</w:t>
            </w:r>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jc w:val="center"/>
              <w:rPr>
                <w:rFonts w:ascii="Times New Roman" w:hAnsi="Times New Roman" w:cs="Times New Roman"/>
              </w:rPr>
            </w:pPr>
            <w:r>
              <w:rPr>
                <w:rFonts w:ascii="Times New Roman" w:hAnsi="Times New Roman" w:cs="Times New Roman"/>
                <w:sz w:val="20"/>
                <w:szCs w:val="20"/>
              </w:rPr>
              <w:lastRenderedPageBreak/>
              <w:t xml:space="preserve">Участие в деятельности на ОРЭМ в целях исполнения функции ГП </w:t>
            </w: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firstLine="33"/>
              <w:jc w:val="center"/>
              <w:rPr>
                <w:rFonts w:ascii="Times New Roman" w:hAnsi="Times New Roman" w:cs="Times New Roman"/>
              </w:rPr>
            </w:pPr>
            <w:r>
              <w:rPr>
                <w:rFonts w:ascii="Times New Roman" w:hAnsi="Times New Roman" w:cs="Times New Roman"/>
                <w:sz w:val="20"/>
                <w:szCs w:val="20"/>
              </w:rPr>
              <w:t>Ежеквартальные членские взносы 256 тыс. руб.</w:t>
            </w:r>
          </w:p>
        </w:tc>
      </w:tr>
      <w:tr w:rsidR="00D602D4">
        <w:trPr>
          <w:trHeight w:val="509"/>
          <w:jc w:val="center"/>
        </w:trPr>
        <w:tc>
          <w:tcPr>
            <w:tcW w:w="492"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rPr>
                <w:rFonts w:ascii="Times New Roman" w:eastAsia="Calibri" w:hAnsi="Times New Roman" w:cs="Times New Roman"/>
              </w:rPr>
            </w:pPr>
            <w:r>
              <w:rPr>
                <w:rFonts w:ascii="Times New Roman" w:eastAsia="Calibri" w:hAnsi="Times New Roman" w:cs="Times New Roman"/>
                <w:sz w:val="20"/>
                <w:szCs w:val="20"/>
              </w:rPr>
              <w:t>11</w:t>
            </w:r>
          </w:p>
        </w:tc>
        <w:tc>
          <w:tcPr>
            <w:tcW w:w="222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Союз промышленников Региональное объединение работодателей Алтайского края</w:t>
            </w:r>
          </w:p>
          <w:p w:rsidR="00D602D4" w:rsidRDefault="000B4C86">
            <w:pPr>
              <w:spacing w:after="0" w:line="240" w:lineRule="auto"/>
              <w:ind w:right="-1"/>
              <w:rPr>
                <w:rFonts w:ascii="Times New Roman" w:hAnsi="Times New Roman" w:cs="Times New Roman"/>
              </w:rPr>
            </w:pPr>
            <w:r>
              <w:rPr>
                <w:rFonts w:ascii="Times New Roman" w:hAnsi="Times New Roman" w:cs="Times New Roman"/>
                <w:sz w:val="20"/>
                <w:szCs w:val="20"/>
              </w:rPr>
              <w:t>г. Барнаул, проспект Космонавтов, 14, офис 205.</w:t>
            </w:r>
          </w:p>
        </w:tc>
        <w:tc>
          <w:tcPr>
            <w:tcW w:w="4651" w:type="dxa"/>
            <w:tcBorders>
              <w:top w:val="single" w:sz="4" w:space="0" w:color="000000"/>
              <w:left w:val="single" w:sz="4" w:space="0" w:color="000000"/>
              <w:bottom w:val="single" w:sz="4" w:space="0" w:color="000000"/>
              <w:right w:val="single" w:sz="4" w:space="0" w:color="000000"/>
            </w:tcBorders>
          </w:tcPr>
          <w:p w:rsidR="00D602D4" w:rsidRDefault="000B4C86">
            <w:pPr>
              <w:tabs>
                <w:tab w:val="num" w:pos="567"/>
                <w:tab w:val="left" w:pos="1134"/>
              </w:tabs>
              <w:spacing w:after="0" w:line="240" w:lineRule="auto"/>
              <w:contextualSpacing/>
              <w:jc w:val="both"/>
              <w:rPr>
                <w:rFonts w:ascii="Times New Roman" w:hAnsi="Times New Roman" w:cs="Times New Roman"/>
              </w:rPr>
            </w:pPr>
            <w:r>
              <w:rPr>
                <w:rFonts w:ascii="Times New Roman" w:hAnsi="Times New Roman" w:cs="Times New Roman"/>
                <w:sz w:val="20"/>
                <w:szCs w:val="20"/>
              </w:rPr>
              <w:t xml:space="preserve">Союз промышленников Алтайского края объединяет более 120 предприятий и организаций различных форм собственности: акционерные общества, банки, аудиторские фирмы. Деятельность организации направлена на продвижение интересов предприятий реального сектора экономики. </w:t>
            </w:r>
          </w:p>
          <w:p w:rsidR="00D602D4" w:rsidRDefault="00D602D4">
            <w:pPr>
              <w:spacing w:after="0" w:line="240" w:lineRule="auto"/>
              <w:ind w:left="73" w:right="-1"/>
              <w:jc w:val="both"/>
              <w:rPr>
                <w:rFonts w:ascii="Times New Roman" w:hAnsi="Times New Roman" w:cs="Times New Roman"/>
              </w:rPr>
            </w:pPr>
          </w:p>
        </w:tc>
        <w:tc>
          <w:tcPr>
            <w:tcW w:w="6095" w:type="dxa"/>
            <w:tcBorders>
              <w:top w:val="single" w:sz="4" w:space="0" w:color="000000"/>
              <w:left w:val="single" w:sz="4" w:space="0" w:color="000000"/>
              <w:bottom w:val="single" w:sz="4" w:space="0" w:color="000000"/>
              <w:right w:val="single" w:sz="4" w:space="0" w:color="000000"/>
            </w:tcBorders>
          </w:tcPr>
          <w:p w:rsidR="00D602D4" w:rsidRDefault="000B4C86">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sz w:val="20"/>
                <w:szCs w:val="20"/>
              </w:rPr>
              <w:t xml:space="preserve">- Продвижение интересов Общества во взаимоотношениях </w:t>
            </w:r>
          </w:p>
          <w:p w:rsidR="00D602D4" w:rsidRDefault="000B4C86">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sz w:val="20"/>
                <w:szCs w:val="20"/>
              </w:rPr>
              <w:t>с органами государственной власти и местного самоуправления;</w:t>
            </w:r>
          </w:p>
          <w:p w:rsidR="00D602D4" w:rsidRDefault="000B4C86">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sz w:val="20"/>
                <w:szCs w:val="20"/>
              </w:rPr>
              <w:t xml:space="preserve">- Поддержание устойчивого положительного мнения бизнес – сообщества региона о компании; </w:t>
            </w:r>
          </w:p>
          <w:p w:rsidR="00D602D4" w:rsidRDefault="000B4C86">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sz w:val="20"/>
                <w:szCs w:val="20"/>
              </w:rPr>
              <w:t>- Возможность участия в разработке стратегии по повышению инвестиционной привлекательности региона, в национальных проектах, обеспечивающих развитие электросетевого комплекса Общества;</w:t>
            </w:r>
          </w:p>
          <w:p w:rsidR="00D602D4" w:rsidRDefault="000B4C86">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sz w:val="20"/>
                <w:szCs w:val="20"/>
              </w:rPr>
              <w:t>- Расширение возможности получения дополнительной выручки компании, путем продвижения дополнительных услуг среди предприятий – членов Союза;</w:t>
            </w:r>
          </w:p>
          <w:p w:rsidR="00D602D4" w:rsidRDefault="000B4C86">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sz w:val="20"/>
                <w:szCs w:val="20"/>
              </w:rPr>
              <w:t>- Укрепление партнерских отношений, в том числе с поставщиками;</w:t>
            </w:r>
          </w:p>
          <w:p w:rsidR="00D602D4" w:rsidRDefault="000B4C86">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sz w:val="20"/>
                <w:szCs w:val="20"/>
              </w:rPr>
              <w:t>- Содействие заключению и реализации тарифных, отраслевых соглашений;</w:t>
            </w:r>
          </w:p>
          <w:p w:rsidR="00D602D4" w:rsidRDefault="000B4C86">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sz w:val="20"/>
                <w:szCs w:val="20"/>
              </w:rPr>
              <w:t>- Активная реализация проектов консолидации электросетевых активов;</w:t>
            </w:r>
          </w:p>
          <w:p w:rsidR="00D602D4" w:rsidRDefault="000B4C86">
            <w:pPr>
              <w:tabs>
                <w:tab w:val="num" w:pos="567"/>
                <w:tab w:val="left" w:pos="1134"/>
              </w:tabs>
              <w:spacing w:after="0" w:line="240" w:lineRule="auto"/>
              <w:ind w:right="-118"/>
              <w:contextualSpacing/>
              <w:rPr>
                <w:rFonts w:ascii="Times New Roman" w:hAnsi="Times New Roman" w:cs="Times New Roman"/>
              </w:rPr>
            </w:pPr>
            <w:r>
              <w:rPr>
                <w:rFonts w:ascii="Times New Roman" w:hAnsi="Times New Roman" w:cs="Times New Roman"/>
                <w:sz w:val="20"/>
                <w:szCs w:val="20"/>
              </w:rPr>
              <w:t>- расширение возможности для реализации мероприятий в области энергосбережения.</w:t>
            </w:r>
          </w:p>
        </w:tc>
        <w:tc>
          <w:tcPr>
            <w:tcW w:w="1853" w:type="dxa"/>
            <w:tcBorders>
              <w:top w:val="single" w:sz="4" w:space="0" w:color="000000"/>
              <w:left w:val="single" w:sz="4" w:space="0" w:color="000000"/>
              <w:bottom w:val="single" w:sz="4" w:space="0" w:color="000000"/>
              <w:right w:val="single" w:sz="4" w:space="0" w:color="000000"/>
            </w:tcBorders>
          </w:tcPr>
          <w:p w:rsidR="00D602D4" w:rsidRDefault="000B4C86">
            <w:pPr>
              <w:spacing w:after="0" w:line="240" w:lineRule="auto"/>
              <w:jc w:val="both"/>
              <w:rPr>
                <w:rFonts w:ascii="Times New Roman" w:hAnsi="Times New Roman" w:cs="Times New Roman"/>
              </w:rPr>
            </w:pPr>
            <w:r>
              <w:rPr>
                <w:rFonts w:ascii="Times New Roman" w:hAnsi="Times New Roman" w:cs="Times New Roman"/>
                <w:sz w:val="20"/>
                <w:szCs w:val="20"/>
              </w:rPr>
              <w:t xml:space="preserve">Вступительный членский взнос – 40,0 тыс. руб.; </w:t>
            </w:r>
          </w:p>
          <w:p w:rsidR="00D602D4" w:rsidRDefault="000B4C86">
            <w:pPr>
              <w:spacing w:after="0" w:line="240" w:lineRule="auto"/>
              <w:ind w:right="-1" w:firstLine="33"/>
              <w:jc w:val="center"/>
              <w:rPr>
                <w:rFonts w:ascii="Times New Roman" w:hAnsi="Times New Roman" w:cs="Times New Roman"/>
              </w:rPr>
            </w:pPr>
            <w:r>
              <w:rPr>
                <w:rFonts w:ascii="Times New Roman" w:hAnsi="Times New Roman" w:cs="Times New Roman"/>
                <w:sz w:val="20"/>
                <w:szCs w:val="20"/>
              </w:rPr>
              <w:t>- ежегодный членский взнос – 150,0 тыс. руб.</w:t>
            </w:r>
          </w:p>
        </w:tc>
      </w:tr>
    </w:tbl>
    <w:p w:rsidR="00D602D4" w:rsidRDefault="00D602D4">
      <w:pPr>
        <w:pStyle w:val="13"/>
        <w:spacing w:before="0" w:line="240" w:lineRule="auto"/>
        <w:rPr>
          <w:rFonts w:ascii="Times New Roman" w:hAnsi="Times New Roman" w:cs="Times New Roman"/>
          <w:b/>
          <w:bCs/>
          <w:color w:val="000000" w:themeColor="text1"/>
          <w:sz w:val="26"/>
          <w:szCs w:val="26"/>
        </w:rPr>
      </w:pPr>
    </w:p>
    <w:p w:rsidR="00D602D4" w:rsidRDefault="00D602D4">
      <w:pPr>
        <w:pStyle w:val="13"/>
        <w:spacing w:before="0" w:line="240" w:lineRule="auto"/>
        <w:rPr>
          <w:rFonts w:ascii="Times New Roman" w:hAnsi="Times New Roman" w:cs="Times New Roman"/>
          <w:b/>
          <w:bCs/>
          <w:color w:val="000000" w:themeColor="text1"/>
          <w:sz w:val="26"/>
          <w:szCs w:val="26"/>
        </w:rPr>
      </w:pPr>
    </w:p>
    <w:p w:rsidR="00D602D4" w:rsidRDefault="000B4C86">
      <w:pPr>
        <w:pStyle w:val="13"/>
        <w:spacing w:before="0" w:line="240" w:lineRule="auto"/>
        <w:rPr>
          <w:rFonts w:ascii="Times New Roman" w:hAnsi="Times New Roman" w:cs="Times New Roman"/>
          <w:b/>
          <w:bCs/>
          <w:color w:val="000000" w:themeColor="text1"/>
          <w:sz w:val="26"/>
          <w:szCs w:val="26"/>
        </w:rPr>
      </w:pPr>
      <w:bookmarkStart w:id="139" w:name="_Toc179"/>
      <w:r>
        <w:rPr>
          <w:rFonts w:ascii="Times New Roman" w:eastAsia="Times New Roman" w:hAnsi="Times New Roman" w:cs="Times New Roman"/>
          <w:b/>
          <w:bCs/>
          <w:color w:val="000000" w:themeColor="text1"/>
          <w:sz w:val="26"/>
          <w:szCs w:val="26"/>
        </w:rPr>
        <w:t>Приложение 5. Информация о реализации непрофильных активов в 2024 году</w:t>
      </w:r>
      <w:bookmarkEnd w:id="139"/>
    </w:p>
    <w:p w:rsidR="00D602D4" w:rsidRDefault="000B4C86">
      <w:pPr>
        <w:widowControl w:val="0"/>
        <w:tabs>
          <w:tab w:val="left" w:pos="9356"/>
        </w:tabs>
        <w:spacing w:after="0" w:line="240" w:lineRule="auto"/>
        <w:ind w:firstLine="709"/>
        <w:jc w:val="both"/>
        <w:outlineLvl w:val="4"/>
        <w:rPr>
          <w:rFonts w:ascii="Times New Roman" w:eastAsia="Calibri" w:hAnsi="Times New Roman" w:cs="Times New Roman"/>
          <w:sz w:val="24"/>
          <w:szCs w:val="24"/>
        </w:rPr>
      </w:pPr>
      <w:r>
        <w:rPr>
          <w:rFonts w:ascii="Times New Roman" w:eastAsia="Calibri" w:hAnsi="Times New Roman" w:cs="Times New Roman"/>
          <w:sz w:val="24"/>
          <w:szCs w:val="24"/>
        </w:rPr>
        <w:t>Во исполнение Указа Президента Российской Федерации от 07.05.2012 № 596 и распоряжения Правительства Российской Федерации от 10.05.2017 № 894</w:t>
      </w:r>
      <w:r>
        <w:rPr>
          <w:rFonts w:ascii="Times New Roman" w:eastAsia="Calibri" w:hAnsi="Times New Roman" w:cs="Times New Roman"/>
          <w:sz w:val="24"/>
          <w:szCs w:val="24"/>
        </w:rPr>
        <w:noBreakHyphen/>
        <w:t xml:space="preserve">р (в редакции распоряжения Правительства Российской Федерации от 19.04.2023 № 985-р) решением Совета директоров от 28.11.2023 (протокол от 01.12.2023 № 507/23) утверждена новая редакция Программы отчуждения непрофильных активов ПАО «Россети Сибирь» (далее - Программа). </w:t>
      </w:r>
    </w:p>
    <w:p w:rsidR="00D602D4" w:rsidRDefault="000B4C86">
      <w:pPr>
        <w:widowControl w:val="0"/>
        <w:tabs>
          <w:tab w:val="left" w:pos="9356"/>
        </w:tabs>
        <w:spacing w:after="0" w:line="240" w:lineRule="auto"/>
        <w:ind w:firstLine="709"/>
        <w:jc w:val="both"/>
        <w:outlineLvl w:val="4"/>
        <w:rPr>
          <w:rFonts w:ascii="Times New Roman" w:eastAsia="Calibri" w:hAnsi="Times New Roman" w:cs="Times New Roman"/>
          <w:sz w:val="24"/>
          <w:szCs w:val="24"/>
        </w:rPr>
      </w:pPr>
      <w:r>
        <w:rPr>
          <w:rFonts w:ascii="Times New Roman" w:eastAsia="Calibri" w:hAnsi="Times New Roman" w:cs="Times New Roman"/>
          <w:sz w:val="24"/>
          <w:szCs w:val="24"/>
        </w:rPr>
        <w:t xml:space="preserve">Программа определяет основные принципы, механизм выявления и отчуждения непрофильных активов, устанавливает критерии отнесения активов к непрофильным активам, порядок ведения реестра непрофильных активов и отчетности о ходе исполнения реестра непрофильных активов. </w:t>
      </w:r>
    </w:p>
    <w:p w:rsidR="00D602D4" w:rsidRDefault="000B4C86">
      <w:pPr>
        <w:widowControl w:val="0"/>
        <w:tabs>
          <w:tab w:val="left" w:pos="9356"/>
        </w:tabs>
        <w:spacing w:after="0" w:line="240" w:lineRule="auto"/>
        <w:ind w:firstLine="709"/>
        <w:jc w:val="both"/>
        <w:outlineLvl w:val="4"/>
        <w:rPr>
          <w:rFonts w:ascii="Times New Roman" w:eastAsia="Calibri" w:hAnsi="Times New Roman" w:cs="Times New Roman"/>
          <w:sz w:val="24"/>
          <w:szCs w:val="24"/>
        </w:rPr>
      </w:pPr>
      <w:r>
        <w:rPr>
          <w:rFonts w:ascii="Times New Roman" w:eastAsia="Calibri" w:hAnsi="Times New Roman" w:cs="Times New Roman"/>
          <w:sz w:val="24"/>
          <w:szCs w:val="24"/>
        </w:rPr>
        <w:t>Решением Совета директоров Общества от 19.02.2025 (протокол от 24.02.2025 № 545/25) утвержден Реестр непрофильных активов Общества и план мероприятий по отчуждению непрофильных активов Общества по состоянию на 31.12.2024.</w:t>
      </w:r>
    </w:p>
    <w:p w:rsidR="00D602D4" w:rsidRDefault="000B4C86">
      <w:pPr>
        <w:widowControl w:val="0"/>
        <w:tabs>
          <w:tab w:val="left" w:pos="9356"/>
        </w:tabs>
        <w:spacing w:after="0" w:line="240" w:lineRule="auto"/>
        <w:ind w:firstLine="709"/>
        <w:jc w:val="both"/>
        <w:outlineLvl w:val="4"/>
        <w:rPr>
          <w:rFonts w:ascii="Times New Roman" w:eastAsia="Calibri" w:hAnsi="Times New Roman" w:cs="Times New Roman"/>
          <w:sz w:val="24"/>
          <w:szCs w:val="24"/>
        </w:rPr>
      </w:pPr>
      <w:r>
        <w:rPr>
          <w:rFonts w:ascii="Times New Roman" w:eastAsia="Calibri" w:hAnsi="Times New Roman" w:cs="Times New Roman"/>
          <w:sz w:val="24"/>
          <w:szCs w:val="24"/>
        </w:rPr>
        <w:t xml:space="preserve">Ссылка на раскрытие информации: </w:t>
      </w:r>
      <w:hyperlink r:id="rId149" w:tooltip="https://www.rosseti-sib.ru/about/dokumenty-about/upravlenie-sobstvennostyu/" w:history="1">
        <w:r>
          <w:rPr>
            <w:rStyle w:val="ab"/>
            <w:rFonts w:ascii="Times New Roman" w:eastAsia="Calibri" w:hAnsi="Times New Roman" w:cs="Times New Roman"/>
            <w:sz w:val="24"/>
            <w:szCs w:val="24"/>
          </w:rPr>
          <w:t>https://www.rosseti-sib.ru/about/dokumenty-about/upravlenie-sobstvennostyu/</w:t>
        </w:r>
      </w:hyperlink>
      <w:r>
        <w:rPr>
          <w:rFonts w:ascii="Times New Roman" w:eastAsia="Calibri" w:hAnsi="Times New Roman" w:cs="Times New Roman"/>
          <w:sz w:val="24"/>
          <w:szCs w:val="24"/>
        </w:rPr>
        <w:t xml:space="preserve">   </w:t>
      </w:r>
    </w:p>
    <w:p w:rsidR="00D602D4" w:rsidRDefault="00D602D4">
      <w:pPr>
        <w:widowControl w:val="0"/>
        <w:tabs>
          <w:tab w:val="left" w:pos="9356"/>
        </w:tabs>
        <w:spacing w:after="0" w:line="240" w:lineRule="auto"/>
        <w:ind w:firstLine="709"/>
        <w:jc w:val="both"/>
        <w:outlineLvl w:val="4"/>
        <w:rPr>
          <w:rFonts w:ascii="Times New Roman" w:eastAsia="Calibri" w:hAnsi="Times New Roman" w:cs="Times New Roman"/>
          <w:sz w:val="24"/>
          <w:szCs w:val="24"/>
        </w:rPr>
      </w:pPr>
    </w:p>
    <w:p w:rsidR="00D602D4" w:rsidRDefault="000B4C86">
      <w:pPr>
        <w:spacing w:after="0" w:line="240" w:lineRule="auto"/>
        <w:ind w:left="426" w:right="-143" w:hanging="426"/>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4"/>
          <w:szCs w:val="24"/>
          <w:lang w:eastAsia="ru-RU"/>
        </w:rPr>
        <w:t>Информация об отчуждении непрофильных активов за 2024 го</w:t>
      </w:r>
      <w:r>
        <w:rPr>
          <w:rFonts w:ascii="Times New Roman" w:eastAsia="Times New Roman" w:hAnsi="Times New Roman" w:cs="Times New Roman"/>
          <w:b/>
          <w:sz w:val="28"/>
          <w:szCs w:val="28"/>
          <w:lang w:eastAsia="ru-RU"/>
        </w:rPr>
        <w:t xml:space="preserve">д </w:t>
      </w:r>
    </w:p>
    <w:p w:rsidR="00D602D4" w:rsidRDefault="00D602D4">
      <w:pPr>
        <w:widowControl w:val="0"/>
        <w:tabs>
          <w:tab w:val="num" w:pos="900"/>
        </w:tabs>
        <w:spacing w:after="0" w:line="240" w:lineRule="auto"/>
        <w:ind w:left="426" w:right="-143" w:hanging="426"/>
        <w:jc w:val="both"/>
        <w:rPr>
          <w:rFonts w:ascii="Times New Roman" w:eastAsia="Times New Roman" w:hAnsi="Times New Roman" w:cs="Times New Roman"/>
          <w:sz w:val="24"/>
          <w:szCs w:val="24"/>
          <w:lang w:eastAsia="ru-RU"/>
        </w:rPr>
      </w:pPr>
    </w:p>
    <w:tbl>
      <w:tblPr>
        <w:tblW w:w="15841" w:type="dxa"/>
        <w:tblInd w:w="-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000000" w:fill="auto"/>
        <w:tblLayout w:type="fixed"/>
        <w:tblLook w:val="04A0" w:firstRow="1" w:lastRow="0" w:firstColumn="1" w:lastColumn="0" w:noHBand="0" w:noVBand="1"/>
      </w:tblPr>
      <w:tblGrid>
        <w:gridCol w:w="568"/>
        <w:gridCol w:w="3548"/>
        <w:gridCol w:w="1271"/>
        <w:gridCol w:w="1276"/>
        <w:gridCol w:w="1559"/>
        <w:gridCol w:w="1280"/>
        <w:gridCol w:w="1414"/>
        <w:gridCol w:w="1275"/>
        <w:gridCol w:w="3650"/>
      </w:tblGrid>
      <w:tr w:rsidR="00D602D4">
        <w:trPr>
          <w:trHeight w:val="1008"/>
        </w:trPr>
        <w:tc>
          <w:tcPr>
            <w:tcW w:w="568" w:type="dxa"/>
            <w:vAlign w:val="center"/>
          </w:tcPr>
          <w:p w:rsidR="00D602D4" w:rsidRDefault="000B4C86">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 п/п</w:t>
            </w:r>
          </w:p>
        </w:tc>
        <w:tc>
          <w:tcPr>
            <w:tcW w:w="3548" w:type="dxa"/>
            <w:vAlign w:val="center"/>
          </w:tcPr>
          <w:p w:rsidR="00D602D4" w:rsidRDefault="00D602D4">
            <w:pPr>
              <w:tabs>
                <w:tab w:val="left" w:pos="9356"/>
              </w:tabs>
              <w:spacing w:after="0" w:line="240" w:lineRule="auto"/>
              <w:jc w:val="center"/>
              <w:rPr>
                <w:rFonts w:ascii="Times New Roman" w:eastAsia="Calibri" w:hAnsi="Times New Roman" w:cs="Times New Roman"/>
                <w:bCs/>
                <w:color w:val="000000"/>
                <w:sz w:val="18"/>
                <w:szCs w:val="18"/>
              </w:rPr>
            </w:pPr>
          </w:p>
          <w:p w:rsidR="00D602D4" w:rsidRDefault="000B4C86">
            <w:pPr>
              <w:tabs>
                <w:tab w:val="left" w:pos="9356"/>
              </w:tabs>
              <w:spacing w:after="0" w:line="240" w:lineRule="auto"/>
              <w:ind w:left="-104" w:right="-111"/>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Наименование актива</w:t>
            </w:r>
          </w:p>
        </w:tc>
        <w:tc>
          <w:tcPr>
            <w:tcW w:w="1271" w:type="dxa"/>
            <w:vAlign w:val="center"/>
          </w:tcPr>
          <w:p w:rsidR="00D602D4" w:rsidRDefault="000B4C86">
            <w:pPr>
              <w:tabs>
                <w:tab w:val="left" w:pos="9356"/>
              </w:tabs>
              <w:spacing w:after="0" w:line="240" w:lineRule="auto"/>
              <w:ind w:left="-105" w:right="-106"/>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Инвентарный номер (если применимо)</w:t>
            </w:r>
          </w:p>
        </w:tc>
        <w:tc>
          <w:tcPr>
            <w:tcW w:w="1276" w:type="dxa"/>
            <w:vAlign w:val="center"/>
          </w:tcPr>
          <w:p w:rsidR="00D602D4" w:rsidRDefault="000B4C86">
            <w:pPr>
              <w:tabs>
                <w:tab w:val="left" w:pos="9356"/>
              </w:tabs>
              <w:spacing w:after="0" w:line="240" w:lineRule="auto"/>
              <w:ind w:left="-111" w:right="-13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Строка бухгалтерского баланса, где был отражен актив на отчетную дату, предшествующую реализации актива</w:t>
            </w:r>
          </w:p>
        </w:tc>
        <w:tc>
          <w:tcPr>
            <w:tcW w:w="1559" w:type="dxa"/>
            <w:vAlign w:val="center"/>
          </w:tcPr>
          <w:p w:rsidR="00D602D4" w:rsidRDefault="000B4C86">
            <w:pPr>
              <w:tabs>
                <w:tab w:val="left" w:pos="9356"/>
              </w:tabs>
              <w:spacing w:after="0" w:line="240" w:lineRule="auto"/>
              <w:ind w:left="-101" w:right="-141"/>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Счета бухгалтерского учета (с учетом аналитики) на которых отражены доход и расход от выбытия актива (91.1. 91.2)</w:t>
            </w:r>
          </w:p>
        </w:tc>
        <w:tc>
          <w:tcPr>
            <w:tcW w:w="1280" w:type="dxa"/>
            <w:vAlign w:val="center"/>
          </w:tcPr>
          <w:p w:rsidR="00D602D4" w:rsidRDefault="000B4C86">
            <w:pPr>
              <w:tabs>
                <w:tab w:val="left" w:pos="9356"/>
              </w:tabs>
              <w:spacing w:after="0" w:line="240" w:lineRule="auto"/>
              <w:ind w:left="-112" w:right="-135"/>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Балансовая стоимость актива, тыс. руб.</w:t>
            </w:r>
          </w:p>
        </w:tc>
        <w:tc>
          <w:tcPr>
            <w:tcW w:w="1414" w:type="dxa"/>
            <w:vAlign w:val="center"/>
          </w:tcPr>
          <w:p w:rsidR="00D602D4" w:rsidRDefault="000B4C86">
            <w:pPr>
              <w:tabs>
                <w:tab w:val="left" w:pos="9356"/>
              </w:tabs>
              <w:spacing w:after="0" w:line="240" w:lineRule="auto"/>
              <w:ind w:left="-103" w:right="-104"/>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Фактическая стоимость реализации, тыс. руб.</w:t>
            </w:r>
          </w:p>
        </w:tc>
        <w:tc>
          <w:tcPr>
            <w:tcW w:w="1275" w:type="dxa"/>
            <w:vAlign w:val="center"/>
          </w:tcPr>
          <w:p w:rsidR="00D602D4" w:rsidRDefault="000B4C86">
            <w:pPr>
              <w:tabs>
                <w:tab w:val="left" w:pos="9356"/>
              </w:tabs>
              <w:spacing w:after="0" w:line="240" w:lineRule="auto"/>
              <w:ind w:left="-109" w:right="-114"/>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Отклонение фактической стоимости реализации от балансовой стоимости актива, тыс. руб.</w:t>
            </w:r>
          </w:p>
        </w:tc>
        <w:tc>
          <w:tcPr>
            <w:tcW w:w="3650" w:type="dxa"/>
            <w:vAlign w:val="center"/>
          </w:tcPr>
          <w:p w:rsidR="00D602D4" w:rsidRDefault="000B4C86">
            <w:pPr>
              <w:tabs>
                <w:tab w:val="left" w:pos="9356"/>
              </w:tabs>
              <w:spacing w:after="0" w:line="240" w:lineRule="auto"/>
              <w:ind w:left="-110" w:right="-113"/>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Причины отклонения фактической стоимости реализации от балансовой стоимости актива</w:t>
            </w:r>
          </w:p>
        </w:tc>
      </w:tr>
      <w:tr w:rsidR="00D602D4">
        <w:trPr>
          <w:trHeight w:val="1704"/>
        </w:trPr>
        <w:tc>
          <w:tcPr>
            <w:tcW w:w="568" w:type="dxa"/>
            <w:vMerge w:val="restart"/>
            <w:shd w:val="clear" w:color="FFFFFF" w:fill="FFFFFF"/>
            <w:vAlign w:val="center"/>
          </w:tcPr>
          <w:p w:rsidR="00D602D4" w:rsidRDefault="000B4C86">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w:t>
            </w:r>
          </w:p>
        </w:tc>
        <w:tc>
          <w:tcPr>
            <w:tcW w:w="3548"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Производственное здание</w:t>
            </w:r>
          </w:p>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 xml:space="preserve">адрес: Республика Бурятия, Тункинский р-н, п.Аршан, ул.Трактовая, д.102. </w:t>
            </w:r>
          </w:p>
        </w:tc>
        <w:tc>
          <w:tcPr>
            <w:tcW w:w="1271"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В50004249</w:t>
            </w:r>
          </w:p>
        </w:tc>
        <w:tc>
          <w:tcPr>
            <w:tcW w:w="1276"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Times New Roman" w:hAnsi="Times New Roman" w:cs="Times New Roman"/>
                <w:bCs/>
                <w:sz w:val="18"/>
                <w:szCs w:val="18"/>
                <w:lang w:eastAsia="ru-RU"/>
              </w:rPr>
              <w:t>1152</w:t>
            </w:r>
          </w:p>
        </w:tc>
        <w:tc>
          <w:tcPr>
            <w:tcW w:w="1559"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Times New Roman" w:hAnsi="Times New Roman" w:cs="Times New Roman"/>
                <w:bCs/>
                <w:sz w:val="18"/>
                <w:szCs w:val="18"/>
                <w:lang w:eastAsia="ru-RU"/>
              </w:rPr>
              <w:t>91.1, 91.2.</w:t>
            </w:r>
          </w:p>
        </w:tc>
        <w:tc>
          <w:tcPr>
            <w:tcW w:w="1280"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0,01</w:t>
            </w:r>
          </w:p>
        </w:tc>
        <w:tc>
          <w:tcPr>
            <w:tcW w:w="1414"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71,67</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71,66</w:t>
            </w:r>
          </w:p>
        </w:tc>
        <w:tc>
          <w:tcPr>
            <w:tcW w:w="3650" w:type="dxa"/>
            <w:vMerge w:val="restart"/>
            <w:shd w:val="clear" w:color="FFFFFF" w:themeColor="background1" w:fill="FFFFFF" w:themeFill="background1"/>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Имущество реализовано по цене выше балансовой стоимости актива. Отклонения возникли в связи с заключением договора купли-продажи на аукционе по начальной цене, равной рыночной стоимости имущества,</w:t>
            </w:r>
            <w:r>
              <w:rPr>
                <w:rFonts w:ascii="Times New Roman" w:hAnsi="Times New Roman" w:cs="Times New Roman"/>
                <w:bCs/>
                <w:sz w:val="18"/>
                <w:szCs w:val="18"/>
              </w:rPr>
              <w:t xml:space="preserve"> по результатам переговоров с единственным участником.</w:t>
            </w:r>
          </w:p>
        </w:tc>
      </w:tr>
      <w:tr w:rsidR="00D602D4">
        <w:trPr>
          <w:trHeight w:val="457"/>
        </w:trPr>
        <w:tc>
          <w:tcPr>
            <w:tcW w:w="568" w:type="dxa"/>
            <w:vMerge w:val="restart"/>
            <w:shd w:val="clear" w:color="FFFFFF" w:fill="FFFFFF"/>
            <w:vAlign w:val="center"/>
          </w:tcPr>
          <w:p w:rsidR="00D602D4" w:rsidRDefault="000B4C86">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w:t>
            </w:r>
          </w:p>
        </w:tc>
        <w:tc>
          <w:tcPr>
            <w:tcW w:w="3548"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Здание гаражного бокса,</w:t>
            </w:r>
          </w:p>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адрес: Республика Бурятия, муниципальный район Баргузинский, городское поселение поселок Усть-Баргузин, пгт Усть-Баргузин, ул. Баргузинская, зд.1А.</w:t>
            </w:r>
          </w:p>
        </w:tc>
        <w:tc>
          <w:tcPr>
            <w:tcW w:w="1271"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В51060001</w:t>
            </w:r>
          </w:p>
        </w:tc>
        <w:tc>
          <w:tcPr>
            <w:tcW w:w="1276"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Times New Roman" w:hAnsi="Times New Roman" w:cs="Times New Roman"/>
                <w:bCs/>
                <w:sz w:val="18"/>
                <w:szCs w:val="18"/>
                <w:lang w:eastAsia="ru-RU"/>
              </w:rPr>
              <w:t>1152</w:t>
            </w:r>
          </w:p>
        </w:tc>
        <w:tc>
          <w:tcPr>
            <w:tcW w:w="1559" w:type="dxa"/>
            <w:vMerge w:val="restart"/>
            <w:shd w:val="clear" w:color="FFFFFF" w:fill="FFFFFF"/>
            <w:vAlign w:val="center"/>
          </w:tcPr>
          <w:p w:rsidR="00D602D4" w:rsidRDefault="000B4C86">
            <w:pPr>
              <w:tabs>
                <w:tab w:val="left" w:pos="9356"/>
              </w:tabs>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91.1, 91.2.</w:t>
            </w:r>
          </w:p>
        </w:tc>
        <w:tc>
          <w:tcPr>
            <w:tcW w:w="1280"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0,00</w:t>
            </w:r>
          </w:p>
        </w:tc>
        <w:tc>
          <w:tcPr>
            <w:tcW w:w="1414"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170,02</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170,02</w:t>
            </w:r>
          </w:p>
        </w:tc>
        <w:tc>
          <w:tcPr>
            <w:tcW w:w="3650" w:type="dxa"/>
            <w:vMerge w:val="restart"/>
            <w:shd w:val="clear" w:color="FFFFFF" w:themeColor="background1" w:fill="FFFFFF" w:themeFill="background1"/>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color w:val="000000"/>
                <w:sz w:val="18"/>
                <w:szCs w:val="18"/>
              </w:rPr>
              <w:t>Имущество реализовано по цене выше балансовой стоимости актива. Отклонения возникли в связи с заключением договора купли-продажи по наибольшей цене, сформировавшейся по результатам проведения аукциона.</w:t>
            </w:r>
          </w:p>
        </w:tc>
      </w:tr>
      <w:tr w:rsidR="00D602D4">
        <w:trPr>
          <w:trHeight w:val="457"/>
        </w:trPr>
        <w:tc>
          <w:tcPr>
            <w:tcW w:w="568" w:type="dxa"/>
            <w:vMerge w:val="restart"/>
            <w:vAlign w:val="center"/>
          </w:tcPr>
          <w:p w:rsidR="00D602D4" w:rsidRDefault="000B4C86">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w:t>
            </w:r>
          </w:p>
        </w:tc>
        <w:tc>
          <w:tcPr>
            <w:tcW w:w="3548"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Имущественный комплекс</w:t>
            </w:r>
          </w:p>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«Тальский участок»</w:t>
            </w:r>
          </w:p>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 xml:space="preserve">адрес: Красноярский край, р-н Ирбейский , </w:t>
            </w:r>
            <w:r>
              <w:rPr>
                <w:rFonts w:ascii="Times New Roman" w:eastAsia="Calibri" w:hAnsi="Times New Roman" w:cs="Times New Roman"/>
                <w:bCs/>
                <w:color w:val="000000"/>
                <w:sz w:val="18"/>
                <w:szCs w:val="18"/>
              </w:rPr>
              <w:lastRenderedPageBreak/>
              <w:t>с. Талое, ул. Трактовая, д.2.</w:t>
            </w:r>
          </w:p>
        </w:tc>
        <w:tc>
          <w:tcPr>
            <w:tcW w:w="1271"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lastRenderedPageBreak/>
              <w:t>Г000059894,</w:t>
            </w:r>
          </w:p>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Г000059804,</w:t>
            </w:r>
          </w:p>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Г000060780</w:t>
            </w:r>
          </w:p>
        </w:tc>
        <w:tc>
          <w:tcPr>
            <w:tcW w:w="1276"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Times New Roman" w:hAnsi="Times New Roman" w:cs="Times New Roman"/>
                <w:bCs/>
                <w:sz w:val="18"/>
                <w:szCs w:val="18"/>
                <w:lang w:eastAsia="ru-RU"/>
              </w:rPr>
              <w:t>1152</w:t>
            </w:r>
          </w:p>
        </w:tc>
        <w:tc>
          <w:tcPr>
            <w:tcW w:w="1559" w:type="dxa"/>
            <w:vMerge w:val="restart"/>
            <w:shd w:val="clear" w:color="FFFFFF" w:fill="FFFFFF"/>
            <w:vAlign w:val="center"/>
          </w:tcPr>
          <w:p w:rsidR="00D602D4" w:rsidRDefault="000B4C86">
            <w:pPr>
              <w:tabs>
                <w:tab w:val="left" w:pos="9356"/>
              </w:tabs>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91.1, 91.2.</w:t>
            </w:r>
          </w:p>
        </w:tc>
        <w:tc>
          <w:tcPr>
            <w:tcW w:w="1280"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318,92</w:t>
            </w:r>
          </w:p>
        </w:tc>
        <w:tc>
          <w:tcPr>
            <w:tcW w:w="1414"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546,67</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227,75</w:t>
            </w:r>
          </w:p>
        </w:tc>
        <w:tc>
          <w:tcPr>
            <w:tcW w:w="3650" w:type="dxa"/>
            <w:vMerge w:val="restart"/>
            <w:shd w:val="clear" w:color="FFFFFF" w:themeColor="background1" w:fill="FFFFFF" w:themeFill="background1"/>
            <w:vAlign w:val="center"/>
          </w:tcPr>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color w:val="000000"/>
                <w:sz w:val="18"/>
                <w:szCs w:val="18"/>
              </w:rPr>
              <w:t xml:space="preserve">Имущество реализовано по цене выше балансовой стоимости актива. Отклонения возникли в связи с заключением договора </w:t>
            </w:r>
            <w:r>
              <w:rPr>
                <w:rFonts w:ascii="Times New Roman" w:eastAsia="Calibri" w:hAnsi="Times New Roman" w:cs="Times New Roman"/>
                <w:color w:val="000000"/>
                <w:sz w:val="18"/>
                <w:szCs w:val="18"/>
              </w:rPr>
              <w:lastRenderedPageBreak/>
              <w:t>купли-продажи по наибольшей цене, сформировавшейся по результатам проведения аукциона.</w:t>
            </w:r>
          </w:p>
        </w:tc>
      </w:tr>
      <w:tr w:rsidR="00D602D4">
        <w:trPr>
          <w:trHeight w:val="448"/>
        </w:trPr>
        <w:tc>
          <w:tcPr>
            <w:tcW w:w="568" w:type="dxa"/>
            <w:vMerge w:val="restart"/>
            <w:vAlign w:val="center"/>
          </w:tcPr>
          <w:p w:rsidR="00D602D4" w:rsidRDefault="000B4C86">
            <w:pPr>
              <w:tabs>
                <w:tab w:val="left" w:pos="9356"/>
              </w:tabs>
              <w:spacing w:after="0" w:line="240" w:lineRule="auto"/>
              <w:ind w:left="-84" w:right="-112"/>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lastRenderedPageBreak/>
              <w:t>4</w:t>
            </w:r>
          </w:p>
        </w:tc>
        <w:tc>
          <w:tcPr>
            <w:tcW w:w="3548"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 xml:space="preserve">Земельный участок, </w:t>
            </w:r>
          </w:p>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Кадастровый номер 80:03:010129:104.</w:t>
            </w:r>
          </w:p>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 xml:space="preserve">Местоположение установлено относительно ориентира, расположенного в границах участка. Почтовый адрес ориентира: Забайкальский край, р-н Дульдургинский, с.Дульдурга, </w:t>
            </w:r>
          </w:p>
          <w:p w:rsidR="00D602D4" w:rsidRDefault="000B4C86">
            <w:pPr>
              <w:tabs>
                <w:tab w:val="left" w:pos="9356"/>
              </w:tabs>
              <w:spacing w:after="0" w:line="240" w:lineRule="auto"/>
              <w:jc w:val="center"/>
              <w:rPr>
                <w:rFonts w:ascii="Times New Roman" w:eastAsia="Calibri" w:hAnsi="Times New Roman" w:cs="Times New Roman"/>
                <w:color w:val="000000"/>
                <w:sz w:val="18"/>
                <w:szCs w:val="18"/>
              </w:rPr>
            </w:pPr>
            <w:r>
              <w:rPr>
                <w:rFonts w:ascii="Times New Roman" w:eastAsia="Calibri" w:hAnsi="Times New Roman" w:cs="Times New Roman"/>
                <w:bCs/>
                <w:color w:val="000000"/>
                <w:sz w:val="18"/>
                <w:szCs w:val="18"/>
              </w:rPr>
              <w:t>ул. 50 лет Октября, 24.</w:t>
            </w:r>
          </w:p>
        </w:tc>
        <w:tc>
          <w:tcPr>
            <w:tcW w:w="1271"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И101000242-00</w:t>
            </w:r>
          </w:p>
        </w:tc>
        <w:tc>
          <w:tcPr>
            <w:tcW w:w="1276"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Times New Roman" w:hAnsi="Times New Roman" w:cs="Times New Roman"/>
                <w:bCs/>
                <w:sz w:val="18"/>
                <w:szCs w:val="18"/>
                <w:lang w:eastAsia="ru-RU"/>
              </w:rPr>
              <w:t>1152</w:t>
            </w:r>
          </w:p>
        </w:tc>
        <w:tc>
          <w:tcPr>
            <w:tcW w:w="1559" w:type="dxa"/>
            <w:vMerge w:val="restart"/>
            <w:shd w:val="clear" w:color="FFFFFF" w:fill="FFFFFF"/>
            <w:vAlign w:val="center"/>
          </w:tcPr>
          <w:p w:rsidR="00D602D4" w:rsidRDefault="000B4C86">
            <w:pPr>
              <w:tabs>
                <w:tab w:val="left" w:pos="9356"/>
              </w:tabs>
              <w:spacing w:after="0" w:line="240" w:lineRule="auto"/>
              <w:jc w:val="center"/>
              <w:rPr>
                <w:rFonts w:ascii="Times New Roman" w:eastAsia="Times New Roman" w:hAnsi="Times New Roman" w:cs="Times New Roman"/>
                <w:bCs/>
                <w:sz w:val="18"/>
                <w:szCs w:val="18"/>
                <w:lang w:eastAsia="ru-RU"/>
              </w:rPr>
            </w:pPr>
            <w:r>
              <w:rPr>
                <w:rFonts w:ascii="Times New Roman" w:eastAsia="Times New Roman" w:hAnsi="Times New Roman" w:cs="Times New Roman"/>
                <w:bCs/>
                <w:sz w:val="18"/>
                <w:szCs w:val="18"/>
                <w:lang w:eastAsia="ru-RU"/>
              </w:rPr>
              <w:t>91.1, 91.2.</w:t>
            </w:r>
          </w:p>
        </w:tc>
        <w:tc>
          <w:tcPr>
            <w:tcW w:w="1280"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81,11</w:t>
            </w:r>
          </w:p>
        </w:tc>
        <w:tc>
          <w:tcPr>
            <w:tcW w:w="1414" w:type="dxa"/>
            <w:vMerge w:val="restart"/>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121,00</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39,89</w:t>
            </w:r>
          </w:p>
        </w:tc>
        <w:tc>
          <w:tcPr>
            <w:tcW w:w="3650" w:type="dxa"/>
            <w:vMerge w:val="restart"/>
            <w:shd w:val="clear" w:color="FFFFFF" w:themeColor="background1" w:fill="FFFFFF" w:themeFill="background1"/>
            <w:vAlign w:val="center"/>
          </w:tcPr>
          <w:p w:rsidR="00D602D4" w:rsidRDefault="000B4C86">
            <w:pPr>
              <w:tabs>
                <w:tab w:val="left" w:pos="9356"/>
              </w:tabs>
              <w:spacing w:after="0" w:line="240" w:lineRule="auto"/>
              <w:jc w:val="center"/>
              <w:rPr>
                <w:rFonts w:ascii="Times New Roman" w:eastAsia="Calibri" w:hAnsi="Times New Roman" w:cs="Times New Roman"/>
                <w:bCs/>
                <w:color w:val="000000"/>
                <w:sz w:val="18"/>
                <w:szCs w:val="18"/>
              </w:rPr>
            </w:pPr>
            <w:r>
              <w:rPr>
                <w:rFonts w:ascii="Times New Roman" w:eastAsia="Calibri" w:hAnsi="Times New Roman" w:cs="Times New Roman"/>
                <w:bCs/>
                <w:color w:val="000000"/>
                <w:sz w:val="18"/>
                <w:szCs w:val="18"/>
              </w:rPr>
              <w:t>Имущество реализовано по цене выше балансовой стоимости актива. Отклонения возникли в связи с заключением договора купли-продажи на аукционе по начальной цене, равной рыночной стоимости имущества,</w:t>
            </w:r>
            <w:r>
              <w:rPr>
                <w:rFonts w:ascii="Times New Roman" w:hAnsi="Times New Roman" w:cs="Times New Roman"/>
                <w:bCs/>
                <w:sz w:val="18"/>
                <w:szCs w:val="18"/>
              </w:rPr>
              <w:t xml:space="preserve"> по результатам переговоров с единственным участником.</w:t>
            </w:r>
          </w:p>
        </w:tc>
      </w:tr>
      <w:tr w:rsidR="00D602D4">
        <w:trPr>
          <w:trHeight w:val="451"/>
        </w:trPr>
        <w:tc>
          <w:tcPr>
            <w:tcW w:w="568" w:type="dxa"/>
            <w:shd w:val="clear" w:color="000000" w:fill="FFFFFF"/>
            <w:vAlign w:val="center"/>
          </w:tcPr>
          <w:p w:rsidR="00D602D4" w:rsidRDefault="000B4C86">
            <w:pPr>
              <w:tabs>
                <w:tab w:val="left" w:pos="9356"/>
              </w:tabs>
              <w:spacing w:after="0" w:line="240" w:lineRule="auto"/>
              <w:ind w:left="-84" w:right="-112"/>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всего</w:t>
            </w:r>
          </w:p>
        </w:tc>
        <w:tc>
          <w:tcPr>
            <w:tcW w:w="3548" w:type="dxa"/>
            <w:shd w:val="clear" w:color="000000" w:fill="FFFFFF"/>
            <w:vAlign w:val="center"/>
          </w:tcPr>
          <w:p w:rsidR="00D602D4" w:rsidRDefault="00D602D4">
            <w:pPr>
              <w:tabs>
                <w:tab w:val="left" w:pos="9356"/>
              </w:tabs>
              <w:spacing w:after="0" w:line="240" w:lineRule="auto"/>
              <w:jc w:val="center"/>
              <w:rPr>
                <w:rFonts w:ascii="Times New Roman" w:eastAsia="Calibri" w:hAnsi="Times New Roman" w:cs="Times New Roman"/>
                <w:bCs/>
                <w:color w:val="000000"/>
                <w:sz w:val="18"/>
                <w:szCs w:val="18"/>
              </w:rPr>
            </w:pPr>
          </w:p>
        </w:tc>
        <w:tc>
          <w:tcPr>
            <w:tcW w:w="1271" w:type="dxa"/>
            <w:shd w:val="clear" w:color="000000" w:fill="FFFFFF"/>
            <w:vAlign w:val="center"/>
          </w:tcPr>
          <w:p w:rsidR="00D602D4" w:rsidRDefault="00D602D4">
            <w:pPr>
              <w:tabs>
                <w:tab w:val="left" w:pos="9356"/>
              </w:tabs>
              <w:spacing w:after="0" w:line="240" w:lineRule="auto"/>
              <w:jc w:val="center"/>
              <w:rPr>
                <w:rFonts w:ascii="Times New Roman" w:eastAsia="Calibri" w:hAnsi="Times New Roman" w:cs="Times New Roman"/>
                <w:b/>
                <w:bCs/>
                <w:color w:val="000000"/>
                <w:sz w:val="18"/>
                <w:szCs w:val="18"/>
              </w:rPr>
            </w:pPr>
          </w:p>
        </w:tc>
        <w:tc>
          <w:tcPr>
            <w:tcW w:w="1276" w:type="dxa"/>
            <w:shd w:val="clear" w:color="000000" w:fill="FFFFFF"/>
            <w:vAlign w:val="center"/>
          </w:tcPr>
          <w:p w:rsidR="00D602D4" w:rsidRDefault="00D602D4">
            <w:pPr>
              <w:tabs>
                <w:tab w:val="left" w:pos="9356"/>
              </w:tabs>
              <w:spacing w:after="0" w:line="240" w:lineRule="auto"/>
              <w:jc w:val="center"/>
              <w:rPr>
                <w:rFonts w:ascii="Times New Roman" w:eastAsia="Calibri" w:hAnsi="Times New Roman" w:cs="Times New Roman"/>
                <w:b/>
                <w:bCs/>
                <w:color w:val="000000"/>
                <w:sz w:val="18"/>
                <w:szCs w:val="18"/>
              </w:rPr>
            </w:pPr>
          </w:p>
        </w:tc>
        <w:tc>
          <w:tcPr>
            <w:tcW w:w="1559" w:type="dxa"/>
            <w:shd w:val="clear" w:color="000000" w:fill="FFFFFF"/>
            <w:vAlign w:val="center"/>
          </w:tcPr>
          <w:p w:rsidR="00D602D4" w:rsidRDefault="00D602D4">
            <w:pPr>
              <w:tabs>
                <w:tab w:val="left" w:pos="9356"/>
              </w:tabs>
              <w:spacing w:after="0" w:line="240" w:lineRule="auto"/>
              <w:jc w:val="center"/>
              <w:rPr>
                <w:rFonts w:ascii="Times New Roman" w:eastAsia="Calibri" w:hAnsi="Times New Roman" w:cs="Times New Roman"/>
                <w:b/>
                <w:bCs/>
                <w:color w:val="000000"/>
                <w:sz w:val="18"/>
                <w:szCs w:val="18"/>
              </w:rPr>
            </w:pPr>
          </w:p>
        </w:tc>
        <w:tc>
          <w:tcPr>
            <w:tcW w:w="1280" w:type="dxa"/>
            <w:vAlign w:val="center"/>
          </w:tcPr>
          <w:p w:rsidR="00D602D4" w:rsidRDefault="000B4C86">
            <w:pPr>
              <w:tabs>
                <w:tab w:val="left" w:pos="9356"/>
              </w:tabs>
              <w:spacing w:after="0" w:line="240" w:lineRule="auto"/>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400,04</w:t>
            </w:r>
          </w:p>
        </w:tc>
        <w:tc>
          <w:tcPr>
            <w:tcW w:w="1414" w:type="dxa"/>
            <w:vAlign w:val="center"/>
          </w:tcPr>
          <w:p w:rsidR="00D602D4" w:rsidRDefault="000B4C86">
            <w:pPr>
              <w:tabs>
                <w:tab w:val="left" w:pos="9356"/>
              </w:tabs>
              <w:spacing w:after="0" w:line="240" w:lineRule="auto"/>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909,36</w:t>
            </w:r>
          </w:p>
        </w:tc>
        <w:tc>
          <w:tcPr>
            <w:tcW w:w="1275" w:type="dxa"/>
            <w:vAlign w:val="center"/>
          </w:tcPr>
          <w:p w:rsidR="00D602D4" w:rsidRDefault="000B4C86">
            <w:pPr>
              <w:tabs>
                <w:tab w:val="left" w:pos="9356"/>
              </w:tabs>
              <w:spacing w:after="0" w:line="240" w:lineRule="auto"/>
              <w:jc w:val="center"/>
              <w:rPr>
                <w:rFonts w:ascii="Times New Roman" w:eastAsia="Calibri" w:hAnsi="Times New Roman" w:cs="Times New Roman"/>
                <w:b/>
                <w:bCs/>
                <w:color w:val="000000"/>
                <w:sz w:val="18"/>
                <w:szCs w:val="18"/>
              </w:rPr>
            </w:pPr>
            <w:r>
              <w:rPr>
                <w:rFonts w:ascii="Times New Roman" w:eastAsia="Calibri" w:hAnsi="Times New Roman" w:cs="Times New Roman"/>
                <w:b/>
                <w:bCs/>
                <w:color w:val="000000"/>
                <w:sz w:val="18"/>
                <w:szCs w:val="18"/>
              </w:rPr>
              <w:t>509,32</w:t>
            </w:r>
          </w:p>
        </w:tc>
        <w:tc>
          <w:tcPr>
            <w:tcW w:w="3650" w:type="dxa"/>
            <w:shd w:val="clear" w:color="FFFFFF" w:fill="FFFFFF"/>
            <w:vAlign w:val="center"/>
          </w:tcPr>
          <w:p w:rsidR="00D602D4" w:rsidRDefault="00D602D4">
            <w:pPr>
              <w:tabs>
                <w:tab w:val="left" w:pos="9356"/>
              </w:tabs>
              <w:spacing w:after="0" w:line="240" w:lineRule="auto"/>
              <w:jc w:val="center"/>
              <w:rPr>
                <w:rFonts w:ascii="Times New Roman" w:eastAsia="Calibri" w:hAnsi="Times New Roman" w:cs="Times New Roman"/>
                <w:b/>
                <w:bCs/>
                <w:color w:val="000000"/>
                <w:sz w:val="18"/>
                <w:szCs w:val="18"/>
              </w:rPr>
            </w:pPr>
          </w:p>
        </w:tc>
      </w:tr>
    </w:tbl>
    <w:p w:rsidR="00D602D4" w:rsidRDefault="00D602D4">
      <w:pPr>
        <w:widowControl w:val="0"/>
        <w:tabs>
          <w:tab w:val="left" w:pos="9356"/>
        </w:tabs>
        <w:spacing w:after="0" w:line="240" w:lineRule="auto"/>
        <w:ind w:firstLine="709"/>
        <w:jc w:val="both"/>
        <w:outlineLvl w:val="4"/>
        <w:rPr>
          <w:rFonts w:ascii="Times New Roman" w:eastAsia="Calibri" w:hAnsi="Times New Roman" w:cs="Times New Roman"/>
          <w:sz w:val="28"/>
          <w:szCs w:val="28"/>
        </w:rPr>
      </w:pPr>
    </w:p>
    <w:p w:rsidR="00D602D4" w:rsidRDefault="00D602D4">
      <w:pPr>
        <w:rPr>
          <w:rFonts w:ascii="Times New Roman" w:hAnsi="Times New Roman" w:cs="Times New Roman"/>
        </w:rPr>
        <w:sectPr w:rsidR="00D602D4">
          <w:pgSz w:w="16838" w:h="11906" w:orient="landscape"/>
          <w:pgMar w:top="993" w:right="567" w:bottom="851" w:left="425" w:header="709" w:footer="709" w:gutter="0"/>
          <w:cols w:space="708"/>
          <w:docGrid w:linePitch="360"/>
        </w:sectPr>
      </w:pPr>
    </w:p>
    <w:p w:rsidR="00D602D4" w:rsidRDefault="000B4C86">
      <w:pPr>
        <w:pStyle w:val="13"/>
        <w:spacing w:before="0" w:line="240" w:lineRule="auto"/>
        <w:jc w:val="both"/>
        <w:rPr>
          <w:rFonts w:ascii="Times New Roman" w:hAnsi="Times New Roman" w:cs="Times New Roman"/>
          <w:b/>
          <w:color w:val="auto"/>
          <w:sz w:val="26"/>
          <w:szCs w:val="26"/>
        </w:rPr>
      </w:pPr>
      <w:bookmarkStart w:id="140" w:name="_Toc180"/>
      <w:r>
        <w:rPr>
          <w:rFonts w:ascii="Times New Roman" w:eastAsia="Times New Roman" w:hAnsi="Times New Roman" w:cs="Times New Roman"/>
          <w:b/>
          <w:color w:val="auto"/>
          <w:sz w:val="26"/>
          <w:szCs w:val="26"/>
        </w:rPr>
        <w:lastRenderedPageBreak/>
        <w:t>Приложение 6. Информация об объеме энергетических ресурсов, использованных Обществом на хозяйственные нужды в 2024 году</w:t>
      </w:r>
      <w:bookmarkEnd w:id="140"/>
    </w:p>
    <w:tbl>
      <w:tblPr>
        <w:tblStyle w:val="83"/>
        <w:tblW w:w="0" w:type="auto"/>
        <w:tblInd w:w="5" w:type="dxa"/>
        <w:tblLayout w:type="fixed"/>
        <w:tblLook w:val="04A0" w:firstRow="1" w:lastRow="0" w:firstColumn="1" w:lastColumn="0" w:noHBand="0" w:noVBand="1"/>
      </w:tblPr>
      <w:tblGrid>
        <w:gridCol w:w="493"/>
        <w:gridCol w:w="1847"/>
        <w:gridCol w:w="1020"/>
        <w:gridCol w:w="1276"/>
        <w:gridCol w:w="1276"/>
        <w:gridCol w:w="1250"/>
        <w:gridCol w:w="2577"/>
      </w:tblGrid>
      <w:tr w:rsidR="00D602D4">
        <w:tc>
          <w:tcPr>
            <w:tcW w:w="493"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ind w:right="-143" w:hanging="113"/>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p>
          <w:p w:rsidR="00D602D4" w:rsidRDefault="000B4C86">
            <w:pPr>
              <w:keepNext/>
              <w:widowControl w:val="0"/>
              <w:ind w:right="-143" w:hanging="113"/>
              <w:jc w:val="center"/>
              <w:rPr>
                <w:rFonts w:ascii="Times New Roman" w:eastAsia="Calibri" w:hAnsi="Times New Roman" w:cs="Times New Roman"/>
                <w:sz w:val="20"/>
                <w:szCs w:val="20"/>
              </w:rPr>
            </w:pPr>
            <w:r>
              <w:rPr>
                <w:rFonts w:ascii="Times New Roman" w:eastAsia="Calibri" w:hAnsi="Times New Roman" w:cs="Times New Roman"/>
                <w:sz w:val="20"/>
                <w:szCs w:val="20"/>
              </w:rPr>
              <w:t>п/п</w:t>
            </w:r>
          </w:p>
        </w:tc>
        <w:tc>
          <w:tcPr>
            <w:tcW w:w="1847"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Виды ресурсов*</w:t>
            </w: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Ед. изм.</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План 2024</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Факт 2024</w:t>
            </w:r>
          </w:p>
        </w:tc>
        <w:tc>
          <w:tcPr>
            <w:tcW w:w="1250"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ind w:left="426" w:right="-143" w:hanging="510"/>
              <w:jc w:val="center"/>
              <w:rPr>
                <w:rFonts w:ascii="Times New Roman" w:eastAsia="Calibri" w:hAnsi="Times New Roman" w:cs="Times New Roman"/>
                <w:sz w:val="20"/>
                <w:szCs w:val="20"/>
              </w:rPr>
            </w:pPr>
            <w:r>
              <w:rPr>
                <w:rFonts w:ascii="Times New Roman" w:eastAsia="Calibri" w:hAnsi="Times New Roman" w:cs="Times New Roman"/>
                <w:sz w:val="20"/>
                <w:szCs w:val="20"/>
              </w:rPr>
              <w:t xml:space="preserve">Отклонение </w:t>
            </w:r>
          </w:p>
          <w:p w:rsidR="00D602D4" w:rsidRDefault="000B4C86">
            <w:pPr>
              <w:keepNext/>
              <w:widowControl w:val="0"/>
              <w:ind w:left="426" w:right="-143" w:hanging="510"/>
              <w:jc w:val="center"/>
              <w:rPr>
                <w:rFonts w:ascii="Times New Roman" w:eastAsia="Calibri" w:hAnsi="Times New Roman" w:cs="Times New Roman"/>
                <w:sz w:val="20"/>
                <w:szCs w:val="20"/>
              </w:rPr>
            </w:pPr>
            <w:r>
              <w:rPr>
                <w:rFonts w:ascii="Times New Roman" w:eastAsia="Calibri" w:hAnsi="Times New Roman" w:cs="Times New Roman"/>
                <w:sz w:val="20"/>
                <w:szCs w:val="20"/>
              </w:rPr>
              <w:t>в %</w:t>
            </w:r>
          </w:p>
        </w:tc>
        <w:tc>
          <w:tcPr>
            <w:tcW w:w="2577" w:type="dxa"/>
            <w:tcBorders>
              <w:top w:val="single" w:sz="4" w:space="0" w:color="000000"/>
              <w:left w:val="single" w:sz="4" w:space="0" w:color="000000"/>
              <w:bottom w:val="single" w:sz="4" w:space="0" w:color="000000"/>
              <w:right w:val="single" w:sz="4" w:space="0" w:color="000000"/>
            </w:tcBorders>
          </w:tcPr>
          <w:p w:rsidR="00D602D4" w:rsidRDefault="000B4C86">
            <w:pPr>
              <w:keepNext/>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Примечание**</w:t>
            </w: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1.</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ind w:right="-143"/>
              <w:jc w:val="both"/>
              <w:rPr>
                <w:rFonts w:ascii="Times New Roman" w:eastAsia="Calibri" w:hAnsi="Times New Roman" w:cs="Times New Roman"/>
                <w:sz w:val="20"/>
                <w:szCs w:val="20"/>
                <w:lang w:val="en-US"/>
              </w:rPr>
            </w:pPr>
            <w:r>
              <w:rPr>
                <w:rFonts w:ascii="Times New Roman" w:eastAsia="Calibri" w:hAnsi="Times New Roman" w:cs="Times New Roman"/>
                <w:sz w:val="20"/>
                <w:szCs w:val="20"/>
              </w:rPr>
              <w:t>атомная энергия</w:t>
            </w: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rPr>
            </w:pPr>
          </w:p>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left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left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rPr>
            </w:pP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2.</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ind w:right="-143"/>
              <w:jc w:val="both"/>
              <w:rPr>
                <w:rFonts w:ascii="Times New Roman" w:eastAsia="Calibri" w:hAnsi="Times New Roman" w:cs="Times New Roman"/>
                <w:sz w:val="20"/>
                <w:szCs w:val="20"/>
              </w:rPr>
            </w:pPr>
            <w:r>
              <w:rPr>
                <w:rFonts w:ascii="Times New Roman" w:eastAsia="Calibri" w:hAnsi="Times New Roman" w:cs="Times New Roman"/>
                <w:sz w:val="20"/>
                <w:szCs w:val="20"/>
              </w:rPr>
              <w:t>тепловая энергия</w:t>
            </w: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Гкал</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highlight w:val="yellow"/>
              </w:rPr>
            </w:pPr>
            <w:r>
              <w:rPr>
                <w:rFonts w:ascii="Times New Roman" w:hAnsi="Times New Roman" w:cs="Times New Roman"/>
                <w:sz w:val="20"/>
                <w:szCs w:val="20"/>
              </w:rPr>
              <w:t xml:space="preserve">52 560,5  </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bCs/>
                <w:sz w:val="20"/>
                <w:szCs w:val="20"/>
                <w:highlight w:val="yellow"/>
              </w:rPr>
            </w:pPr>
            <w:r>
              <w:rPr>
                <w:rFonts w:ascii="Times New Roman" w:hAnsi="Times New Roman" w:cs="Times New Roman"/>
                <w:bCs/>
                <w:sz w:val="20"/>
                <w:szCs w:val="20"/>
              </w:rPr>
              <w:t>51 757,2</w:t>
            </w:r>
          </w:p>
        </w:tc>
        <w:tc>
          <w:tcPr>
            <w:tcW w:w="125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rPr>
            </w:pPr>
          </w:p>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left w:val="single" w:sz="4" w:space="0" w:color="000000"/>
              <w:bottom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млн. руб. без НДС</w:t>
            </w:r>
          </w:p>
        </w:tc>
        <w:tc>
          <w:tcPr>
            <w:tcW w:w="1276"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highlight w:val="yellow"/>
              </w:rPr>
            </w:pPr>
            <w:r>
              <w:rPr>
                <w:rFonts w:ascii="Times New Roman" w:hAnsi="Times New Roman" w:cs="Times New Roman"/>
                <w:sz w:val="20"/>
                <w:szCs w:val="20"/>
              </w:rPr>
              <w:t>94,5</w:t>
            </w:r>
          </w:p>
        </w:tc>
        <w:tc>
          <w:tcPr>
            <w:tcW w:w="1276"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bCs/>
                <w:sz w:val="20"/>
                <w:szCs w:val="20"/>
                <w:highlight w:val="yellow"/>
              </w:rPr>
            </w:pPr>
            <w:r>
              <w:rPr>
                <w:rFonts w:ascii="Times New Roman" w:hAnsi="Times New Roman" w:cs="Times New Roman"/>
                <w:bCs/>
                <w:sz w:val="20"/>
                <w:szCs w:val="20"/>
              </w:rPr>
              <w:t xml:space="preserve">105,3   </w:t>
            </w:r>
          </w:p>
        </w:tc>
        <w:tc>
          <w:tcPr>
            <w:tcW w:w="1250" w:type="dxa"/>
            <w:tcBorders>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11,4</w:t>
            </w:r>
          </w:p>
        </w:tc>
        <w:tc>
          <w:tcPr>
            <w:tcW w:w="257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hAnsi="Times New Roman" w:cs="Times New Roman"/>
                <w:bCs/>
                <w:sz w:val="18"/>
                <w:szCs w:val="18"/>
              </w:rPr>
              <w:t>Увеличение стоимости ресурса</w:t>
            </w: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3.</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jc w:val="both"/>
              <w:rPr>
                <w:rFonts w:ascii="Times New Roman" w:eastAsia="Calibri" w:hAnsi="Times New Roman" w:cs="Times New Roman"/>
                <w:sz w:val="20"/>
                <w:szCs w:val="20"/>
              </w:rPr>
            </w:pPr>
            <w:r>
              <w:rPr>
                <w:rFonts w:ascii="Times New Roman" w:eastAsia="Calibri" w:hAnsi="Times New Roman" w:cs="Times New Roman"/>
                <w:sz w:val="20"/>
                <w:szCs w:val="20"/>
              </w:rPr>
              <w:t>электрическая энергия</w:t>
            </w:r>
          </w:p>
        </w:tc>
        <w:tc>
          <w:tcPr>
            <w:tcW w:w="102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Calibri" w:hAnsi="Times New Roman" w:cs="Times New Roman"/>
                <w:color w:val="0D0D0D"/>
                <w:sz w:val="20"/>
                <w:szCs w:val="20"/>
              </w:rPr>
            </w:pPr>
            <w:r>
              <w:rPr>
                <w:rFonts w:ascii="Times New Roman" w:eastAsia="Calibri" w:hAnsi="Times New Roman" w:cs="Times New Roman"/>
                <w:color w:val="0D0D0D"/>
                <w:sz w:val="20"/>
                <w:szCs w:val="20"/>
              </w:rPr>
              <w:t>млн. кВтч</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highlight w:val="yellow"/>
              </w:rPr>
            </w:pPr>
            <w:r>
              <w:rPr>
                <w:rFonts w:ascii="Times New Roman" w:hAnsi="Times New Roman" w:cs="Times New Roman"/>
                <w:sz w:val="20"/>
                <w:szCs w:val="20"/>
              </w:rPr>
              <w:t xml:space="preserve">121,7   </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bCs/>
                <w:sz w:val="20"/>
                <w:szCs w:val="20"/>
                <w:highlight w:val="yellow"/>
              </w:rPr>
            </w:pPr>
            <w:r>
              <w:rPr>
                <w:rFonts w:ascii="Times New Roman" w:hAnsi="Times New Roman" w:cs="Times New Roman"/>
                <w:bCs/>
                <w:sz w:val="20"/>
                <w:szCs w:val="20"/>
              </w:rPr>
              <w:t xml:space="preserve">123,6   </w:t>
            </w:r>
          </w:p>
        </w:tc>
        <w:tc>
          <w:tcPr>
            <w:tcW w:w="125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1,5   </w:t>
            </w:r>
          </w:p>
        </w:tc>
        <w:tc>
          <w:tcPr>
            <w:tcW w:w="257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sz w:val="18"/>
                <w:szCs w:val="18"/>
              </w:rPr>
            </w:pPr>
            <w:r>
              <w:rPr>
                <w:rFonts w:ascii="Times New Roman" w:hAnsi="Times New Roman" w:cs="Times New Roman"/>
                <w:sz w:val="18"/>
                <w:szCs w:val="18"/>
              </w:rPr>
              <w:t>Ввиду отсутствия в период планирования информации по</w:t>
            </w:r>
            <w:r>
              <w:rPr>
                <w:rFonts w:ascii="Times New Roman" w:hAnsi="Times New Roman" w:cs="Times New Roman"/>
                <w:bCs/>
                <w:sz w:val="18"/>
                <w:szCs w:val="18"/>
              </w:rPr>
              <w:t xml:space="preserve">: </w:t>
            </w:r>
          </w:p>
          <w:p w:rsidR="00D602D4" w:rsidRDefault="000B4C86">
            <w:pPr>
              <w:jc w:val="center"/>
              <w:rPr>
                <w:rFonts w:ascii="Times New Roman" w:hAnsi="Times New Roman" w:cs="Times New Roman"/>
                <w:bCs/>
                <w:sz w:val="18"/>
                <w:szCs w:val="18"/>
              </w:rPr>
            </w:pPr>
            <w:r>
              <w:rPr>
                <w:rFonts w:ascii="Times New Roman" w:hAnsi="Times New Roman" w:cs="Times New Roman"/>
                <w:bCs/>
                <w:sz w:val="18"/>
                <w:szCs w:val="18"/>
              </w:rPr>
              <w:t xml:space="preserve">-  консолидации дополнительных объектов потребления, </w:t>
            </w:r>
          </w:p>
          <w:p w:rsidR="00D602D4" w:rsidRDefault="000B4C86">
            <w:pPr>
              <w:jc w:val="center"/>
              <w:rPr>
                <w:rFonts w:ascii="Times New Roman" w:hAnsi="Times New Roman" w:cs="Times New Roman"/>
                <w:bCs/>
                <w:sz w:val="18"/>
                <w:szCs w:val="18"/>
              </w:rPr>
            </w:pPr>
            <w:r>
              <w:rPr>
                <w:rFonts w:ascii="Times New Roman" w:hAnsi="Times New Roman" w:cs="Times New Roman"/>
                <w:bCs/>
                <w:sz w:val="18"/>
                <w:szCs w:val="18"/>
              </w:rPr>
              <w:t xml:space="preserve">- фактическому </w:t>
            </w:r>
            <w:r>
              <w:rPr>
                <w:rFonts w:ascii="Times New Roman" w:hAnsi="Times New Roman" w:cs="Times New Roman"/>
                <w:sz w:val="18"/>
                <w:szCs w:val="18"/>
              </w:rPr>
              <w:t>снижению температуры наружного воздуха относительно аналогичного периода 2023 года</w:t>
            </w:r>
          </w:p>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млн. руб. без НДС</w:t>
            </w:r>
          </w:p>
        </w:tc>
        <w:tc>
          <w:tcPr>
            <w:tcW w:w="1276"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sz w:val="20"/>
                <w:szCs w:val="20"/>
                <w:highlight w:val="yellow"/>
              </w:rPr>
            </w:pPr>
            <w:r>
              <w:rPr>
                <w:rFonts w:ascii="Times New Roman" w:hAnsi="Times New Roman" w:cs="Times New Roman"/>
                <w:sz w:val="20"/>
                <w:szCs w:val="20"/>
              </w:rPr>
              <w:t xml:space="preserve">480,4 </w:t>
            </w:r>
          </w:p>
        </w:tc>
        <w:tc>
          <w:tcPr>
            <w:tcW w:w="1276"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D602D4" w:rsidRDefault="000B4C86">
            <w:pPr>
              <w:jc w:val="center"/>
              <w:rPr>
                <w:rFonts w:ascii="Times New Roman" w:hAnsi="Times New Roman" w:cs="Times New Roman"/>
                <w:bCs/>
                <w:sz w:val="20"/>
                <w:szCs w:val="20"/>
                <w:highlight w:val="yellow"/>
              </w:rPr>
            </w:pPr>
            <w:r>
              <w:rPr>
                <w:rFonts w:ascii="Times New Roman" w:hAnsi="Times New Roman" w:cs="Times New Roman"/>
                <w:bCs/>
                <w:sz w:val="20"/>
                <w:szCs w:val="20"/>
              </w:rPr>
              <w:t>509,0</w:t>
            </w:r>
          </w:p>
        </w:tc>
        <w:tc>
          <w:tcPr>
            <w:tcW w:w="1250" w:type="dxa"/>
            <w:tcBorders>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5,9 </w:t>
            </w:r>
          </w:p>
        </w:tc>
        <w:tc>
          <w:tcPr>
            <w:tcW w:w="257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bCs/>
                <w:sz w:val="18"/>
                <w:szCs w:val="18"/>
                <w:highlight w:val="yellow"/>
              </w:rPr>
            </w:pPr>
            <w:r>
              <w:rPr>
                <w:rFonts w:ascii="Times New Roman" w:hAnsi="Times New Roman" w:cs="Times New Roman"/>
                <w:bCs/>
                <w:sz w:val="18"/>
                <w:szCs w:val="18"/>
              </w:rPr>
              <w:t>Увеличение стоимости ресурса</w:t>
            </w: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4.</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ind w:right="-143"/>
              <w:jc w:val="both"/>
              <w:rPr>
                <w:rFonts w:ascii="Times New Roman" w:eastAsia="Calibri" w:hAnsi="Times New Roman" w:cs="Times New Roman"/>
                <w:sz w:val="20"/>
                <w:szCs w:val="20"/>
                <w:lang w:val="en-US"/>
              </w:rPr>
            </w:pPr>
            <w:r>
              <w:rPr>
                <w:rFonts w:ascii="Times New Roman" w:eastAsia="Calibri" w:hAnsi="Times New Roman" w:cs="Times New Roman"/>
                <w:sz w:val="20"/>
                <w:szCs w:val="20"/>
              </w:rPr>
              <w:t>электромагнитная энергия</w:t>
            </w: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highlight w:val="yellow"/>
              </w:rPr>
            </w:pPr>
          </w:p>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left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left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highlight w:val="yellow"/>
              </w:rPr>
            </w:pP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5.</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keepNext/>
              <w:widowControl w:val="0"/>
              <w:ind w:right="-143"/>
              <w:jc w:val="both"/>
              <w:rPr>
                <w:rFonts w:ascii="Times New Roman" w:eastAsia="Calibri" w:hAnsi="Times New Roman" w:cs="Times New Roman"/>
                <w:sz w:val="20"/>
                <w:szCs w:val="20"/>
                <w:lang w:val="en-US"/>
              </w:rPr>
            </w:pPr>
            <w:r>
              <w:rPr>
                <w:rFonts w:ascii="Times New Roman" w:eastAsia="Calibri" w:hAnsi="Times New Roman" w:cs="Times New Roman"/>
                <w:sz w:val="20"/>
                <w:szCs w:val="20"/>
              </w:rPr>
              <w:t>нефть</w:t>
            </w: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highlight w:val="yellow"/>
              </w:rPr>
            </w:pPr>
          </w:p>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left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left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highlight w:val="yellow"/>
              </w:rPr>
            </w:pP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6.</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jc w:val="both"/>
              <w:rPr>
                <w:rFonts w:ascii="Times New Roman" w:eastAsia="Calibri" w:hAnsi="Times New Roman" w:cs="Times New Roman"/>
                <w:sz w:val="20"/>
                <w:szCs w:val="20"/>
              </w:rPr>
            </w:pPr>
            <w:r>
              <w:rPr>
                <w:rFonts w:ascii="Times New Roman" w:eastAsia="Calibri" w:hAnsi="Times New Roman" w:cs="Times New Roman"/>
                <w:sz w:val="20"/>
                <w:szCs w:val="20"/>
              </w:rPr>
              <w:t>бензин автомобильный</w:t>
            </w: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Calibri" w:hAnsi="Times New Roman" w:cs="Times New Roman"/>
                <w:color w:val="0D0D0D"/>
                <w:sz w:val="20"/>
                <w:szCs w:val="20"/>
              </w:rPr>
            </w:pPr>
            <w:r>
              <w:rPr>
                <w:rFonts w:ascii="Times New Roman" w:eastAsia="Calibri" w:hAnsi="Times New Roman" w:cs="Times New Roman"/>
                <w:color w:val="0D0D0D"/>
                <w:sz w:val="20"/>
                <w:szCs w:val="20"/>
              </w:rPr>
              <w:t>тыс. л.</w:t>
            </w:r>
          </w:p>
        </w:tc>
        <w:tc>
          <w:tcPr>
            <w:tcW w:w="1276" w:type="dxa"/>
            <w:tcBorders>
              <w:top w:val="single" w:sz="4" w:space="0" w:color="000000"/>
              <w:left w:val="single" w:sz="4" w:space="0" w:color="000000"/>
              <w:bottom w:val="single" w:sz="4" w:space="0" w:color="000000"/>
              <w:right w:val="single" w:sz="4" w:space="0" w:color="000000"/>
            </w:tcBorders>
            <w:vAlign w:val="bottom"/>
          </w:tcPr>
          <w:p w:rsidR="00D602D4" w:rsidRDefault="000B4C86">
            <w:pPr>
              <w:jc w:val="center"/>
              <w:outlineLvl w:val="0"/>
              <w:rPr>
                <w:rFonts w:ascii="Times New Roman" w:hAnsi="Times New Roman" w:cs="Times New Roman"/>
                <w:color w:val="000000"/>
                <w:sz w:val="20"/>
                <w:szCs w:val="20"/>
                <w:highlight w:val="yellow"/>
              </w:rPr>
            </w:pPr>
            <w:bookmarkStart w:id="141" w:name="_Toc181"/>
            <w:r>
              <w:rPr>
                <w:rFonts w:ascii="Times New Roman" w:hAnsi="Times New Roman" w:cs="Times New Roman"/>
                <w:color w:val="000000"/>
                <w:sz w:val="20"/>
                <w:szCs w:val="20"/>
              </w:rPr>
              <w:t>7 877,2</w:t>
            </w:r>
            <w:bookmarkEnd w:id="141"/>
          </w:p>
        </w:tc>
        <w:tc>
          <w:tcPr>
            <w:tcW w:w="1276" w:type="dxa"/>
            <w:tcBorders>
              <w:top w:val="single" w:sz="4" w:space="0" w:color="000000"/>
              <w:left w:val="single" w:sz="4" w:space="0" w:color="000000"/>
              <w:bottom w:val="single" w:sz="4" w:space="0" w:color="000000"/>
              <w:right w:val="single" w:sz="4" w:space="0" w:color="000000"/>
            </w:tcBorders>
            <w:vAlign w:val="bottom"/>
          </w:tcPr>
          <w:p w:rsidR="00D602D4" w:rsidRDefault="000B4C86">
            <w:pPr>
              <w:jc w:val="center"/>
              <w:outlineLvl w:val="0"/>
              <w:rPr>
                <w:rFonts w:ascii="Times New Roman" w:hAnsi="Times New Roman" w:cs="Times New Roman"/>
                <w:sz w:val="20"/>
                <w:szCs w:val="20"/>
                <w:highlight w:val="yellow"/>
              </w:rPr>
            </w:pPr>
            <w:bookmarkStart w:id="142" w:name="_Toc182"/>
            <w:r>
              <w:rPr>
                <w:rFonts w:ascii="Times New Roman" w:hAnsi="Times New Roman" w:cs="Times New Roman"/>
                <w:sz w:val="20"/>
                <w:szCs w:val="20"/>
              </w:rPr>
              <w:t xml:space="preserve">7 314,2   </w:t>
            </w:r>
            <w:bookmarkEnd w:id="142"/>
          </w:p>
        </w:tc>
        <w:tc>
          <w:tcPr>
            <w:tcW w:w="125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-7,1  </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highlight w:val="yellow"/>
              </w:rPr>
            </w:pPr>
          </w:p>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млн. руб. без НДС</w:t>
            </w:r>
          </w:p>
        </w:tc>
        <w:tc>
          <w:tcPr>
            <w:tcW w:w="1276" w:type="dxa"/>
            <w:tcBorders>
              <w:left w:val="single" w:sz="4" w:space="0" w:color="000000"/>
              <w:right w:val="single" w:sz="4" w:space="0" w:color="000000"/>
            </w:tcBorders>
            <w:vAlign w:val="center"/>
          </w:tcPr>
          <w:p w:rsidR="00D602D4" w:rsidRDefault="000B4C86">
            <w:pPr>
              <w:jc w:val="center"/>
              <w:outlineLvl w:val="0"/>
              <w:rPr>
                <w:rFonts w:ascii="Times New Roman" w:hAnsi="Times New Roman" w:cs="Times New Roman"/>
                <w:sz w:val="20"/>
                <w:szCs w:val="20"/>
                <w:highlight w:val="yellow"/>
              </w:rPr>
            </w:pPr>
            <w:bookmarkStart w:id="143" w:name="_Toc183"/>
            <w:r>
              <w:rPr>
                <w:rFonts w:ascii="Times New Roman" w:hAnsi="Times New Roman" w:cs="Times New Roman"/>
                <w:sz w:val="20"/>
                <w:szCs w:val="20"/>
              </w:rPr>
              <w:t xml:space="preserve">337,8 </w:t>
            </w:r>
            <w:bookmarkEnd w:id="143"/>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outlineLvl w:val="0"/>
              <w:rPr>
                <w:rFonts w:ascii="Times New Roman" w:hAnsi="Times New Roman" w:cs="Times New Roman"/>
                <w:sz w:val="20"/>
                <w:szCs w:val="20"/>
                <w:highlight w:val="yellow"/>
              </w:rPr>
            </w:pPr>
            <w:bookmarkStart w:id="144" w:name="_Toc184"/>
            <w:r>
              <w:rPr>
                <w:rFonts w:ascii="Times New Roman" w:hAnsi="Times New Roman" w:cs="Times New Roman"/>
                <w:sz w:val="20"/>
                <w:szCs w:val="20"/>
              </w:rPr>
              <w:t>314,8</w:t>
            </w:r>
            <w:bookmarkEnd w:id="144"/>
          </w:p>
        </w:tc>
        <w:tc>
          <w:tcPr>
            <w:tcW w:w="1250" w:type="dxa"/>
            <w:tcBorders>
              <w:left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-6,8</w:t>
            </w:r>
          </w:p>
        </w:tc>
        <w:tc>
          <w:tcPr>
            <w:tcW w:w="2577" w:type="dxa"/>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highlight w:val="yellow"/>
              </w:rPr>
            </w:pP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Calibri" w:hAnsi="Times New Roman" w:cs="Times New Roman"/>
                <w:sz w:val="20"/>
                <w:szCs w:val="20"/>
              </w:rPr>
              <w:t>7.</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jc w:val="both"/>
              <w:rPr>
                <w:rFonts w:ascii="Times New Roman" w:eastAsia="Times New Roman" w:hAnsi="Times New Roman" w:cs="Times New Roman"/>
                <w:sz w:val="20"/>
                <w:szCs w:val="20"/>
              </w:rPr>
            </w:pPr>
            <w:r>
              <w:rPr>
                <w:rFonts w:ascii="Times New Roman" w:eastAsia="Calibri" w:hAnsi="Times New Roman" w:cs="Times New Roman"/>
                <w:sz w:val="20"/>
                <w:szCs w:val="20"/>
              </w:rPr>
              <w:t>топливо дизельное</w:t>
            </w:r>
          </w:p>
        </w:tc>
        <w:tc>
          <w:tcPr>
            <w:tcW w:w="102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Calibri" w:hAnsi="Times New Roman" w:cs="Times New Roman"/>
                <w:color w:val="0D0D0D"/>
                <w:sz w:val="20"/>
                <w:szCs w:val="20"/>
              </w:rPr>
              <w:t>тыс. л.</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outlineLvl w:val="0"/>
              <w:rPr>
                <w:rFonts w:ascii="Times New Roman" w:hAnsi="Times New Roman" w:cs="Times New Roman"/>
                <w:sz w:val="20"/>
                <w:szCs w:val="20"/>
              </w:rPr>
            </w:pPr>
            <w:bookmarkStart w:id="145" w:name="_Toc185"/>
            <w:r>
              <w:rPr>
                <w:rFonts w:ascii="Times New Roman" w:hAnsi="Times New Roman" w:cs="Times New Roman"/>
                <w:sz w:val="20"/>
                <w:szCs w:val="20"/>
              </w:rPr>
              <w:t xml:space="preserve">6 149,0 </w:t>
            </w:r>
            <w:bookmarkEnd w:id="145"/>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outlineLvl w:val="0"/>
              <w:rPr>
                <w:rFonts w:ascii="Times New Roman" w:hAnsi="Times New Roman" w:cs="Times New Roman"/>
                <w:sz w:val="20"/>
                <w:szCs w:val="20"/>
              </w:rPr>
            </w:pPr>
            <w:bookmarkStart w:id="146" w:name="_Toc186"/>
            <w:r>
              <w:rPr>
                <w:rFonts w:ascii="Times New Roman" w:hAnsi="Times New Roman" w:cs="Times New Roman"/>
                <w:sz w:val="20"/>
                <w:szCs w:val="20"/>
              </w:rPr>
              <w:t xml:space="preserve">5 760,0  </w:t>
            </w:r>
            <w:bookmarkEnd w:id="146"/>
          </w:p>
        </w:tc>
        <w:tc>
          <w:tcPr>
            <w:tcW w:w="125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color w:val="FF0000"/>
                <w:sz w:val="20"/>
                <w:szCs w:val="20"/>
              </w:rPr>
            </w:pPr>
            <w:r>
              <w:rPr>
                <w:rFonts w:ascii="Times New Roman" w:eastAsia="Times New Roman" w:hAnsi="Times New Roman" w:cs="Times New Roman"/>
                <w:sz w:val="20"/>
                <w:szCs w:val="20"/>
              </w:rPr>
              <w:t>-6,3</w:t>
            </w:r>
          </w:p>
        </w:tc>
        <w:tc>
          <w:tcPr>
            <w:tcW w:w="2577" w:type="dxa"/>
            <w:tcBorders>
              <w:top w:val="single" w:sz="4" w:space="0" w:color="000000"/>
              <w:left w:val="single" w:sz="4" w:space="0" w:color="000000"/>
              <w:bottom w:val="single" w:sz="4" w:space="0" w:color="000000"/>
              <w:right w:val="single" w:sz="4" w:space="0" w:color="000000"/>
            </w:tcBorders>
            <w:vAlign w:val="center"/>
          </w:tcPr>
          <w:p w:rsidR="00D602D4" w:rsidRDefault="00D602D4"/>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млн. руб. без НДС</w:t>
            </w:r>
          </w:p>
        </w:tc>
        <w:tc>
          <w:tcPr>
            <w:tcW w:w="1276" w:type="dxa"/>
            <w:tcBorders>
              <w:left w:val="single" w:sz="4" w:space="0" w:color="000000"/>
              <w:right w:val="single" w:sz="4" w:space="0" w:color="000000"/>
            </w:tcBorders>
            <w:vAlign w:val="center"/>
          </w:tcPr>
          <w:p w:rsidR="00D602D4" w:rsidRDefault="000B4C86">
            <w:pPr>
              <w:jc w:val="center"/>
              <w:outlineLvl w:val="0"/>
              <w:rPr>
                <w:rFonts w:ascii="Times New Roman" w:hAnsi="Times New Roman" w:cs="Times New Roman"/>
                <w:sz w:val="20"/>
                <w:szCs w:val="20"/>
              </w:rPr>
            </w:pPr>
            <w:bookmarkStart w:id="147" w:name="_Toc187"/>
            <w:r>
              <w:rPr>
                <w:rFonts w:ascii="Times New Roman" w:hAnsi="Times New Roman" w:cs="Times New Roman"/>
                <w:sz w:val="20"/>
                <w:szCs w:val="20"/>
              </w:rPr>
              <w:t>304,3</w:t>
            </w:r>
            <w:bookmarkEnd w:id="147"/>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outlineLvl w:val="0"/>
              <w:rPr>
                <w:rFonts w:ascii="Times New Roman" w:hAnsi="Times New Roman" w:cs="Times New Roman"/>
                <w:sz w:val="20"/>
                <w:szCs w:val="20"/>
              </w:rPr>
            </w:pPr>
            <w:bookmarkStart w:id="148" w:name="_Toc188"/>
            <w:r>
              <w:rPr>
                <w:rFonts w:ascii="Times New Roman" w:hAnsi="Times New Roman" w:cs="Times New Roman"/>
                <w:sz w:val="20"/>
                <w:szCs w:val="20"/>
              </w:rPr>
              <w:t xml:space="preserve">328,2 </w:t>
            </w:r>
            <w:bookmarkEnd w:id="148"/>
          </w:p>
        </w:tc>
        <w:tc>
          <w:tcPr>
            <w:tcW w:w="1250" w:type="dxa"/>
            <w:tcBorders>
              <w:left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color w:val="FF0000"/>
                <w:sz w:val="20"/>
                <w:szCs w:val="20"/>
              </w:rPr>
            </w:pPr>
            <w:r>
              <w:rPr>
                <w:rFonts w:ascii="Times New Roman" w:eastAsia="Times New Roman" w:hAnsi="Times New Roman" w:cs="Times New Roman"/>
                <w:sz w:val="20"/>
                <w:szCs w:val="20"/>
              </w:rPr>
              <w:t>7,9</w:t>
            </w:r>
          </w:p>
        </w:tc>
        <w:tc>
          <w:tcPr>
            <w:tcW w:w="257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bCs/>
                <w:sz w:val="18"/>
                <w:szCs w:val="18"/>
                <w:highlight w:val="yellow"/>
              </w:rPr>
            </w:pPr>
            <w:r>
              <w:rPr>
                <w:rFonts w:ascii="Times New Roman" w:hAnsi="Times New Roman" w:cs="Times New Roman"/>
                <w:bCs/>
                <w:sz w:val="18"/>
                <w:szCs w:val="18"/>
              </w:rPr>
              <w:t>Увеличение стоимости ресурса</w:t>
            </w: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8.</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both"/>
              <w:rPr>
                <w:rFonts w:ascii="Times New Roman" w:eastAsia="Calibri" w:hAnsi="Times New Roman" w:cs="Times New Roman"/>
                <w:sz w:val="20"/>
                <w:szCs w:val="20"/>
                <w:lang w:val="en-US"/>
              </w:rPr>
            </w:pPr>
            <w:r>
              <w:rPr>
                <w:rFonts w:ascii="Times New Roman" w:eastAsia="Calibri" w:hAnsi="Times New Roman" w:cs="Times New Roman"/>
                <w:sz w:val="20"/>
                <w:szCs w:val="20"/>
              </w:rPr>
              <w:t>мазут топочный</w:t>
            </w:r>
          </w:p>
        </w:tc>
        <w:tc>
          <w:tcPr>
            <w:tcW w:w="102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тонна</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330,4</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317,0</w:t>
            </w:r>
          </w:p>
        </w:tc>
        <w:tc>
          <w:tcPr>
            <w:tcW w:w="125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млн. руб. без НДС</w:t>
            </w:r>
          </w:p>
        </w:tc>
        <w:tc>
          <w:tcPr>
            <w:tcW w:w="1276" w:type="dxa"/>
            <w:tcBorders>
              <w:left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hAnsi="Times New Roman" w:cs="Times New Roman"/>
                <w:sz w:val="20"/>
                <w:szCs w:val="20"/>
              </w:rPr>
              <w:t>10,6</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hAnsi="Times New Roman" w:cs="Times New Roman"/>
                <w:sz w:val="20"/>
                <w:szCs w:val="20"/>
              </w:rPr>
              <w:t>7,9</w:t>
            </w:r>
          </w:p>
        </w:tc>
        <w:tc>
          <w:tcPr>
            <w:tcW w:w="1250" w:type="dxa"/>
            <w:tcBorders>
              <w:left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-26,0</w:t>
            </w:r>
          </w:p>
        </w:tc>
        <w:tc>
          <w:tcPr>
            <w:tcW w:w="2577" w:type="dxa"/>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hAnsi="Times New Roman" w:cs="Times New Roman"/>
                <w:bCs/>
                <w:sz w:val="18"/>
                <w:szCs w:val="18"/>
                <w:highlight w:val="yellow"/>
              </w:rPr>
            </w:pP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9.</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66" w:right="-143" w:firstLine="66"/>
              <w:rPr>
                <w:rFonts w:ascii="Times New Roman" w:eastAsia="Calibri" w:hAnsi="Times New Roman" w:cs="Times New Roman"/>
                <w:sz w:val="20"/>
                <w:szCs w:val="20"/>
                <w:lang w:val="en-US"/>
              </w:rPr>
            </w:pPr>
            <w:r>
              <w:rPr>
                <w:rFonts w:ascii="Times New Roman" w:eastAsia="Calibri" w:hAnsi="Times New Roman" w:cs="Times New Roman"/>
                <w:sz w:val="20"/>
                <w:szCs w:val="20"/>
              </w:rPr>
              <w:t>газ естественный (природный сжиженный)</w:t>
            </w:r>
          </w:p>
        </w:tc>
        <w:tc>
          <w:tcPr>
            <w:tcW w:w="102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тыс. м3 (кг)</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hAnsi="Times New Roman" w:cs="Times New Roman"/>
                <w:sz w:val="20"/>
                <w:szCs w:val="20"/>
              </w:rPr>
              <w:t xml:space="preserve">78,7  </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hAnsi="Times New Roman" w:cs="Times New Roman"/>
                <w:sz w:val="20"/>
                <w:szCs w:val="20"/>
              </w:rPr>
              <w:t xml:space="preserve">83,2  </w:t>
            </w:r>
          </w:p>
        </w:tc>
        <w:tc>
          <w:tcPr>
            <w:tcW w:w="125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w:t>
            </w:r>
          </w:p>
        </w:tc>
        <w:tc>
          <w:tcPr>
            <w:tcW w:w="2577"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hAnsi="Times New Roman" w:cs="Times New Roman"/>
                <w:sz w:val="18"/>
                <w:szCs w:val="18"/>
              </w:rPr>
            </w:pPr>
            <w:r>
              <w:rPr>
                <w:rFonts w:ascii="Times New Roman" w:hAnsi="Times New Roman" w:cs="Times New Roman"/>
                <w:sz w:val="18"/>
                <w:szCs w:val="18"/>
              </w:rPr>
              <w:t xml:space="preserve">Ввиду отсутствия в период планирования информации по </w:t>
            </w:r>
            <w:r>
              <w:rPr>
                <w:rFonts w:ascii="Times New Roman" w:hAnsi="Times New Roman" w:cs="Times New Roman"/>
                <w:bCs/>
                <w:sz w:val="18"/>
                <w:szCs w:val="18"/>
              </w:rPr>
              <w:t xml:space="preserve">фактическому </w:t>
            </w:r>
            <w:r>
              <w:rPr>
                <w:rFonts w:ascii="Times New Roman" w:hAnsi="Times New Roman" w:cs="Times New Roman"/>
                <w:sz w:val="18"/>
                <w:szCs w:val="18"/>
              </w:rPr>
              <w:t>снижению температуры наружного воздуха относительно аналогичного периода 2023 года</w:t>
            </w:r>
          </w:p>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млн. руб. без НДС</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hAnsi="Times New Roman" w:cs="Times New Roman"/>
                <w:sz w:val="20"/>
                <w:szCs w:val="20"/>
              </w:rPr>
              <w:t>0,42</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hAnsi="Times New Roman" w:cs="Times New Roman"/>
                <w:sz w:val="20"/>
                <w:szCs w:val="20"/>
              </w:rPr>
              <w:t>0,48</w:t>
            </w:r>
          </w:p>
        </w:tc>
        <w:tc>
          <w:tcPr>
            <w:tcW w:w="125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14,4</w:t>
            </w:r>
          </w:p>
        </w:tc>
        <w:tc>
          <w:tcPr>
            <w:tcW w:w="257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bCs/>
                <w:sz w:val="18"/>
                <w:szCs w:val="18"/>
                <w:highlight w:val="yellow"/>
              </w:rPr>
            </w:pPr>
            <w:r>
              <w:rPr>
                <w:rFonts w:ascii="Times New Roman" w:hAnsi="Times New Roman" w:cs="Times New Roman"/>
                <w:bCs/>
                <w:sz w:val="18"/>
                <w:szCs w:val="18"/>
              </w:rPr>
              <w:t>Увеличение стоимости ресурса</w:t>
            </w: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10.</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both"/>
              <w:rPr>
                <w:rFonts w:ascii="Times New Roman" w:eastAsia="Calibri" w:hAnsi="Times New Roman" w:cs="Times New Roman"/>
                <w:sz w:val="20"/>
                <w:szCs w:val="20"/>
                <w:lang w:val="en-US"/>
              </w:rPr>
            </w:pPr>
            <w:r>
              <w:rPr>
                <w:rFonts w:ascii="Times New Roman" w:eastAsia="Calibri" w:hAnsi="Times New Roman" w:cs="Times New Roman"/>
                <w:sz w:val="20"/>
                <w:szCs w:val="20"/>
              </w:rPr>
              <w:t>уголь</w:t>
            </w:r>
          </w:p>
        </w:tc>
        <w:tc>
          <w:tcPr>
            <w:tcW w:w="102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тонна</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662,8</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686,1</w:t>
            </w:r>
          </w:p>
        </w:tc>
        <w:tc>
          <w:tcPr>
            <w:tcW w:w="125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3,5 </w:t>
            </w:r>
          </w:p>
        </w:tc>
        <w:tc>
          <w:tcPr>
            <w:tcW w:w="2577"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hAnsi="Times New Roman" w:cs="Times New Roman"/>
                <w:bCs/>
                <w:sz w:val="18"/>
                <w:szCs w:val="18"/>
              </w:rPr>
            </w:pPr>
            <w:r>
              <w:rPr>
                <w:rFonts w:ascii="Times New Roman" w:hAnsi="Times New Roman" w:cs="Times New Roman"/>
                <w:sz w:val="18"/>
                <w:szCs w:val="18"/>
              </w:rPr>
              <w:t xml:space="preserve">Ввиду отсутствия в период планирования информации по </w:t>
            </w:r>
            <w:r>
              <w:rPr>
                <w:rFonts w:ascii="Times New Roman" w:hAnsi="Times New Roman" w:cs="Times New Roman"/>
                <w:bCs/>
                <w:sz w:val="18"/>
                <w:szCs w:val="18"/>
              </w:rPr>
              <w:t xml:space="preserve">фактическому </w:t>
            </w:r>
            <w:r>
              <w:rPr>
                <w:rFonts w:ascii="Times New Roman" w:hAnsi="Times New Roman" w:cs="Times New Roman"/>
                <w:sz w:val="18"/>
                <w:szCs w:val="18"/>
              </w:rPr>
              <w:t>снижению температуры наружного воздуха относительно аналогичного периода 2023 года</w:t>
            </w:r>
          </w:p>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млн. руб. без НДС</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hAnsi="Times New Roman" w:cs="Times New Roman"/>
                <w:sz w:val="20"/>
                <w:szCs w:val="20"/>
              </w:rPr>
              <w:t>2,9</w:t>
            </w:r>
          </w:p>
        </w:tc>
        <w:tc>
          <w:tcPr>
            <w:tcW w:w="1276"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hAnsi="Times New Roman" w:cs="Times New Roman"/>
                <w:sz w:val="20"/>
                <w:szCs w:val="20"/>
              </w:rPr>
              <w:t>2,2</w:t>
            </w:r>
          </w:p>
        </w:tc>
        <w:tc>
          <w:tcPr>
            <w:tcW w:w="1250" w:type="dxa"/>
            <w:tcBorders>
              <w:top w:val="single" w:sz="4" w:space="0" w:color="000000"/>
              <w:left w:val="single" w:sz="4" w:space="0" w:color="000000"/>
              <w:bottom w:val="single" w:sz="4" w:space="0" w:color="000000"/>
              <w:right w:val="single" w:sz="4" w:space="0" w:color="000000"/>
            </w:tcBorders>
            <w:vAlign w:val="center"/>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-22,6</w:t>
            </w:r>
          </w:p>
        </w:tc>
        <w:tc>
          <w:tcPr>
            <w:tcW w:w="2577" w:type="dxa"/>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hAnsi="Times New Roman" w:cs="Times New Roman"/>
                <w:bCs/>
                <w:sz w:val="18"/>
                <w:szCs w:val="18"/>
                <w:highlight w:val="yellow"/>
              </w:rPr>
            </w:pP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11.</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both"/>
              <w:rPr>
                <w:rFonts w:ascii="Times New Roman" w:eastAsia="Calibri" w:hAnsi="Times New Roman" w:cs="Times New Roman"/>
                <w:sz w:val="20"/>
                <w:szCs w:val="20"/>
              </w:rPr>
            </w:pPr>
            <w:r>
              <w:rPr>
                <w:rFonts w:ascii="Times New Roman" w:eastAsia="Calibri" w:hAnsi="Times New Roman" w:cs="Times New Roman"/>
                <w:sz w:val="20"/>
                <w:szCs w:val="20"/>
              </w:rPr>
              <w:t>горючие сланцы</w:t>
            </w: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rPr>
            </w:pPr>
          </w:p>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rPr>
            </w:pP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12.</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both"/>
              <w:rPr>
                <w:rFonts w:ascii="Times New Roman" w:eastAsia="Calibri" w:hAnsi="Times New Roman" w:cs="Times New Roman"/>
                <w:sz w:val="20"/>
                <w:szCs w:val="20"/>
              </w:rPr>
            </w:pPr>
            <w:r>
              <w:rPr>
                <w:rFonts w:ascii="Times New Roman" w:eastAsia="Calibri" w:hAnsi="Times New Roman" w:cs="Times New Roman"/>
                <w:sz w:val="20"/>
                <w:szCs w:val="20"/>
              </w:rPr>
              <w:t>торф</w:t>
            </w: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rPr>
            </w:pPr>
          </w:p>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center"/>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rPr>
            </w:pPr>
          </w:p>
        </w:tc>
      </w:tr>
      <w:tr w:rsidR="00D602D4">
        <w:tc>
          <w:tcPr>
            <w:tcW w:w="493"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center"/>
              <w:rPr>
                <w:rFonts w:ascii="Times New Roman" w:eastAsia="Calibri" w:hAnsi="Times New Roman" w:cs="Times New Roman"/>
                <w:sz w:val="20"/>
                <w:szCs w:val="20"/>
              </w:rPr>
            </w:pPr>
            <w:r>
              <w:rPr>
                <w:rFonts w:ascii="Times New Roman" w:eastAsia="Calibri" w:hAnsi="Times New Roman" w:cs="Times New Roman"/>
                <w:sz w:val="20"/>
                <w:szCs w:val="20"/>
              </w:rPr>
              <w:t>13.</w:t>
            </w:r>
          </w:p>
        </w:tc>
        <w:tc>
          <w:tcPr>
            <w:tcW w:w="1847" w:type="dxa"/>
            <w:vMerge w:val="restart"/>
            <w:tcBorders>
              <w:top w:val="single" w:sz="4" w:space="0" w:color="000000"/>
              <w:left w:val="single" w:sz="4" w:space="0" w:color="000000"/>
              <w:bottom w:val="single" w:sz="4" w:space="0" w:color="000000"/>
              <w:right w:val="single" w:sz="4" w:space="0" w:color="000000"/>
            </w:tcBorders>
            <w:vAlign w:val="center"/>
          </w:tcPr>
          <w:p w:rsidR="00D602D4" w:rsidRDefault="000B4C86">
            <w:pPr>
              <w:widowControl w:val="0"/>
              <w:ind w:left="426" w:right="-143" w:hanging="426"/>
              <w:jc w:val="both"/>
              <w:rPr>
                <w:rFonts w:ascii="Times New Roman" w:eastAsia="Calibri" w:hAnsi="Times New Roman" w:cs="Times New Roman"/>
                <w:sz w:val="20"/>
                <w:szCs w:val="20"/>
              </w:rPr>
            </w:pPr>
            <w:r>
              <w:rPr>
                <w:rFonts w:ascii="Times New Roman" w:eastAsia="Calibri" w:hAnsi="Times New Roman" w:cs="Times New Roman"/>
                <w:sz w:val="20"/>
                <w:szCs w:val="20"/>
              </w:rPr>
              <w:t>другие</w:t>
            </w: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rPr>
            </w:pPr>
          </w:p>
        </w:tc>
      </w:tr>
      <w:tr w:rsidR="00D602D4">
        <w:tc>
          <w:tcPr>
            <w:tcW w:w="493"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847" w:type="dxa"/>
            <w:vMerge/>
            <w:tcBorders>
              <w:top w:val="single" w:sz="4" w:space="0" w:color="000000"/>
              <w:left w:val="single" w:sz="4" w:space="0" w:color="000000"/>
              <w:bottom w:val="single" w:sz="4" w:space="0" w:color="000000"/>
              <w:right w:val="single" w:sz="4" w:space="0" w:color="000000"/>
            </w:tcBorders>
            <w:vAlign w:val="center"/>
          </w:tcPr>
          <w:p w:rsidR="00D602D4" w:rsidRDefault="00D602D4">
            <w:pPr>
              <w:jc w:val="both"/>
              <w:rPr>
                <w:rFonts w:ascii="Times New Roman" w:eastAsia="Times New Roman" w:hAnsi="Times New Roman" w:cs="Times New Roman"/>
                <w:sz w:val="20"/>
                <w:szCs w:val="20"/>
              </w:rPr>
            </w:pPr>
          </w:p>
        </w:tc>
        <w:tc>
          <w:tcPr>
            <w:tcW w:w="102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250" w:type="dxa"/>
            <w:tcBorders>
              <w:top w:val="single" w:sz="4" w:space="0" w:color="000000"/>
              <w:left w:val="single" w:sz="4" w:space="0" w:color="000000"/>
              <w:bottom w:val="single" w:sz="4" w:space="0" w:color="000000"/>
              <w:right w:val="single" w:sz="4" w:space="0" w:color="000000"/>
            </w:tcBorders>
          </w:tcPr>
          <w:p w:rsidR="00D602D4" w:rsidRDefault="000B4C8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577" w:type="dxa"/>
            <w:tcBorders>
              <w:top w:val="single" w:sz="4" w:space="0" w:color="000000"/>
              <w:left w:val="single" w:sz="4" w:space="0" w:color="000000"/>
              <w:bottom w:val="single" w:sz="4" w:space="0" w:color="000000"/>
              <w:right w:val="single" w:sz="4" w:space="0" w:color="000000"/>
            </w:tcBorders>
          </w:tcPr>
          <w:p w:rsidR="00D602D4" w:rsidRDefault="00D602D4">
            <w:pPr>
              <w:jc w:val="center"/>
              <w:rPr>
                <w:rFonts w:ascii="Times New Roman" w:eastAsia="Times New Roman" w:hAnsi="Times New Roman" w:cs="Times New Roman"/>
                <w:sz w:val="20"/>
                <w:szCs w:val="20"/>
              </w:rPr>
            </w:pPr>
          </w:p>
        </w:tc>
      </w:tr>
    </w:tbl>
    <w:p w:rsidR="00D602D4" w:rsidRDefault="000B4C86">
      <w:pPr>
        <w:widowControl w:val="0"/>
        <w:spacing w:after="0" w:line="240" w:lineRule="auto"/>
        <w:ind w:right="141"/>
        <w:jc w:val="both"/>
        <w:rPr>
          <w:rFonts w:ascii="Times New Roman" w:hAnsi="Times New Roman" w:cs="Times New Roman"/>
          <w:bCs/>
          <w:sz w:val="18"/>
          <w:szCs w:val="18"/>
        </w:rPr>
      </w:pPr>
      <w:r>
        <w:rPr>
          <w:rFonts w:ascii="Times New Roman" w:hAnsi="Times New Roman" w:cs="Times New Roman"/>
          <w:bCs/>
          <w:sz w:val="18"/>
          <w:szCs w:val="18"/>
        </w:rPr>
        <w:t xml:space="preserve">*Атомная и электромагнитная энергии, нефть, горючие сланцы, торф и другие ресурсы в производственной деятельности ПАО «Россети Сибирь» не используются </w:t>
      </w:r>
    </w:p>
    <w:p w:rsidR="00D602D4" w:rsidRDefault="000B4C86">
      <w:pPr>
        <w:widowControl w:val="0"/>
        <w:spacing w:after="0" w:line="240" w:lineRule="auto"/>
        <w:ind w:right="141"/>
        <w:jc w:val="both"/>
        <w:rPr>
          <w:rFonts w:ascii="Times New Roman" w:hAnsi="Times New Roman" w:cs="Times New Roman"/>
          <w:bCs/>
          <w:sz w:val="18"/>
          <w:szCs w:val="18"/>
        </w:rPr>
      </w:pPr>
      <w:r>
        <w:rPr>
          <w:rFonts w:ascii="Times New Roman" w:hAnsi="Times New Roman" w:cs="Times New Roman"/>
          <w:bCs/>
          <w:sz w:val="18"/>
          <w:szCs w:val="18"/>
        </w:rPr>
        <w:t>** дать комментарий о причинах невыполнения плановых показателей</w:t>
      </w:r>
    </w:p>
    <w:p w:rsidR="00D602D4" w:rsidRDefault="00D602D4">
      <w:pPr>
        <w:rPr>
          <w:rFonts w:ascii="Times New Roman" w:hAnsi="Times New Roman" w:cs="Times New Roman"/>
        </w:rPr>
      </w:pP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0B4C86">
      <w:pPr>
        <w:pStyle w:val="13"/>
        <w:spacing w:before="0" w:line="240" w:lineRule="auto"/>
        <w:rPr>
          <w:rFonts w:ascii="Times New Roman" w:eastAsia="Times New Roman" w:hAnsi="Times New Roman" w:cs="Times New Roman"/>
          <w:b/>
          <w:color w:val="auto"/>
          <w:sz w:val="26"/>
          <w:szCs w:val="26"/>
        </w:rPr>
      </w:pPr>
      <w:bookmarkStart w:id="149" w:name="_Toc189"/>
      <w:r>
        <w:rPr>
          <w:rFonts w:ascii="Times New Roman" w:eastAsia="Times New Roman" w:hAnsi="Times New Roman" w:cs="Times New Roman"/>
          <w:b/>
          <w:color w:val="auto"/>
          <w:sz w:val="26"/>
          <w:szCs w:val="26"/>
        </w:rPr>
        <w:t>Приложение 7. Заключение Ревизионной комиссии</w:t>
      </w:r>
      <w:bookmarkEnd w:id="149"/>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0B4C86">
      <w:pPr>
        <w:pStyle w:val="13"/>
        <w:spacing w:before="0" w:line="240" w:lineRule="auto"/>
        <w:rPr>
          <w:rFonts w:ascii="Times New Roman" w:eastAsia="Times New Roman" w:hAnsi="Times New Roman" w:cs="Times New Roman"/>
          <w:b/>
          <w:color w:val="auto"/>
          <w:sz w:val="26"/>
          <w:szCs w:val="26"/>
        </w:rPr>
      </w:pPr>
      <w:r>
        <w:rPr>
          <w:noProof/>
          <w:lang w:eastAsia="ru-RU"/>
        </w:rPr>
        <w:drawing>
          <wp:inline distT="0" distB="0" distL="0" distR="0">
            <wp:extent cx="6209665" cy="8782938"/>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958947" name=""/>
                    <pic:cNvPicPr>
                      <a:picLocks noChangeAspect="1"/>
                    </pic:cNvPicPr>
                  </pic:nvPicPr>
                  <pic:blipFill>
                    <a:blip r:embed="rId150"/>
                    <a:stretch/>
                  </pic:blipFill>
                  <pic:spPr bwMode="auto">
                    <a:xfrm>
                      <a:off x="0" y="0"/>
                      <a:ext cx="6209664" cy="8782938"/>
                    </a:xfrm>
                    <a:prstGeom prst="rect">
                      <a:avLst/>
                    </a:prstGeom>
                  </pic:spPr>
                </pic:pic>
              </a:graphicData>
            </a:graphic>
          </wp:inline>
        </w:drawing>
      </w:r>
    </w:p>
    <w:p w:rsidR="00D602D4" w:rsidRDefault="000B4C86">
      <w:pPr>
        <w:pStyle w:val="13"/>
        <w:spacing w:before="0" w:line="240" w:lineRule="auto"/>
        <w:rPr>
          <w:rFonts w:ascii="Times New Roman" w:eastAsia="Times New Roman" w:hAnsi="Times New Roman" w:cs="Times New Roman"/>
          <w:b/>
          <w:color w:val="auto"/>
          <w:sz w:val="26"/>
          <w:szCs w:val="26"/>
        </w:rPr>
      </w:pPr>
      <w:r>
        <w:rPr>
          <w:noProof/>
          <w:lang w:eastAsia="ru-RU"/>
        </w:rPr>
        <w:lastRenderedPageBreak/>
        <w:drawing>
          <wp:inline distT="0" distB="0" distL="0" distR="0">
            <wp:extent cx="6209665" cy="8782938"/>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711354" name=""/>
                    <pic:cNvPicPr>
                      <a:picLocks noChangeAspect="1"/>
                    </pic:cNvPicPr>
                  </pic:nvPicPr>
                  <pic:blipFill>
                    <a:blip r:embed="rId151"/>
                    <a:stretch/>
                  </pic:blipFill>
                  <pic:spPr bwMode="auto">
                    <a:xfrm>
                      <a:off x="0" y="0"/>
                      <a:ext cx="6209664" cy="8782938"/>
                    </a:xfrm>
                    <a:prstGeom prst="rect">
                      <a:avLst/>
                    </a:prstGeom>
                  </pic:spPr>
                </pic:pic>
              </a:graphicData>
            </a:graphic>
          </wp:inline>
        </w:drawing>
      </w: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0B4C86">
      <w:pPr>
        <w:pStyle w:val="13"/>
        <w:spacing w:before="0" w:line="240" w:lineRule="auto"/>
        <w:rPr>
          <w:rFonts w:ascii="Times New Roman" w:eastAsia="Times New Roman" w:hAnsi="Times New Roman" w:cs="Times New Roman"/>
          <w:b/>
          <w:color w:val="auto"/>
          <w:sz w:val="26"/>
          <w:szCs w:val="26"/>
        </w:rPr>
      </w:pPr>
      <w:r>
        <w:rPr>
          <w:noProof/>
          <w:lang w:eastAsia="ru-RU"/>
        </w:rPr>
        <w:drawing>
          <wp:inline distT="0" distB="0" distL="0" distR="0">
            <wp:extent cx="6209665" cy="8782938"/>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927950" name=""/>
                    <pic:cNvPicPr>
                      <a:picLocks noChangeAspect="1"/>
                    </pic:cNvPicPr>
                  </pic:nvPicPr>
                  <pic:blipFill>
                    <a:blip r:embed="rId152"/>
                    <a:stretch/>
                  </pic:blipFill>
                  <pic:spPr bwMode="auto">
                    <a:xfrm>
                      <a:off x="0" y="0"/>
                      <a:ext cx="6209664" cy="8782938"/>
                    </a:xfrm>
                    <a:prstGeom prst="rect">
                      <a:avLst/>
                    </a:prstGeom>
                  </pic:spPr>
                </pic:pic>
              </a:graphicData>
            </a:graphic>
          </wp:inline>
        </w:drawing>
      </w: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0B4C86">
      <w:pPr>
        <w:pStyle w:val="13"/>
        <w:spacing w:before="0" w:line="240" w:lineRule="auto"/>
        <w:rPr>
          <w:rFonts w:ascii="Times New Roman" w:eastAsia="Times New Roman" w:hAnsi="Times New Roman" w:cs="Times New Roman"/>
          <w:b/>
          <w:color w:val="auto"/>
          <w:sz w:val="26"/>
          <w:szCs w:val="26"/>
        </w:rPr>
      </w:pPr>
      <w:r>
        <w:rPr>
          <w:noProof/>
          <w:lang w:eastAsia="ru-RU"/>
        </w:rPr>
        <w:lastRenderedPageBreak/>
        <w:drawing>
          <wp:inline distT="0" distB="0" distL="0" distR="0">
            <wp:extent cx="6209665" cy="8782938"/>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267325" name=""/>
                    <pic:cNvPicPr>
                      <a:picLocks noChangeAspect="1"/>
                    </pic:cNvPicPr>
                  </pic:nvPicPr>
                  <pic:blipFill>
                    <a:blip r:embed="rId153"/>
                    <a:stretch/>
                  </pic:blipFill>
                  <pic:spPr bwMode="auto">
                    <a:xfrm>
                      <a:off x="0" y="0"/>
                      <a:ext cx="6209664" cy="8782938"/>
                    </a:xfrm>
                    <a:prstGeom prst="rect">
                      <a:avLst/>
                    </a:prstGeom>
                  </pic:spPr>
                </pic:pic>
              </a:graphicData>
            </a:graphic>
          </wp:inline>
        </w:drawing>
      </w: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0B4C86">
      <w:pPr>
        <w:pStyle w:val="13"/>
        <w:spacing w:before="0" w:line="240" w:lineRule="auto"/>
        <w:rPr>
          <w:rFonts w:ascii="Times New Roman" w:eastAsia="Times New Roman" w:hAnsi="Times New Roman" w:cs="Times New Roman"/>
          <w:b/>
          <w:color w:val="auto"/>
          <w:sz w:val="26"/>
          <w:szCs w:val="26"/>
        </w:rPr>
      </w:pPr>
      <w:r>
        <w:rPr>
          <w:noProof/>
          <w:lang w:eastAsia="ru-RU"/>
        </w:rPr>
        <w:lastRenderedPageBreak/>
        <w:drawing>
          <wp:inline distT="0" distB="0" distL="0" distR="0">
            <wp:extent cx="6209665" cy="8782938"/>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070404" name=""/>
                    <pic:cNvPicPr>
                      <a:picLocks noChangeAspect="1"/>
                    </pic:cNvPicPr>
                  </pic:nvPicPr>
                  <pic:blipFill>
                    <a:blip r:embed="rId154"/>
                    <a:stretch/>
                  </pic:blipFill>
                  <pic:spPr bwMode="auto">
                    <a:xfrm>
                      <a:off x="0" y="0"/>
                      <a:ext cx="6209664" cy="8782938"/>
                    </a:xfrm>
                    <a:prstGeom prst="rect">
                      <a:avLst/>
                    </a:prstGeom>
                  </pic:spPr>
                </pic:pic>
              </a:graphicData>
            </a:graphic>
          </wp:inline>
        </w:drawing>
      </w: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D602D4">
      <w:pPr>
        <w:pStyle w:val="13"/>
        <w:spacing w:before="0" w:line="240" w:lineRule="auto"/>
        <w:rPr>
          <w:rFonts w:ascii="Times New Roman" w:eastAsia="Times New Roman" w:hAnsi="Times New Roman" w:cs="Times New Roman"/>
          <w:b/>
          <w:color w:val="auto"/>
          <w:sz w:val="26"/>
          <w:szCs w:val="26"/>
        </w:rPr>
      </w:pPr>
    </w:p>
    <w:p w:rsidR="00D602D4" w:rsidRDefault="000B4C86">
      <w:pPr>
        <w:pStyle w:val="13"/>
        <w:spacing w:before="0" w:line="240" w:lineRule="auto"/>
        <w:jc w:val="both"/>
      </w:pPr>
      <w:bookmarkStart w:id="150" w:name="_Toc190"/>
      <w:r>
        <w:rPr>
          <w:rFonts w:ascii="Times New Roman" w:eastAsia="Times New Roman" w:hAnsi="Times New Roman" w:cs="Times New Roman"/>
          <w:b/>
          <w:color w:val="auto"/>
          <w:sz w:val="26"/>
          <w:szCs w:val="26"/>
        </w:rPr>
        <w:t>Приложение 8. Информация о тарифных решениях регулирующих органов субъектов РФ регионов присутствия Общества</w:t>
      </w:r>
      <w:bookmarkEnd w:id="150"/>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eastAsia="Calibri" w:hAnsi="Times New Roman" w:cs="Times New Roman"/>
          <w:b/>
          <w:sz w:val="24"/>
          <w:szCs w:val="24"/>
        </w:rPr>
      </w:pPr>
      <w:r>
        <w:rPr>
          <w:rFonts w:ascii="Times New Roman" w:eastAsia="Calibri" w:hAnsi="Times New Roman" w:cs="Times New Roman"/>
          <w:b/>
          <w:sz w:val="24"/>
          <w:szCs w:val="24"/>
        </w:rPr>
        <w:t>Перечень тарифных решений регулирующих органов субъектов РФ регионов присутствия Общества на 2024 год</w:t>
      </w:r>
    </w:p>
    <w:p w:rsidR="00D602D4" w:rsidRDefault="000B4C86">
      <w:pPr>
        <w:numPr>
          <w:ilvl w:val="0"/>
          <w:numId w:val="27"/>
        </w:numPr>
        <w:tabs>
          <w:tab w:val="left" w:pos="993"/>
        </w:tabs>
        <w:spacing w:after="0" w:line="240" w:lineRule="auto"/>
        <w:ind w:left="0"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по филиалу Алтайэнерго: </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Решение Управления Алтайского края по государственному регулированию цен и тарифов от 30.11.2023 № 285;</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Решение Управления Алтайского края по государственному регулированию цен и тарифов от 07.12.2023 № 335;</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Решение Управления Алтайского края по государственному регулированию цен и тарифов от 30.11.2023 № 284;</w:t>
      </w:r>
    </w:p>
    <w:p w:rsidR="00D602D4" w:rsidRDefault="000B4C86">
      <w:pPr>
        <w:numPr>
          <w:ilvl w:val="0"/>
          <w:numId w:val="27"/>
        </w:numPr>
        <w:tabs>
          <w:tab w:val="left" w:pos="993"/>
        </w:tabs>
        <w:spacing w:after="0" w:line="240" w:lineRule="auto"/>
        <w:ind w:left="0"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по филиалу Алтайэнерго ПО «Горно-Алтайские электрические сети»:</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комитета по тарифам Республики Алтай от 01.12.2023 № 51/12;</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комитета по тарифам Республики Алтай от 01.12.2023 № 51/11;</w:t>
      </w:r>
    </w:p>
    <w:p w:rsidR="00D602D4" w:rsidRDefault="000B4C86">
      <w:pPr>
        <w:numPr>
          <w:ilvl w:val="0"/>
          <w:numId w:val="27"/>
        </w:numPr>
        <w:tabs>
          <w:tab w:val="left" w:pos="993"/>
        </w:tabs>
        <w:spacing w:after="0" w:line="240" w:lineRule="auto"/>
        <w:ind w:left="0"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по филиалу Бурятэнерго:</w:t>
      </w:r>
    </w:p>
    <w:p w:rsidR="00D602D4" w:rsidRDefault="000B4C86">
      <w:pPr>
        <w:tabs>
          <w:tab w:val="left" w:pos="709"/>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Республиканской службы по тарифам Республики Бурятия от 19.12.2023 № 1/35;</w:t>
      </w:r>
    </w:p>
    <w:p w:rsidR="00D602D4" w:rsidRDefault="000B4C86">
      <w:pPr>
        <w:tabs>
          <w:tab w:val="left" w:pos="709"/>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Республиканской службы по тарифам Республики Бурятия от 19.12.2023 № 1/36;</w:t>
      </w:r>
    </w:p>
    <w:p w:rsidR="00D602D4" w:rsidRDefault="000B4C86">
      <w:pPr>
        <w:numPr>
          <w:ilvl w:val="0"/>
          <w:numId w:val="27"/>
        </w:numPr>
        <w:tabs>
          <w:tab w:val="left" w:pos="993"/>
        </w:tabs>
        <w:spacing w:after="0" w:line="240" w:lineRule="auto"/>
        <w:ind w:left="0"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по филиалу Красноярскэнерго:</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Министерства тарифной политики Красноярского края от 11.12.2023 № 58-э;</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Министерства тарифной политики Красноярского края от 11.12.2023 № 59-э;</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Министерства тарифной политики Красноярского края от 11.12.2023 № 64-э;</w:t>
      </w:r>
    </w:p>
    <w:p w:rsidR="00D602D4" w:rsidRDefault="000B4C86">
      <w:pPr>
        <w:numPr>
          <w:ilvl w:val="0"/>
          <w:numId w:val="27"/>
        </w:numPr>
        <w:tabs>
          <w:tab w:val="left" w:pos="993"/>
        </w:tabs>
        <w:spacing w:after="0" w:line="240" w:lineRule="auto"/>
        <w:ind w:left="0"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по филиалу Кузбассэнерго-РЭС:</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Постановление Региональной энергетической комиссии Кузбасса от 29.12.2023 № 780;</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Постановление Региональной энергетической комиссии Кузбасса от 17.01.2024 № 1;</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Постановление Региональной энергетической комиссии Кузбасса от 30.05.2024 № 102;</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Постановление Региональной энергетической комиссии Кузбасса от 12.09.2024 № 181;</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Постановление Региональной энергетической комиссии Кузбасса от 12.09.2024 № 182;</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Постановление Региональной энергетической комиссии Кузбасса от 01.10.2024 № 228;</w:t>
      </w:r>
    </w:p>
    <w:p w:rsidR="00D602D4" w:rsidRDefault="000B4C86">
      <w:pPr>
        <w:numPr>
          <w:ilvl w:val="0"/>
          <w:numId w:val="27"/>
        </w:numPr>
        <w:tabs>
          <w:tab w:val="left" w:pos="993"/>
        </w:tabs>
        <w:spacing w:after="0" w:line="240" w:lineRule="auto"/>
        <w:ind w:left="0"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по филиалу Омскэнерго:</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Региональной энергетической комиссии Омской области от 15.12.2023 № 402/82;</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Региональной энергетической комиссии Омской области от 15.12.2023 № 385/82;</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Региональной энергетической комиссии Омской области от 15.12.2023 № 431/82;</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Региональной энергетической комиссии Омской области от 18.04.2024 № 42/17;</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Региональной энергетической комиссии Омской области от 18.04.2024 № 43/17;</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Региональной энергетической комиссии Омской области от 27.06.2024 № 74/31;</w:t>
      </w:r>
    </w:p>
    <w:p w:rsidR="00D602D4" w:rsidRDefault="000B4C86">
      <w:pPr>
        <w:numPr>
          <w:ilvl w:val="0"/>
          <w:numId w:val="27"/>
        </w:numPr>
        <w:tabs>
          <w:tab w:val="left" w:pos="993"/>
        </w:tabs>
        <w:spacing w:after="0" w:line="240" w:lineRule="auto"/>
        <w:ind w:left="0"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по филиалу Хакасэнерго:</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Государственного комитета энергетики и тарифного регулирования Республики Хакасия от 27.12.2023 № 10-э;</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Государственного комитета энергетики и тарифного регулирования Республики Хакасия от 27.12.2023 № 11-э;</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Государственного комитета энергетики и тарифного регулирования Республики Хакасия от 31.01.2024 № 1-э;</w:t>
      </w:r>
    </w:p>
    <w:p w:rsidR="00D602D4" w:rsidRDefault="000B4C86">
      <w:pPr>
        <w:numPr>
          <w:ilvl w:val="0"/>
          <w:numId w:val="27"/>
        </w:numPr>
        <w:tabs>
          <w:tab w:val="left" w:pos="993"/>
        </w:tabs>
        <w:spacing w:after="0" w:line="240" w:lineRule="auto"/>
        <w:ind w:left="0"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по филиалу Читаэнерго: </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Региональной службы по тарифам и ценообразованию Забайкальского края от 19.12.2023 № 571-НПА;</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Региональной службы по тарифам и ценообразованию Забайкальского края от 19.12.2023 № 570-НПА;</w:t>
      </w:r>
    </w:p>
    <w:p w:rsidR="00D602D4" w:rsidRDefault="000B4C86">
      <w:pPr>
        <w:tabs>
          <w:tab w:val="left" w:pos="935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Приказ Региональной службы по тарифам и ценообразованию Забайкальского края от 19.01.2024 № 7-НПА.</w:t>
      </w:r>
    </w:p>
    <w:p w:rsidR="00D602D4" w:rsidRDefault="00D602D4">
      <w:pPr>
        <w:spacing w:after="0" w:line="240" w:lineRule="auto"/>
        <w:ind w:firstLine="709"/>
        <w:jc w:val="both"/>
        <w:rPr>
          <w:rFonts w:ascii="Times New Roman" w:hAnsi="Times New Roman" w:cs="Times New Roman"/>
          <w:b/>
          <w:sz w:val="24"/>
          <w:szCs w:val="24"/>
        </w:rPr>
      </w:pP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lastRenderedPageBreak/>
        <w:t>Мероприятия по урегулированию разногласий в отношении принятых тарифно-балансовых решений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 результатам принятых тарифно-балансовых решений на 2024 год возникли разногласия по следующим филиалам ПАО «Россети Сибирь», по существу которых Общество обратилось:</w:t>
      </w:r>
    </w:p>
    <w:p w:rsidR="00D602D4" w:rsidRDefault="00D602D4">
      <w:pPr>
        <w:spacing w:after="0" w:line="240" w:lineRule="auto"/>
        <w:ind w:firstLine="709"/>
        <w:jc w:val="both"/>
        <w:rPr>
          <w:rFonts w:ascii="Times New Roman" w:hAnsi="Times New Roman" w:cs="Times New Roman"/>
          <w:sz w:val="24"/>
          <w:szCs w:val="24"/>
          <w:highlight w:val="yellow"/>
        </w:rPr>
      </w:pPr>
    </w:p>
    <w:p w:rsidR="00D602D4" w:rsidRDefault="000B4C86">
      <w:pPr>
        <w:spacing w:after="0" w:line="240" w:lineRule="auto"/>
        <w:ind w:firstLine="709"/>
        <w:jc w:val="both"/>
        <w:rPr>
          <w:rFonts w:ascii="Times New Roman" w:hAnsi="Times New Roman" w:cs="Times New Roman"/>
          <w:b/>
          <w:sz w:val="24"/>
          <w:szCs w:val="24"/>
          <w:u w:val="single"/>
        </w:rPr>
      </w:pPr>
      <w:r>
        <w:rPr>
          <w:rFonts w:ascii="Times New Roman" w:hAnsi="Times New Roman" w:cs="Times New Roman"/>
          <w:b/>
          <w:sz w:val="24"/>
          <w:szCs w:val="24"/>
          <w:u w:val="single"/>
        </w:rPr>
        <w:t>- в ФАС России:</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1. По филиалу Хакасэнерго</w:t>
      </w:r>
      <w:r>
        <w:rPr>
          <w:rFonts w:ascii="Times New Roman" w:hAnsi="Times New Roman" w:cs="Times New Roman"/>
          <w:sz w:val="24"/>
          <w:szCs w:val="24"/>
        </w:rPr>
        <w:t>:</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25.04.2024 Общество обратилось с заявлением о рассмотрении судебных (досудебных) споров (разногласий) в ФАС России.  </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Предмет спора: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Пересмотр в течение 2024 года индивидуального тарифа между ПАО «Россети Сибирь» и ООО «СКС» (доходного для ПАО «Россети Сибирь») в сторону снижения, что приведет к недополучению выручки ПАО «Россети Сибирь» в размере 85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Общий размер разногласий:</w:t>
      </w:r>
      <w:r>
        <w:rPr>
          <w:rFonts w:ascii="Times New Roman" w:hAnsi="Times New Roman" w:cs="Times New Roman"/>
          <w:sz w:val="24"/>
          <w:szCs w:val="24"/>
        </w:rPr>
        <w:t xml:space="preserve"> 85 млн руб.</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30.07.2024 получено решение ФАС России о прекращении рассмотрения заявления Общества.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31.07.2024 издан приказ ФАС России об отмене единых (котловых), индивидуальных тарифов и НВВ для ООО «СКС» на основании материалов, поступивших от ПАО «Россети Сибирь». Госкомтариф РХ обязан исполнить приказ до 01.09.2024.</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30.08.2024 назначено заседание правления. В соответствии с проектом протокола и приказа органа регулирования - единые (котловые), индивидуальные тарифы и НВВ для ООО «СКС» оставлены без изменения.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17.09.2024 Обществом подготовлен проект обращения в ФАС России о некорректном исполнении органом регулирования приказа ФАС России.</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18.10.2024 получен ответ ФАС России, в соответствии с которым вопрос о надлежащем исполнении приказа Госкомтариф РХ будет разрешен после получения документов.</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19.02.2025 ФАС России подтвердил в рамках суда об оспаривании ТБР 2024, что регулятором приказ ФАС России исполнен корректно. </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b/>
          <w:sz w:val="24"/>
          <w:szCs w:val="24"/>
          <w:u w:val="single"/>
        </w:rPr>
      </w:pPr>
      <w:r>
        <w:rPr>
          <w:rFonts w:ascii="Times New Roman" w:hAnsi="Times New Roman" w:cs="Times New Roman"/>
          <w:b/>
          <w:sz w:val="24"/>
          <w:szCs w:val="24"/>
          <w:u w:val="single"/>
        </w:rPr>
        <w:t>- в судебные инстанции:</w:t>
      </w:r>
    </w:p>
    <w:p w:rsidR="00D602D4" w:rsidRDefault="000B4C86">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1. По филиалу Алтайэнерго:</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27.04.2024 Общество обратилось в Алтайский краевой суд с заявлением о признании незаконными приказов Управления по тарифам Алтайского края на 2024 год.</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Предмет спора:</w:t>
      </w:r>
      <w:r>
        <w:rPr>
          <w:rFonts w:ascii="Times New Roman" w:hAnsi="Times New Roman" w:cs="Times New Roman"/>
          <w:sz w:val="24"/>
          <w:szCs w:val="24"/>
        </w:rPr>
        <w:t xml:space="preserve">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расходы на оплату потерь на 2024 год (органом регулирования нарушена методология расчета) – 227 млн руб.;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расчетная предпринимательская прибыль (5%) на сумму разногласий – 11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239 млн руб.</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Ход разногласий: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01.10.2024 требования Общества удовлетворены частично, суд первой инстанции не усмотрел нарушений в методологии расчета, но обнаружил наличие арифметических ошибок.14.10.2024.</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14.10.2024 решение суда первой инстанции оставлено судом апелляционной инстанции без изменения, жалоба Общества без удовлетворения. </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2. по филиалу Алтайэнерго (производственное отделение Горно-Алтайские электрические сети):</w:t>
      </w:r>
    </w:p>
    <w:p w:rsidR="00D602D4" w:rsidRDefault="00D602D4">
      <w:pPr>
        <w:spacing w:after="0" w:line="240" w:lineRule="auto"/>
        <w:ind w:firstLine="709"/>
        <w:jc w:val="both"/>
        <w:rPr>
          <w:rFonts w:ascii="Times New Roman" w:hAnsi="Times New Roman" w:cs="Times New Roman"/>
          <w:i/>
          <w:sz w:val="24"/>
          <w:szCs w:val="24"/>
          <w:highlight w:val="yellow"/>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 xml:space="preserve">2.1. </w:t>
      </w:r>
      <w:r>
        <w:rPr>
          <w:rFonts w:ascii="Times New Roman" w:hAnsi="Times New Roman" w:cs="Times New Roman"/>
          <w:sz w:val="24"/>
          <w:szCs w:val="24"/>
        </w:rPr>
        <w:t>25.03.2021 Общество обратилось в Арбитражный суд Республики Алтай с заявлением о взыскании убытков (недополученного дохода) с бюджета Республики Алтай, возникших в результате издания не соответствующего закону акта государственного органа.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lastRenderedPageBreak/>
        <w:t>Предмет спора:</w:t>
      </w:r>
      <w:r>
        <w:rPr>
          <w:rFonts w:ascii="Times New Roman" w:hAnsi="Times New Roman" w:cs="Times New Roman"/>
          <w:sz w:val="24"/>
          <w:szCs w:val="24"/>
        </w:rPr>
        <w:t xml:space="preserve"> взыскание недополученного дохода с бюджета Республики Алтай по факту нарушения органами тарифного регулирования Республики Алтай и Алтайского края п.10 Основ ценообразования № 1178 (согласования размера расходов на транзит электрической энергии из Алтайского края в Республику Алтай) и ненадлежащего исполнения решения Верховного суда Республики Алтай от 09.07.2020 по делу № 3а-59/2020.</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782 млн руб. </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05.09.2022 требования Общества удовлетворены в суде первой инстанции в полном объеме.</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22.12.2022 требования Общества оставлены без удовлетворения в суде апелляционной инстанции в полном объеме. Решение суда первой инстанции отменено.</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25.03.2023 кассационная инстанция вернула судебное дело на повторное рассмотрение в суд первой инстанции.</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19.12.2023 требования Общества оставлены без удовлетворения в суде первой инстанции в полном объеме.</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27.03.2024 требования Общества удовлетворены частично судом апелляционной инстанции: 116 млн руб. – основной долг, 0,3 млн руб. – госпошлина, 0,03 млн руб. – прочие судебные расходы, 0,6 млн руб. – расходы на судебную экспертизу.</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02.07.2024 решение суда первой инстанции и определение суда апелляционной инстанции оставлено без изменения судом кассационной инстанции.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октябре 2024 года Правительством Республики Алтай инициирована процедура заключения мирового соглашения по вопросу компенсации убытков с бюджета, 24.11.2024 Обществом в адрес Правительства Республики Алтай направлен проект мирового соглашения со своими условиями. </w:t>
      </w:r>
    </w:p>
    <w:p w:rsidR="00D602D4" w:rsidRDefault="00D602D4">
      <w:pPr>
        <w:spacing w:after="0" w:line="240" w:lineRule="auto"/>
        <w:ind w:firstLine="709"/>
        <w:jc w:val="both"/>
        <w:rPr>
          <w:rFonts w:ascii="Times New Roman" w:hAnsi="Times New Roman" w:cs="Times New Roman"/>
          <w:sz w:val="24"/>
          <w:szCs w:val="24"/>
          <w:highlight w:val="yellow"/>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 xml:space="preserve">2.2. </w:t>
      </w:r>
      <w:r>
        <w:rPr>
          <w:rFonts w:ascii="Times New Roman" w:hAnsi="Times New Roman" w:cs="Times New Roman"/>
          <w:sz w:val="24"/>
          <w:szCs w:val="24"/>
        </w:rPr>
        <w:t>23.10.2024 Общество обратилось в Верховный суд Республики Алтай с заявлением о признании незаконными приказов Комитета по тарифам Республики Алтай на 2024 год.</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Предмет спора:</w:t>
      </w:r>
      <w:r>
        <w:rPr>
          <w:rFonts w:ascii="Times New Roman" w:hAnsi="Times New Roman" w:cs="Times New Roman"/>
          <w:sz w:val="24"/>
          <w:szCs w:val="24"/>
        </w:rPr>
        <w:t xml:space="preserve">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плановые расходы на осуществление технологического присоединения на 2024 год – 54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расчетная предпринимательская прибыль (5%) на сумму разногласий – 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57 млн руб.</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Ход разногласий: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07.02.2025 требования Общества удовлетворены судом первой инстанции. </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 xml:space="preserve">3. По филиалу Бурятэнерго: </w:t>
      </w:r>
    </w:p>
    <w:p w:rsidR="00D602D4" w:rsidRDefault="00D602D4">
      <w:pPr>
        <w:spacing w:after="0" w:line="240" w:lineRule="auto"/>
        <w:ind w:firstLine="709"/>
        <w:jc w:val="both"/>
        <w:rPr>
          <w:rFonts w:ascii="Times New Roman" w:hAnsi="Times New Roman" w:cs="Times New Roman"/>
          <w:sz w:val="24"/>
          <w:szCs w:val="24"/>
          <w:highlight w:val="yellow"/>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3.1.</w:t>
      </w:r>
      <w:r>
        <w:rPr>
          <w:rFonts w:ascii="Times New Roman" w:hAnsi="Times New Roman" w:cs="Times New Roman"/>
          <w:sz w:val="24"/>
          <w:szCs w:val="24"/>
        </w:rPr>
        <w:t xml:space="preserve"> 02.05.2023 Общество обратилось в Верховный суд Республики Бурятия с заявлением о признании незаконными приказов Республиканской службы по тарифам Республики Бурятия на 2023 год (в том числе с учетом результатов пересмотра тарифов органом регулирования во исполнение предписания ФАС России).</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Предмет спора:</w:t>
      </w:r>
      <w:r>
        <w:rPr>
          <w:rFonts w:ascii="Times New Roman" w:hAnsi="Times New Roman" w:cs="Times New Roman"/>
          <w:sz w:val="24"/>
          <w:szCs w:val="24"/>
        </w:rPr>
        <w:t xml:space="preserve">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исключение недополученного дохода за счет непредъявленного полезного отпуска Гарантирующему поставщику в объеме 39,022 млн. кВтч в части содержания сетей – 59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не учтен недополученный доход, связанный с проведением корректировок выручки от передачи электрической энергии – 36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учтены не в полном объеме плановые выпадающие доходы по ТП на 2023 год – 59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 налог на прибыль (факт 2021 год, план 2023 год) – 43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занижение корректировки НВВ по ПНиК за 2021 год – 10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на оплату труда сотрудников исполнительного аппарата ПАО «Россети Сибирь» 2019-2023 года – 303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исключены отчисления на социальные нужды (страховые взносы) 2019-2023 годв – 87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занижена корректировка НВВ по полезному отпуску – 179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занижена корректировка НВВ по доходам от осуществления регулируемой деятельности – 1 215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затраты по статье «Гидрометеорологические услуги» - 0,1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затраты по статье «Отчисления профсоюзу по ОТС 0,3% за 2019-2023 года» - 27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расчетная предпринимательская прибыль (5%) на сумму разногласий – 101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2 119 млн руб.</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Дело на рассмотрении в суде первой инстанции, проходит судебная экономическая экспертиза.</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 xml:space="preserve">3.2. </w:t>
      </w:r>
      <w:r>
        <w:rPr>
          <w:rFonts w:ascii="Times New Roman" w:hAnsi="Times New Roman" w:cs="Times New Roman"/>
          <w:sz w:val="24"/>
          <w:szCs w:val="24"/>
        </w:rPr>
        <w:t>24.10.2024 Общество обратилось в Верховный суд Республики Бурятия с заявлением о признании незаконными приказов Республиканской службы по тарифам Республики Бурятия на 2024 год.</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Предмет спора:</w:t>
      </w:r>
      <w:r>
        <w:rPr>
          <w:rFonts w:ascii="Times New Roman" w:hAnsi="Times New Roman" w:cs="Times New Roman"/>
          <w:sz w:val="24"/>
          <w:szCs w:val="24"/>
        </w:rPr>
        <w:t xml:space="preserve">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на оплату труда сотрудников исполнительного аппарата ПАО «Россети Сибирь» на 2024 год – 162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отчисления на социальные нужды (страховые взносы) на 2024 год – 40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частично исключены расходы на услуги связи на 2024 год  – 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занижены прочие информационные расходы на 2024 год – 53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затраты на отчисления профсоюзу по ОТС 0,3% на 2024 год – 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исключена компенсация женщинам по уходу за ребенком до 3-х лет на 2024 год – 2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занижена корректировка НВВ по доходам от осуществления регулируемой деятельности за 2022 год – 117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исключена компенсация недополученной выручки по итогам урегулирования разногласий с гарантирующим поставщиком (убытки прошлых лет), проведенной в 2022 год – 203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исключена компенсация технологических потерь владельца электросетевого хозяйства, не оказывающего услуги по передаче электроэнергии (АО "Улан-Удэ Энерго") за 2022 год – 0,3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занижены расходы на оплату труда филиала «Бурятэнерго» на 2024 год – 185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занижены отчисления на социальные нужды филиала «Бурятэнерго» на 2024 год – 56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расчетная предпринимательская прибыль (5%) на сумму разногласий – 42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 xml:space="preserve">Общая сумма разногласий: </w:t>
      </w:r>
      <w:r>
        <w:rPr>
          <w:rFonts w:ascii="Times New Roman" w:hAnsi="Times New Roman" w:cs="Times New Roman"/>
          <w:sz w:val="24"/>
          <w:szCs w:val="24"/>
        </w:rPr>
        <w:t>875 млн руб.</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Дело на рассмотрение в суде первой инстанции.</w:t>
      </w:r>
    </w:p>
    <w:p w:rsidR="00D602D4" w:rsidRDefault="00D602D4">
      <w:pPr>
        <w:spacing w:after="0" w:line="240" w:lineRule="auto"/>
        <w:ind w:firstLine="709"/>
        <w:jc w:val="both"/>
        <w:rPr>
          <w:rFonts w:ascii="Times New Roman" w:hAnsi="Times New Roman" w:cs="Times New Roman"/>
          <w:i/>
          <w:sz w:val="24"/>
          <w:szCs w:val="24"/>
          <w:highlight w:val="yellow"/>
        </w:rPr>
      </w:pPr>
    </w:p>
    <w:p w:rsidR="00D602D4" w:rsidRDefault="000B4C86">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4. По филиалу Красноярскэнерго:</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4.1.</w:t>
      </w:r>
      <w:r>
        <w:rPr>
          <w:rFonts w:ascii="Times New Roman" w:hAnsi="Times New Roman" w:cs="Times New Roman"/>
          <w:sz w:val="24"/>
          <w:szCs w:val="24"/>
        </w:rPr>
        <w:t xml:space="preserve"> 23.06.2023 Общество обратилось в Красноярский краевой суд с заявлением о признании незаконным приказов Министерства тарифной политики Красноярского края на 2023 год (в том числе с учетом результатов пересмотра тарифов органом регулирования во исполнение предписания ФАС России).</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Предмет спора: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исключены расходы на обслуживание заемных средств за 2020-2021 года – 2 524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не учтены недополученные доходы, связанные с проведением корректировок выручки от передачи электрической энергии за 2016-2020 года в 2021 году – 713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не учтены расходы на оплату труда работников исполнительного аппарата ПАО «Россети Сибирь» на 2023 год (с учетом ЕСН) – 341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в полном объеме плановые выпадающие доходы по ТП на 2023 год – 3 127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исключена экономия операционных расходов за 2018-2021 года – 1 439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исключена экономия операционных расходов за 2014-2017 года – 1 703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изъяты компенсированные в 2020-2021 годах, недополученные доходы за 2010-2013 года в связи с уходом потребителей «последней мили» - 1 597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применено ИПЦ к суммам изъятия по итогам исполнения предписания ФАС России – 725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не в полном объеме учтены плановые расходы на оплату потерь на 2023 год – 834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не учтена компенсация недополученной выручки, возникшей с уходом потребителей «последней мили» - 5 093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занижены расходов на спецодежду и СИЗ на 2023 год – 353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на добровольное страхование (имущество+КАСКО) на 2023 год – 17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расчетная предпринимательская прибыль (5%) на сумму разногласий – 923 млн руб.</w:t>
      </w:r>
    </w:p>
    <w:p w:rsidR="00D602D4" w:rsidRDefault="000B4C86">
      <w:pPr>
        <w:spacing w:after="0" w:line="240" w:lineRule="auto"/>
        <w:ind w:firstLine="709"/>
        <w:jc w:val="both"/>
        <w:rPr>
          <w:rFonts w:ascii="Times New Roman" w:hAnsi="Times New Roman" w:cs="Times New Roman"/>
          <w:sz w:val="24"/>
          <w:szCs w:val="24"/>
          <w:highlight w:val="yellow"/>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19 390 млн руб. </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27.01.2025 требования Общества удовлетворены частично судом первой инстанции, в частности признаны необоснованно исключенными из НВВ следующие эпизоды:</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расходы на обслуживание заемных средств за 2021 год – 1 252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недополученный доход, связанный с проведением корректировок выручки от передачи электрической энергии за 2016-2020 года в 2021 год – 267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плановые выпадающие доходы по ТП на 2023 год – 3 373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плановые расходы на оплату потерь на 2023 год – 834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расходы на спецодежду и СИЗ на 2023 год – 24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расходы на добровольное страхование (имущество+КАСКО) на 2023 год – 16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11.03.2025 Обществом подана апелляционная жалоба.</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4.2.</w:t>
      </w:r>
      <w:r>
        <w:rPr>
          <w:rFonts w:ascii="Times New Roman" w:hAnsi="Times New Roman" w:cs="Times New Roman"/>
          <w:sz w:val="24"/>
          <w:szCs w:val="24"/>
        </w:rPr>
        <w:t xml:space="preserve"> 29.08.2024 Общество обратилось в Красноярский краевой суд с заявлением о признании незаконным приказов Министерства тарифной политики Красноярского края на 2024 год.</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Предмет спора: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исключены расходы на аренду электросетевого оборудования за 2022 год, на 2024 год – 89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не учтен недополученный доход, связанный с проведением корректировок выручки от передачи электрической энергии за 2016-2021 года в 2022 году – 360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резервы по сомнительным долгам (1,5% от НВВ) – 21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на обслуживание заемных средств за 2022 год – 2 195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убытки по «последней миле» во исполнение предписания ФАС России – 340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расчетная предпринимательская прибыль (5%) на сумму разногласий – 150 млн руб.</w:t>
      </w:r>
    </w:p>
    <w:p w:rsidR="00D602D4" w:rsidRDefault="000B4C86">
      <w:pPr>
        <w:spacing w:after="0" w:line="240" w:lineRule="auto"/>
        <w:ind w:firstLine="709"/>
        <w:jc w:val="both"/>
        <w:rPr>
          <w:rFonts w:ascii="Times New Roman" w:hAnsi="Times New Roman" w:cs="Times New Roman"/>
          <w:sz w:val="24"/>
          <w:szCs w:val="24"/>
          <w:highlight w:val="yellow"/>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3 155 млн руб. </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18.03.2025 требования Общества удовлетворены судом первой инстанции.</w:t>
      </w:r>
    </w:p>
    <w:p w:rsidR="00D602D4" w:rsidRDefault="00D602D4">
      <w:pPr>
        <w:spacing w:after="0" w:line="240" w:lineRule="auto"/>
        <w:ind w:firstLine="709"/>
        <w:jc w:val="both"/>
        <w:rPr>
          <w:rFonts w:ascii="Times New Roman" w:hAnsi="Times New Roman" w:cs="Times New Roman"/>
          <w:i/>
          <w:sz w:val="24"/>
          <w:szCs w:val="24"/>
          <w:highlight w:val="yellow"/>
        </w:rPr>
      </w:pPr>
    </w:p>
    <w:p w:rsidR="00D602D4" w:rsidRDefault="000B4C86">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5. По филиалу Кузбассэнерго-РЭС:</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lastRenderedPageBreak/>
        <w:t>5.1.</w:t>
      </w:r>
      <w:r>
        <w:rPr>
          <w:rFonts w:ascii="Times New Roman" w:hAnsi="Times New Roman" w:cs="Times New Roman"/>
          <w:sz w:val="24"/>
          <w:szCs w:val="24"/>
        </w:rPr>
        <w:t xml:space="preserve"> 13.03.2023 Общество обратилось в Кемеровский областной суд с заявлением о признании незаконными приказов Региональной энергетической комиссии Кузбасса на 2023 год.</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Предмет спора: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корректировка НВВ по ИПР за 2019 год – 98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корректировка НВВ по ИПР за 2021 год – 95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плановые выпадающие доходы по ТП на 2023 год – 261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454 млн руб.</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12.05.2023 требования Общества удовлетворены в суде первой инстанции частично (по эпизоду «Корректировка НВВ по ИПР за 2021 год» - отказано, остальные эпизоды - удовлетворены).</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16.08.2023 требования Общества удовлетворены в суде апелляционной инстанции.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20.10.2023 органом регулирования во исполнение решения суда принят замещающий акт, в соответствии с которым дополнительному учету в НВВ филиала признана сумма 12 млн руб. по эпизоду «Плановые выпадающие доходы по ТП на 2023 год».</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17.01.2024 Обществом оспорен замещающий акт, </w:t>
      </w:r>
      <w:r>
        <w:rPr>
          <w:rFonts w:ascii="Times New Roman" w:hAnsi="Times New Roman" w:cs="Times New Roman"/>
          <w:b/>
          <w:sz w:val="24"/>
          <w:szCs w:val="24"/>
        </w:rPr>
        <w:t>предмет спора</w:t>
      </w:r>
      <w:r>
        <w:rPr>
          <w:rFonts w:ascii="Times New Roman" w:hAnsi="Times New Roman" w:cs="Times New Roman"/>
          <w:sz w:val="24"/>
          <w:szCs w:val="24"/>
        </w:rPr>
        <w:t>:</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корректировка НВВ по ИПР за 2019 год – 98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плановые выпадающие доходы по ТП на 2023 год – 249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347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17.01.2024 Обществом подано исковое заявление.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21.02.2024 требования Общества удовлетворены частично в суде первой инстанции (по эпизоду «Плановые выпадающие доходы по ТП на 2023 год» - отказано, остальные эпизоды - удовлетворены).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28.01.2025 решение суда первой инстанции оставлено без изменения судом апелляционной инстанцией, жалоба Общества без удовлетворения.</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5.2.</w:t>
      </w:r>
      <w:r>
        <w:rPr>
          <w:rFonts w:ascii="Times New Roman" w:hAnsi="Times New Roman" w:cs="Times New Roman"/>
          <w:sz w:val="24"/>
          <w:szCs w:val="24"/>
        </w:rPr>
        <w:t xml:space="preserve"> 28.12.2024 Общество обратилось в Кемеровский областной суд с заявлением о признании незаконными приказов Региональной энергетической комиссии Кузбасса на 2024 год.</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Предмет спора: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 плановый объем у.е. на 2024 год (7 116 у.е.);</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занижена корректировка НВВ по доходам от осуществления регулируемой деятельности за 2022 год – 17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корректировка неподконтрольны расходов за 2022 год – 2 189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применение ИПЦ к проведенным корректировкам НВВ – 317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оценка фактического исполнения ИПР за 2022 год – 116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занижение корректировки подконтрольных расходов в связи с пересмотром у.е. за 2021 год на основании предписания ФАС России – 60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занижение объема подконтрольных расходов в связи с пересмотром плановых у.е. на 2023 год по предписанию ФАС России – 62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расчетная предпринимательская прибыль (5%) на сумму разногласий – 138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2 900 млн руб. </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Дело на рассмотрении в суде первой инстанции.</w:t>
      </w:r>
    </w:p>
    <w:p w:rsidR="00D602D4" w:rsidRDefault="00D602D4">
      <w:pPr>
        <w:spacing w:after="0" w:line="240" w:lineRule="auto"/>
        <w:ind w:firstLine="709"/>
        <w:jc w:val="both"/>
        <w:rPr>
          <w:rFonts w:ascii="Times New Roman" w:hAnsi="Times New Roman" w:cs="Times New Roman"/>
          <w:sz w:val="24"/>
          <w:szCs w:val="24"/>
          <w:highlight w:val="yellow"/>
        </w:rPr>
      </w:pPr>
    </w:p>
    <w:p w:rsidR="00D602D4" w:rsidRDefault="000B4C86">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6. По филиалу Омскэнерго:</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6.1.</w:t>
      </w:r>
      <w:r>
        <w:rPr>
          <w:rFonts w:ascii="Times New Roman" w:hAnsi="Times New Roman" w:cs="Times New Roman"/>
          <w:sz w:val="24"/>
          <w:szCs w:val="24"/>
        </w:rPr>
        <w:t xml:space="preserve"> 30.06.2023 Общество обратилось в Омский областной суд с заявлением о признании незаконными приказов Региональной энергетической комиссии Омской области на 2023 год.</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Предмет спора: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занижены расходы на ремонт основных фондов на 2023 год – 1 062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на услуги по технологическому надзору – 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исключены расходы на диагностику испытания передаточных устройств, оборудования – 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не в полном объеме учтены расходы на медосмотры (предрейсовые/послерейсовые) – 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расчетная предпринимательская прибыль (5%) на сумму разногласий – 109 млн руб.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1 186 млн руб.</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18.04.2024 требования Общества удовлетворены частично судом первой инстанции, в частности признаны необоснованно исключенными из НВВ следующие эпизоды:</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занижены расходы на ремонт основных фондов на 2023 год – 1 062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на диагностику испытания передаточных устройств, оборудования – 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08.08.2024 решение суда первой инстанции изменено судом апелляционной инстанции – требования Общества удовлетворены частично, в частности признаны необоснованно исключенными из НВВ следующие эпизоды:</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на услуги по технологическому надзору – 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не в полном объеме учтены расходы на медосмотры (предрейсовые/послерейсовые) – 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29.08.2024 вышеуказанные расходы учтены органом тарифного регулирования в НВВ. </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6.2.</w:t>
      </w:r>
      <w:r>
        <w:rPr>
          <w:rFonts w:ascii="Times New Roman" w:hAnsi="Times New Roman" w:cs="Times New Roman"/>
          <w:sz w:val="24"/>
          <w:szCs w:val="24"/>
        </w:rPr>
        <w:t xml:space="preserve"> 23.10.2024 Общество обратилось в Омский областной суд с заявлением о признании незаконными приказов Региональной энергетической комиссии Омской области на 2024 год.</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Предмет спора: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на обслуживание заемных средств за 2022 год – 208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по налогу на прибыль за 2021 и 2023 года во исполнение предписания ФАС России – 143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расчетная предпринимательская прибыль (5%) на сумму разногласий – 18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369 млн руб.</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Дело на рассмотрении в суде первой инстанции.</w:t>
      </w:r>
    </w:p>
    <w:p w:rsidR="00D602D4" w:rsidRDefault="000B4C86">
      <w:pPr>
        <w:spacing w:after="0" w:line="240" w:lineRule="auto"/>
        <w:jc w:val="both"/>
        <w:rPr>
          <w:rFonts w:ascii="Times New Roman" w:hAnsi="Times New Roman" w:cs="Times New Roman"/>
          <w:sz w:val="24"/>
          <w:szCs w:val="24"/>
          <w:highlight w:val="yellow"/>
        </w:rPr>
      </w:pPr>
      <w:r>
        <w:rPr>
          <w:rFonts w:ascii="Times New Roman" w:hAnsi="Times New Roman" w:cs="Times New Roman"/>
          <w:sz w:val="24"/>
          <w:szCs w:val="24"/>
        </w:rPr>
        <w:t xml:space="preserve"> </w:t>
      </w:r>
    </w:p>
    <w:p w:rsidR="00D602D4" w:rsidRDefault="000B4C86">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 xml:space="preserve">7. По филиалу Хакасэнерго: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7.1.</w:t>
      </w:r>
      <w:r>
        <w:rPr>
          <w:rFonts w:ascii="Times New Roman" w:hAnsi="Times New Roman" w:cs="Times New Roman"/>
          <w:sz w:val="24"/>
          <w:szCs w:val="24"/>
        </w:rPr>
        <w:t xml:space="preserve"> 30.04.2021 Общество обратилось в Арбитражный суд Республики Хакасия с заявлением о взыскании убытков (недополученного дохода) с бюджета Республики Хакасия, возникших в результате издания не соответствующего закону акта государственного органа.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Предмет спора:</w:t>
      </w:r>
      <w:r>
        <w:rPr>
          <w:rFonts w:ascii="Times New Roman" w:hAnsi="Times New Roman" w:cs="Times New Roman"/>
          <w:sz w:val="24"/>
          <w:szCs w:val="24"/>
        </w:rPr>
        <w:t xml:space="preserve"> взыскание недополученного дохода с бюджета Республики Хакасия по факту незаконного исключения Государственным комитетом по тарифам Республики Хакасия экономически обоснованных затрат из НВВ филиала «Хакасэнерго» 2020 года.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202 млн руб. </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19.08.2024 в удовлетворении иска судом первой инстанции отказано полностью.</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Дело на рассмотрении в суде апелляционной инстанции.</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i/>
          <w:sz w:val="24"/>
          <w:szCs w:val="24"/>
        </w:rPr>
        <w:t>7.2.</w:t>
      </w:r>
      <w:r>
        <w:rPr>
          <w:rFonts w:ascii="Times New Roman" w:hAnsi="Times New Roman" w:cs="Times New Roman"/>
          <w:sz w:val="24"/>
          <w:szCs w:val="24"/>
        </w:rPr>
        <w:t xml:space="preserve"> 29.06.2023 Общество обратилось в Арбитражный суд Республики Хакасия с заявлением о взыскании убытков (недополученного дохода) с бюджета Республики Хакасия, возникших в результате издания не соответствующего закону акта государственного органа.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Предмет спора:</w:t>
      </w:r>
      <w:r>
        <w:rPr>
          <w:rFonts w:ascii="Times New Roman" w:hAnsi="Times New Roman" w:cs="Times New Roman"/>
          <w:sz w:val="24"/>
          <w:szCs w:val="24"/>
        </w:rPr>
        <w:t xml:space="preserve"> взыскание недополученного дохода с бюджета Республики Хакасия по факту незаконного исключения Государственным комитетом по тарифам Республики Хакасия экономически обоснованных затрат из НВВ филиала «Хакасэнерго» 2021 года, а именно:</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расходы на обслуживание заемных средств за 2019 год – 295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корректировка НВВ по доходам от осуществления регулируемой деятельности за 2019 год – 124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расходы на обслуживание заемных средств за 2016 год – 25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расходы на обслуживание заемных средств за 2017 год – 78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расходы на оплату труда 2017-2021 года – 85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отчисления на социальные нужды 2017-2021 года – 25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ИПЦ – 34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666 млн руб. </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Дело на рассмотрении в суде первой инстанции.</w:t>
      </w: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highlight w:val="yellow"/>
        </w:rPr>
      </w:pPr>
      <w:r>
        <w:rPr>
          <w:rFonts w:ascii="Times New Roman" w:hAnsi="Times New Roman" w:cs="Times New Roman"/>
          <w:i/>
          <w:sz w:val="24"/>
          <w:szCs w:val="24"/>
        </w:rPr>
        <w:t>7.3.</w:t>
      </w:r>
      <w:r>
        <w:rPr>
          <w:rFonts w:ascii="Times New Roman" w:hAnsi="Times New Roman" w:cs="Times New Roman"/>
          <w:sz w:val="24"/>
          <w:szCs w:val="24"/>
        </w:rPr>
        <w:t xml:space="preserve"> 28.12.2023 Общество обратилось в Верховный суд Республики Хакасия с заявлением о признании незаконными приказов Госкомтарифэнерго Республики Хакасия на 2023 год.</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Предмет спора: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снижение условных единиц – 45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исключение амортизации на объекты стоимостью менее 100 тыс. руб. – 10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налог на прибыль (план 2023 год, факт 2021 год) – 30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расходы на обслуживание заемных средств за 2021 год – 435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расходы на обслуживание заемных средств на 2023 год – 689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исключение расходов, учтенных в ТБР 2022 года (спецодежда и СИЗ, РСД, амортизация) по представлению Прокуратуры РХ от 29.06.2022 №7-9-2022) – 68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исключение расходов по статьям «Прочие вспомогательные материалы, в т.ч. затраты на ремонт», «Комплексное обслуживание зданий и сооружений» за 2019-2021 года – 198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плановые выпадающие доходы по п.87 Основ ценообразования № 1178 на 2023 год – 129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транспортный налог – 1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пересмотр базового уровня ПР с 2023 год – 1 064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предпринимательская прибыль – 136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занижение корректировки НВВ по ПНиК за 2021 год – 46 млн руб.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Общий размер разногласий:</w:t>
      </w:r>
      <w:r>
        <w:rPr>
          <w:rFonts w:ascii="Times New Roman" w:hAnsi="Times New Roman" w:cs="Times New Roman"/>
          <w:sz w:val="24"/>
          <w:szCs w:val="24"/>
        </w:rPr>
        <w:t xml:space="preserve"> 2 851 млн руб.</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29.04.2024 требования Общества удовлетворены судом первой инстанцией частично, в частности признаны необоснованно исключенными из НВВ следующие эпизоды:</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снижение условных единиц – 45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налог на прибыль (план 2023 год, факт 2021 год) – 30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исключение расходов, учтенных в ТБР 2022 года (спецодежда и СИЗ, РСД, амортизация) по представлению Прокуратуры РХ от 29.06.2022 №7-9-2022) – 68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исключение расходов по статьям «Прочие вспомогательные материалы, в т.ч. затраты на ремонт», «Комплексное обслуживание зданий и сооружений» за 2019-2021 года – 198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транспортный налог – 1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пересмотр базового уровня ПР с 2023 год – 1 064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занижение корректировки НВВ по ПНиК за 2021 год – 46 млн руб.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04.07.2024 решение суда первой инстанции оставлено без изменения судом апелляционной инстанцией, жалоба Общества без удовлетворения. </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04.08.2024 органом тарифного регулирования исполнено судебное решение, пересмотрены подконтрольные расходы, корректировка НВВ по ПНиК, транспортный налог и расходы по прочим вспомогательным материалам за 2019-2021 года, и дополнительно учтены в НВВ 857 млн руб.</w:t>
      </w:r>
    </w:p>
    <w:p w:rsidR="00D602D4" w:rsidRDefault="00D602D4">
      <w:pPr>
        <w:spacing w:after="0" w:line="240" w:lineRule="auto"/>
        <w:ind w:firstLine="709"/>
        <w:jc w:val="both"/>
        <w:rPr>
          <w:rFonts w:ascii="Times New Roman" w:hAnsi="Times New Roman" w:cs="Times New Roman"/>
          <w:b/>
          <w:sz w:val="24"/>
          <w:szCs w:val="24"/>
          <w:highlight w:val="yellow"/>
        </w:rPr>
      </w:pPr>
    </w:p>
    <w:p w:rsidR="00D602D4" w:rsidRDefault="000B4C86">
      <w:pPr>
        <w:spacing w:after="0" w:line="240" w:lineRule="auto"/>
        <w:ind w:firstLine="709"/>
        <w:jc w:val="both"/>
        <w:rPr>
          <w:rFonts w:ascii="Times New Roman" w:hAnsi="Times New Roman" w:cs="Times New Roman"/>
          <w:sz w:val="24"/>
          <w:szCs w:val="24"/>
          <w:highlight w:val="yellow"/>
        </w:rPr>
      </w:pPr>
      <w:r>
        <w:rPr>
          <w:rFonts w:ascii="Times New Roman" w:hAnsi="Times New Roman" w:cs="Times New Roman"/>
          <w:i/>
          <w:sz w:val="24"/>
          <w:szCs w:val="24"/>
        </w:rPr>
        <w:t>7.4.</w:t>
      </w:r>
      <w:r>
        <w:rPr>
          <w:rFonts w:ascii="Times New Roman" w:hAnsi="Times New Roman" w:cs="Times New Roman"/>
          <w:sz w:val="24"/>
          <w:szCs w:val="24"/>
        </w:rPr>
        <w:t xml:space="preserve"> 28.12.2024 Общество обратилось в Верховный суд Республики Хакасия с заявлением о признании незаконными приказов Госкомтарифэнерго Республики Хакасия на 2024 год.</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lastRenderedPageBreak/>
        <w:t>Предмет спора:</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на обслуживание заемных средств за 2022 год, на 2024 год – 1 764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 резерв по сомнительным долгам (1,5% от НВВ) – 10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исключена экономия расходов на оплату потерь э/э по п.34(3) ПП №1178 – 140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на землеустроительные работы за 2022 год – 4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не учтены расходы на спецодежду и СИЗ за 2022 год – 33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исключены расходы на услуги по энергосервисному договору за 2022 год – 67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пересмотрен индивидуальный тариф между ПАО «Россети Сибирь» и ООО «СКС» на 2024 год – 85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расчетная предпринимательская прибыль (5%) на сумму разногласий – 105 млн руб.</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b/>
          <w:sz w:val="24"/>
          <w:szCs w:val="24"/>
        </w:rPr>
        <w:t>Общая сумма разногласий:</w:t>
      </w:r>
      <w:r>
        <w:rPr>
          <w:rFonts w:ascii="Times New Roman" w:hAnsi="Times New Roman" w:cs="Times New Roman"/>
          <w:sz w:val="24"/>
          <w:szCs w:val="24"/>
        </w:rPr>
        <w:t xml:space="preserve"> 2 207 млн руб. </w:t>
      </w:r>
    </w:p>
    <w:p w:rsidR="00D602D4" w:rsidRDefault="000B4C86">
      <w:pPr>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Ход разногласий:</w:t>
      </w:r>
    </w:p>
    <w:p w:rsidR="00D602D4" w:rsidRDefault="000B4C8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Дело на рассмотрении в суде первой инстанции.</w:t>
      </w: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D602D4">
      <w:pPr>
        <w:spacing w:after="0" w:line="240" w:lineRule="auto"/>
        <w:ind w:firstLine="709"/>
        <w:jc w:val="both"/>
        <w:rPr>
          <w:rFonts w:ascii="Times New Roman" w:hAnsi="Times New Roman" w:cs="Times New Roman"/>
          <w:sz w:val="24"/>
          <w:szCs w:val="24"/>
        </w:rPr>
      </w:pPr>
    </w:p>
    <w:p w:rsidR="00D602D4" w:rsidRDefault="000B4C86">
      <w:pPr>
        <w:spacing w:after="0" w:line="240" w:lineRule="auto"/>
        <w:ind w:firstLine="709"/>
        <w:jc w:val="both"/>
        <w:rPr>
          <w:rFonts w:ascii="Times New Roman" w:hAnsi="Times New Roman" w:cs="Times New Roman"/>
          <w:sz w:val="24"/>
          <w:szCs w:val="24"/>
        </w:rPr>
      </w:pPr>
      <w:bookmarkStart w:id="151" w:name="_Toc191"/>
      <w:r>
        <w:rPr>
          <w:rFonts w:ascii="Times New Roman" w:eastAsia="Times New Roman" w:hAnsi="Times New Roman" w:cs="Times New Roman"/>
          <w:b/>
          <w:sz w:val="26"/>
          <w:szCs w:val="26"/>
        </w:rPr>
        <w:lastRenderedPageBreak/>
        <w:t>Приложение 9. Бухгалтерская (финансовая) отчетность по РСБУ за 2024 год с аудиторским заключением</w:t>
      </w:r>
      <w:bookmarkEnd w:id="151"/>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rPr>
          <w:rFonts w:ascii="Times New Roman" w:hAnsi="Times New Roman" w:cs="Times New Roman"/>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rPr>
          <w:rFonts w:ascii="Times New Roman" w:hAnsi="Times New Roman" w:cs="Times New Roman"/>
        </w:rPr>
      </w:pPr>
    </w:p>
    <w:p w:rsidR="00D602D4" w:rsidRDefault="00D602D4">
      <w:pPr>
        <w:pStyle w:val="13"/>
        <w:spacing w:before="0" w:line="240" w:lineRule="auto"/>
        <w:jc w:val="both"/>
        <w:rPr>
          <w:rFonts w:ascii="Times New Roman" w:hAnsi="Times New Roman" w:cs="Times New Roman"/>
          <w:b/>
          <w:color w:val="auto"/>
          <w:sz w:val="26"/>
          <w:szCs w:val="26"/>
        </w:rPr>
      </w:pPr>
    </w:p>
    <w:p w:rsidR="00D602D4" w:rsidRDefault="00D602D4">
      <w:pPr>
        <w:rPr>
          <w:rFonts w:ascii="Times New Roman" w:hAnsi="Times New Roman" w:cs="Times New Roman"/>
        </w:rPr>
      </w:pPr>
    </w:p>
    <w:p w:rsidR="00D602D4" w:rsidRDefault="00D602D4">
      <w:pPr>
        <w:rPr>
          <w:rFonts w:ascii="Times New Roman" w:hAnsi="Times New Roman" w:cs="Times New Roman"/>
        </w:rPr>
      </w:pPr>
    </w:p>
    <w:p w:rsidR="00D602D4" w:rsidRDefault="000B4C86">
      <w:pPr>
        <w:pStyle w:val="13"/>
        <w:spacing w:before="0" w:line="240" w:lineRule="auto"/>
        <w:jc w:val="both"/>
        <w:rPr>
          <w:rFonts w:ascii="Times New Roman" w:hAnsi="Times New Roman" w:cs="Times New Roman"/>
          <w:b/>
          <w:bCs/>
          <w:color w:val="auto"/>
          <w:sz w:val="26"/>
          <w:szCs w:val="26"/>
        </w:rPr>
      </w:pPr>
      <w:bookmarkStart w:id="152" w:name="_Toc192"/>
      <w:r>
        <w:rPr>
          <w:rFonts w:ascii="Times New Roman" w:eastAsia="Times New Roman" w:hAnsi="Times New Roman" w:cs="Times New Roman"/>
          <w:b/>
          <w:color w:val="auto"/>
          <w:sz w:val="26"/>
          <w:szCs w:val="26"/>
        </w:rPr>
        <w:lastRenderedPageBreak/>
        <w:t>Приложение 10. Консолидированная финансовая отчетность по МСФО за 2024 год с аудиторским заключением</w:t>
      </w:r>
      <w:bookmarkEnd w:id="152"/>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D602D4">
      <w:pPr>
        <w:pStyle w:val="13"/>
        <w:spacing w:before="0" w:line="240" w:lineRule="auto"/>
        <w:jc w:val="both"/>
        <w:rPr>
          <w:rFonts w:ascii="Times New Roman" w:hAnsi="Times New Roman" w:cs="Times New Roman"/>
          <w:b/>
          <w:bCs/>
          <w:color w:val="auto"/>
          <w:sz w:val="26"/>
          <w:szCs w:val="26"/>
        </w:rPr>
      </w:pPr>
    </w:p>
    <w:p w:rsidR="00D602D4" w:rsidRDefault="000B4C86">
      <w:pPr>
        <w:pStyle w:val="13"/>
        <w:spacing w:before="0" w:line="240" w:lineRule="auto"/>
        <w:jc w:val="both"/>
        <w:rPr>
          <w:rFonts w:ascii="Times New Roman" w:hAnsi="Times New Roman" w:cs="Times New Roman"/>
          <w:b/>
          <w:bCs/>
          <w:color w:val="auto"/>
          <w:sz w:val="26"/>
          <w:szCs w:val="26"/>
        </w:rPr>
      </w:pPr>
      <w:bookmarkStart w:id="153" w:name="_Toc193"/>
      <w:r>
        <w:rPr>
          <w:rFonts w:ascii="Times New Roman" w:eastAsia="Times New Roman" w:hAnsi="Times New Roman" w:cs="Times New Roman"/>
          <w:b/>
          <w:color w:val="auto"/>
          <w:sz w:val="26"/>
          <w:szCs w:val="26"/>
        </w:rPr>
        <w:lastRenderedPageBreak/>
        <w:t>Приложение 11.  Таблица соответствия текста отчета показателям руководств (GRI)</w:t>
      </w:r>
      <w:bookmarkEnd w:id="153"/>
    </w:p>
    <w:tbl>
      <w:tblPr>
        <w:tblStyle w:val="ae"/>
        <w:tblW w:w="9351" w:type="dxa"/>
        <w:tblLook w:val="04A0" w:firstRow="1" w:lastRow="0" w:firstColumn="1" w:lastColumn="0" w:noHBand="0" w:noVBand="1"/>
      </w:tblPr>
      <w:tblGrid>
        <w:gridCol w:w="4819"/>
        <w:gridCol w:w="2097"/>
        <w:gridCol w:w="2435"/>
      </w:tblGrid>
      <w:tr w:rsidR="00D602D4">
        <w:tc>
          <w:tcPr>
            <w:tcW w:w="4819" w:type="dxa"/>
          </w:tcPr>
          <w:p w:rsidR="00D602D4" w:rsidRDefault="00D602D4">
            <w:pPr>
              <w:rPr>
                <w:rFonts w:ascii="Times New Roman" w:hAnsi="Times New Roman" w:cs="Times New Roman"/>
                <w:color w:val="164778"/>
              </w:rPr>
            </w:pPr>
          </w:p>
          <w:p w:rsidR="00D602D4" w:rsidRDefault="000B4C86">
            <w:pPr>
              <w:rPr>
                <w:rFonts w:ascii="Times New Roman" w:hAnsi="Times New Roman" w:cs="Times New Roman"/>
                <w:color w:val="164778"/>
              </w:rPr>
            </w:pPr>
            <w:r>
              <w:rPr>
                <w:rFonts w:ascii="Times New Roman" w:eastAsia="Times New Roman" w:hAnsi="Times New Roman" w:cs="Times New Roman"/>
                <w:color w:val="164778"/>
              </w:rPr>
              <w:t xml:space="preserve">Показатель GRI </w:t>
            </w:r>
          </w:p>
        </w:tc>
        <w:tc>
          <w:tcPr>
            <w:tcW w:w="2097" w:type="dxa"/>
          </w:tcPr>
          <w:p w:rsidR="00D602D4" w:rsidRDefault="000B4C86">
            <w:pPr>
              <w:rPr>
                <w:rFonts w:ascii="Times New Roman" w:hAnsi="Times New Roman" w:cs="Times New Roman"/>
                <w:color w:val="164778"/>
              </w:rPr>
            </w:pPr>
            <w:r>
              <w:rPr>
                <w:rFonts w:ascii="Times New Roman" w:eastAsia="Times New Roman" w:hAnsi="Times New Roman" w:cs="Times New Roman"/>
                <w:color w:val="164778"/>
              </w:rPr>
              <w:t>Исключенная информация /</w:t>
            </w:r>
          </w:p>
          <w:p w:rsidR="00D602D4" w:rsidRDefault="000B4C86">
            <w:pPr>
              <w:rPr>
                <w:rFonts w:ascii="Times New Roman" w:hAnsi="Times New Roman" w:cs="Times New Roman"/>
                <w:color w:val="164778"/>
              </w:rPr>
            </w:pPr>
            <w:r>
              <w:rPr>
                <w:rFonts w:ascii="Times New Roman" w:eastAsia="Times New Roman" w:hAnsi="Times New Roman" w:cs="Times New Roman"/>
                <w:color w:val="164778"/>
              </w:rPr>
              <w:t>комментарий</w:t>
            </w:r>
          </w:p>
        </w:tc>
        <w:tc>
          <w:tcPr>
            <w:tcW w:w="2435" w:type="dxa"/>
          </w:tcPr>
          <w:p w:rsidR="00D602D4" w:rsidRDefault="000B4C86">
            <w:pPr>
              <w:rPr>
                <w:rFonts w:ascii="Times New Roman" w:hAnsi="Times New Roman" w:cs="Times New Roman"/>
                <w:color w:val="164778"/>
              </w:rPr>
            </w:pPr>
            <w:r>
              <w:rPr>
                <w:rFonts w:ascii="Times New Roman" w:eastAsia="Times New Roman" w:hAnsi="Times New Roman" w:cs="Times New Roman"/>
                <w:color w:val="164778"/>
              </w:rPr>
              <w:t>Номер страницы</w:t>
            </w:r>
          </w:p>
          <w:p w:rsidR="00D602D4" w:rsidRDefault="000B4C86">
            <w:pPr>
              <w:rPr>
                <w:rFonts w:ascii="Times New Roman" w:hAnsi="Times New Roman" w:cs="Times New Roman"/>
                <w:color w:val="164778"/>
              </w:rPr>
            </w:pPr>
            <w:r>
              <w:rPr>
                <w:rFonts w:ascii="Times New Roman" w:eastAsia="Times New Roman" w:hAnsi="Times New Roman" w:cs="Times New Roman"/>
                <w:color w:val="164778"/>
              </w:rPr>
              <w:t>(или ссылка)</w:t>
            </w:r>
          </w:p>
        </w:tc>
      </w:tr>
      <w:tr w:rsidR="00D602D4">
        <w:tc>
          <w:tcPr>
            <w:tcW w:w="9351" w:type="dxa"/>
            <w:gridSpan w:val="3"/>
          </w:tcPr>
          <w:p w:rsidR="00D602D4" w:rsidRDefault="000B4C86">
            <w:pPr>
              <w:rPr>
                <w:rFonts w:ascii="Times New Roman" w:hAnsi="Times New Roman" w:cs="Times New Roman"/>
              </w:rPr>
            </w:pPr>
            <w:r>
              <w:rPr>
                <w:rFonts w:ascii="Times New Roman" w:eastAsia="Times New Roman" w:hAnsi="Times New Roman" w:cs="Times New Roman"/>
                <w:color w:val="FF0000"/>
              </w:rPr>
              <w:t>GRI 102 Основные требования к раскрытию информации</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102 Профиль организации</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 xml:space="preserve">GRI 102-1 Наименование организации </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1.2.1. Представление Компании и структура, стр.7</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 xml:space="preserve">GRI 102-2 Деятельность, бренды, продукция и услуги </w:t>
            </w:r>
          </w:p>
        </w:tc>
        <w:tc>
          <w:tcPr>
            <w:tcW w:w="2097" w:type="dxa"/>
          </w:tcPr>
          <w:p w:rsidR="00D602D4" w:rsidRDefault="000B4C86">
            <w:pPr>
              <w:rPr>
                <w:rFonts w:ascii="Times New Roman" w:hAnsi="Times New Roman" w:cs="Times New Roman"/>
                <w:sz w:val="20"/>
                <w:szCs w:val="20"/>
              </w:rPr>
            </w:pPr>
            <w:r>
              <w:rPr>
                <w:rFonts w:ascii="Times New Roman" w:eastAsia="Times New Roman" w:hAnsi="Times New Roman" w:cs="Times New Roman"/>
                <w:sz w:val="20"/>
                <w:szCs w:val="20"/>
              </w:rPr>
              <w:t>Основные виды деятельности – передача электроэнергии и технологическое присоединение потребителей к сетям</w:t>
            </w: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1.2.1. Представление Компании и структура, стр.7</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102-3 Местонахождение штаб-квартиры организации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1.2.1. Представление Компании и структура, стр.7</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 xml:space="preserve">GRI 102-4 География деятельности </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1.2.2. География деятельности (карта) и основные активы, стр.10</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 xml:space="preserve">GRI 102-5 Характер собственности и организационно-правовая форма </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1.2.1. Представление Компании и структура, стр.7</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 xml:space="preserve">GRI 102-6 Рынки, на которых работает организация </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1.2.1. Представление Компании и структура, стр.7</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 xml:space="preserve">GRI 102-7 Масштаб организации </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1.2.1. Представление Компании и структура, стр.7</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102-8 Информация о сотрудниках организации и прочих работниках</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4.3. Управление персоналом, стр. 101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102-9 Цепочка поставок организации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4.10. Закупочная деятельность, стр. 137</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102-13 Участие в ассоциациях</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Приложение 4, стр. 290</w:t>
            </w:r>
          </w:p>
        </w:tc>
      </w:tr>
      <w:tr w:rsidR="00D602D4">
        <w:tc>
          <w:tcPr>
            <w:tcW w:w="9351" w:type="dxa"/>
            <w:gridSpan w:val="3"/>
          </w:tcPr>
          <w:p w:rsidR="00D602D4" w:rsidRDefault="000B4C86">
            <w:pPr>
              <w:rPr>
                <w:rFonts w:ascii="Times New Roman" w:hAnsi="Times New Roman" w:cs="Times New Roman"/>
              </w:rPr>
            </w:pPr>
            <w:r>
              <w:rPr>
                <w:rFonts w:ascii="Times New Roman" w:eastAsia="Times New Roman" w:hAnsi="Times New Roman" w:cs="Times New Roman"/>
                <w:color w:val="FF0000"/>
              </w:rPr>
              <w:t>GRI 102 Стратегия</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 xml:space="preserve">GRI 102-11 Принцип предосторожности </w:t>
            </w:r>
          </w:p>
        </w:tc>
        <w:tc>
          <w:tcPr>
            <w:tcW w:w="2097" w:type="dxa"/>
          </w:tcPr>
          <w:p w:rsidR="00D602D4" w:rsidRDefault="000B4C86">
            <w:pPr>
              <w:rPr>
                <w:rFonts w:ascii="Times New Roman" w:hAnsi="Times New Roman" w:cs="Times New Roman"/>
                <w:sz w:val="20"/>
                <w:szCs w:val="20"/>
              </w:rPr>
            </w:pPr>
            <w:r>
              <w:rPr>
                <w:rFonts w:ascii="Times New Roman" w:eastAsia="Times New Roman" w:hAnsi="Times New Roman" w:cs="Times New Roman"/>
                <w:sz w:val="20"/>
                <w:szCs w:val="20"/>
              </w:rPr>
              <w:t xml:space="preserve">ПАО «Россети Сибирь» в соответствии с принципом предосторожности стремится избегать предполагаемого вреда окружающей среде, даже если нет доказанных научных данных, что тот или иной вид деятельности такой вред причиняет. На стадии разработки проектной документации на строительство/ реконструкцию электросетевых объектов проводится </w:t>
            </w:r>
            <w:r>
              <w:rPr>
                <w:rFonts w:ascii="Times New Roman" w:eastAsia="Times New Roman" w:hAnsi="Times New Roman" w:cs="Times New Roman"/>
                <w:sz w:val="20"/>
                <w:szCs w:val="20"/>
              </w:rPr>
              <w:lastRenderedPageBreak/>
              <w:t>оценка воздействия их деятельности на окружающую среду и принимаются проектные решения, предполагающие предотвращение или минимизацию возможного негативного влияния.</w:t>
            </w:r>
          </w:p>
        </w:tc>
        <w:tc>
          <w:tcPr>
            <w:tcW w:w="2435" w:type="dxa"/>
          </w:tcPr>
          <w:p w:rsidR="00D602D4" w:rsidRDefault="00D602D4">
            <w:pPr>
              <w:rPr>
                <w:rFonts w:ascii="Times New Roman" w:hAnsi="Times New Roman" w:cs="Times New Roman"/>
              </w:rPr>
            </w:pPr>
          </w:p>
        </w:tc>
      </w:tr>
      <w:tr w:rsidR="00D602D4">
        <w:trPr>
          <w:trHeight w:val="674"/>
        </w:trPr>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 xml:space="preserve">GRI 102-14 Заявление руководителя, принимающего решения </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1.1.1.Обращение Председателя Совета директоров, стр. 5</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102-15 Ключевые воздействия, риски и возможности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2.4. Ключевые риски, стр. 32</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102 Этика и добросовестность</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 xml:space="preserve">GRI 102-16 Ценности, принципы, стандарты и нормы поведения </w:t>
            </w:r>
          </w:p>
        </w:tc>
        <w:tc>
          <w:tcPr>
            <w:tcW w:w="2097" w:type="dxa"/>
          </w:tcPr>
          <w:p w:rsidR="00D602D4" w:rsidRDefault="00D602D4">
            <w:pPr>
              <w:rPr>
                <w:rFonts w:ascii="Times New Roman" w:hAnsi="Times New Roman" w:cs="Times New Roman"/>
              </w:rPr>
            </w:pPr>
          </w:p>
        </w:tc>
        <w:tc>
          <w:tcPr>
            <w:tcW w:w="2435" w:type="dxa"/>
          </w:tcPr>
          <w:p w:rsidR="00D602D4" w:rsidRDefault="00D602D4">
            <w:pPr>
              <w:rPr>
                <w:rFonts w:ascii="Times New Roman" w:hAnsi="Times New Roman" w:cs="Times New Roman"/>
              </w:rPr>
            </w:pP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102-17 Механизмы обращения за консультациями по вопросам этики</w:t>
            </w:r>
          </w:p>
        </w:tc>
        <w:tc>
          <w:tcPr>
            <w:tcW w:w="2097" w:type="dxa"/>
          </w:tcPr>
          <w:p w:rsidR="00D602D4" w:rsidRDefault="00D602D4">
            <w:pPr>
              <w:rPr>
                <w:rFonts w:ascii="Times New Roman" w:hAnsi="Times New Roman" w:cs="Times New Roman"/>
              </w:rPr>
            </w:pPr>
          </w:p>
        </w:tc>
        <w:tc>
          <w:tcPr>
            <w:tcW w:w="2435" w:type="dxa"/>
          </w:tcPr>
          <w:p w:rsidR="00D602D4" w:rsidRDefault="00D602D4">
            <w:pPr>
              <w:rPr>
                <w:rFonts w:ascii="Times New Roman" w:hAnsi="Times New Roman" w:cs="Times New Roman"/>
              </w:rPr>
            </w:pP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102 Корпоративное управление</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102-18 Структура корпоративного управления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5.2. Общая информация о корпоративном управлении в Компании, стр. 152</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102-19 Делегирование полномочий</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5.2. Общая информация о корпоративном управлении в Компании, стр. 152</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102-20 Информация о руководящих работниках, ответственных за принятие решений по экономическим, экологическим и социальным</w:t>
            </w:r>
          </w:p>
          <w:p w:rsidR="00D602D4" w:rsidRDefault="000B4C86">
            <w:pPr>
              <w:rPr>
                <w:rFonts w:ascii="Times New Roman" w:hAnsi="Times New Roman" w:cs="Times New Roman"/>
              </w:rPr>
            </w:pPr>
            <w:r>
              <w:rPr>
                <w:rFonts w:ascii="Times New Roman" w:eastAsia="Times New Roman" w:hAnsi="Times New Roman" w:cs="Times New Roman"/>
              </w:rPr>
              <w:t>вопросам</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5.4. Отчет Совета директоров Общества, стр. 156</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102-21 Консультации с заинтересованными сторонами по экономическим, экологическим и социальным проблемам</w:t>
            </w:r>
          </w:p>
        </w:tc>
        <w:tc>
          <w:tcPr>
            <w:tcW w:w="2097" w:type="dxa"/>
          </w:tcPr>
          <w:p w:rsidR="00D602D4" w:rsidRDefault="00D602D4">
            <w:pPr>
              <w:rPr>
                <w:rFonts w:ascii="Times New Roman" w:hAnsi="Times New Roman" w:cs="Times New Roman"/>
              </w:rPr>
            </w:pPr>
          </w:p>
        </w:tc>
        <w:tc>
          <w:tcPr>
            <w:tcW w:w="2435" w:type="dxa"/>
          </w:tcPr>
          <w:p w:rsidR="00D602D4" w:rsidRDefault="000B4C86">
            <w:pPr>
              <w:jc w:val="center"/>
              <w:rPr>
                <w:rFonts w:ascii="Times New Roman" w:hAnsi="Times New Roman" w:cs="Times New Roman"/>
              </w:rPr>
            </w:pPr>
            <w:r>
              <w:rPr>
                <w:rFonts w:ascii="Times New Roman" w:eastAsia="Times New Roman" w:hAnsi="Times New Roman" w:cs="Times New Roman"/>
              </w:rPr>
              <w:t>-</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102-22 Состав высшего органа корпоративного управления и его комитетов</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5.4. Отчет Совета директоров Общества. Стр. 156,</w:t>
            </w:r>
          </w:p>
          <w:p w:rsidR="00D602D4" w:rsidRDefault="000B4C86">
            <w:pPr>
              <w:rPr>
                <w:rFonts w:ascii="Times New Roman" w:hAnsi="Times New Roman" w:cs="Times New Roman"/>
              </w:rPr>
            </w:pPr>
            <w:r>
              <w:rPr>
                <w:rFonts w:ascii="Times New Roman" w:eastAsia="Times New Roman" w:hAnsi="Times New Roman" w:cs="Times New Roman"/>
              </w:rPr>
              <w:t>5.5. Комитеты Совета директоров Общества, стр. 170.</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102-23 Председатель высшего органа корпоративного управления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5.4. Отчет Совета директоров Общества, стр. 156</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102-24 Порядок выдвижения и отбора кандидатов в члены высшего органа корпоративного управления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5.4. Отчет Совета директоров Общества, стр. 156</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102-25 Конфликт интересов</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 xml:space="preserve">4.11. Антикоррупционная политика и обеспечение безопасности экономической деятельности. Предотвращение </w:t>
            </w:r>
            <w:r>
              <w:rPr>
                <w:rFonts w:ascii="Times New Roman" w:eastAsia="Times New Roman" w:hAnsi="Times New Roman" w:cs="Times New Roman"/>
              </w:rPr>
              <w:lastRenderedPageBreak/>
              <w:t>конфликтов интересов, стр. 141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lastRenderedPageBreak/>
              <w:t>GRI 102-26 Роль высшего органа корпоративного управления в разработке целей, ценностей и стратегии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5.4. Отчет Совета директоров Общества, стр. 156</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102-28 Оценка эффективности деятельности высшего органа корпоративного управления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5.4. Отчет Совета директоров Общества, стр. 156</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102-30 Эффективность методов управления рисками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5.10. Управление рисками, внутренний контроль и внутренний аудит, стр. 193</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102-31 Обзор экономических, экологических и социальных вопросов</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3.2. Финансовые результаты, стр. 86,</w:t>
            </w:r>
          </w:p>
          <w:p w:rsidR="00D602D4" w:rsidRDefault="000B4C86">
            <w:pPr>
              <w:rPr>
                <w:rFonts w:ascii="Times New Roman" w:hAnsi="Times New Roman" w:cs="Times New Roman"/>
              </w:rPr>
            </w:pPr>
            <w:r>
              <w:rPr>
                <w:rFonts w:ascii="Times New Roman" w:eastAsia="Times New Roman" w:hAnsi="Times New Roman" w:cs="Times New Roman"/>
              </w:rPr>
              <w:t xml:space="preserve">4.3. Управление персоналом, стр. 101,  </w:t>
            </w:r>
          </w:p>
          <w:p w:rsidR="00D602D4" w:rsidRDefault="000B4C86">
            <w:pPr>
              <w:rPr>
                <w:rFonts w:ascii="Times New Roman" w:hAnsi="Times New Roman" w:cs="Times New Roman"/>
              </w:rPr>
            </w:pPr>
            <w:r>
              <w:rPr>
                <w:rFonts w:ascii="Times New Roman" w:eastAsia="Times New Roman" w:hAnsi="Times New Roman" w:cs="Times New Roman"/>
              </w:rPr>
              <w:t>4.4. Охрана окружающей среды, стр. 115</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102-35 Политика вознаграждения членов высшего органа управления и исполнительных руководителей высшего ранга</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5.8. Система вознаграждения органов управления Компанией, стр. 191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102-36 Процесс определения размера вознаграждения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5.8. Система вознаграждения органов управления Компанией, стр. 191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102 Взаимодействие с заинтересованными сторонами</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102-40 Перечень заинтересованных сторон</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4.8. Взаимодействие со стейкхолдерами, стр. 131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102-41 Коллективный договор</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4.3. Управление персоналом, стр. 101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102-43 Подход к взаимодействию с заинтересованными сторонами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4.8. Взаимодействие со стейкхолдерами, стр. 131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102-44 Ключевые темы и проблемные вопросы, поднятые заинтересованными сторонами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4.8. Взаимодействие со стейкхолдерами, стр. 131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102 Практика подготовки отчетности</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102-45 Юридические лица, отчетность которых была включена в консолидированную финансовую отчетность</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Об отчете, стр. 2</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102-46 Определение содержания отчета, существенных тем и их границ</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Об отчете, стр. 2</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102-47 Перечень существенных тем</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102-50 Отчетный период</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Об отчете, стр. 2</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102-51 Дата последнего отчета в области устойчивого развития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102-52 Цикл отчетности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Об отчете, стр. 2</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102-53 Контактная информация для связи по вопросам отчета</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5.14. Акционерный капитал, обращение ценных бумаг, стр. 206</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102-54 Заявления о соответствии отчета стандартам GRI</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Об отчете, стр. 2</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102-55 Указатель содержания GRI</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Приложение 11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200 Экономические</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lastRenderedPageBreak/>
              <w:t>GRI 201 Экономическая результативность</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201-1 Созданная и распределенная прямая экономическая стоимость</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3.2. Финансовые результаты, стр. 86</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201-3 Обеспеченность обязательств организации, связанных с пенсионными планами, с установленными льготами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4.3. Управление персоналом, стр. 101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203 Непрямое экономическое воздействие</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203-1 Развитие инфраструктурных инвестиций и услуг</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3.1.4. Технологическое присоединение, стр. 51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204 Практика закупок</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204-1 Доля расходов на местных поставщиков в существенных регионах деятельности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4.10. Закупочная деятельность, стр. 137</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205 Противодействие коррупции</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205-2 Информирование о политиках и методах противодействия коррупции и обучение им</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4.11. Антикоррупционная политика и обеспечение безопасности экономической деятельности. Предотвращение конфликтов интересов, стр. 141</w:t>
            </w:r>
          </w:p>
        </w:tc>
      </w:tr>
      <w:tr w:rsidR="00D602D4">
        <w:trPr>
          <w:trHeight w:val="461"/>
        </w:trPr>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205-3 Подтвержденные случаи коррупции и принятые меры</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4.11. Антикоррупционная политика и обеспечение безопасности экономической деятельности. Предотвращение конфликтов интересов, стр. 141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300 Экологические</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302-1 Потребление энергии внутри организации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p w:rsidR="00D602D4" w:rsidRDefault="000B4C86">
            <w:pPr>
              <w:rPr>
                <w:rFonts w:ascii="Times New Roman" w:hAnsi="Times New Roman" w:cs="Times New Roman"/>
              </w:rPr>
            </w:pPr>
            <w:r>
              <w:rPr>
                <w:rFonts w:ascii="Times New Roman" w:eastAsia="Times New Roman" w:hAnsi="Times New Roman" w:cs="Times New Roman"/>
              </w:rPr>
              <w:t>Приложение 6, стр. 299.</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302 Энергия</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302-4 Сокращение энергопотребления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p w:rsidR="00D602D4" w:rsidRDefault="000B4C86">
            <w:pPr>
              <w:rPr>
                <w:rFonts w:ascii="Times New Roman" w:hAnsi="Times New Roman" w:cs="Times New Roman"/>
              </w:rPr>
            </w:pPr>
            <w:r>
              <w:rPr>
                <w:rFonts w:ascii="Times New Roman" w:eastAsia="Times New Roman" w:hAnsi="Times New Roman" w:cs="Times New Roman"/>
              </w:rPr>
              <w:t>Приложение 6, стр. 299.</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303 Вода и сбросы</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303-1 Работа с водой как с ресурсом совместного пользования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303-3 Водозабор</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303-4 Сброс воды</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304 Биоразнообразие</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lastRenderedPageBreak/>
              <w:t>GRI 304-1 Производственные площадки, находящиеся в собственности, в аренде или под управлением организации и расположенные</w:t>
            </w:r>
          </w:p>
          <w:p w:rsidR="00D602D4" w:rsidRDefault="000B4C86">
            <w:pPr>
              <w:rPr>
                <w:rFonts w:ascii="Times New Roman" w:hAnsi="Times New Roman" w:cs="Times New Roman"/>
              </w:rPr>
            </w:pPr>
            <w:r>
              <w:rPr>
                <w:rFonts w:ascii="Times New Roman" w:eastAsia="Times New Roman" w:hAnsi="Times New Roman" w:cs="Times New Roman"/>
              </w:rPr>
              <w:t>на охраняемых природных территориях</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rPr>
          <w:trHeight w:val="688"/>
        </w:trPr>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304-3 Сохраненные или восстановленные места обитания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305 Выбросы</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305-1 Прямые выбросы парниковых газов (область Охвата 1)</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305-2 Косвенные выбросы парниковых газов (область Охвата 2)</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305-5 Сокращение выбросов парниковых газов</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305-7 Выбросы NOX, SOX и других значимых загрязняющих веществ</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306 Сбросы и отходы</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306-1 Образование отходов и связанные с этим существенные</w:t>
            </w:r>
          </w:p>
          <w:p w:rsidR="00D602D4" w:rsidRDefault="000B4C86">
            <w:pPr>
              <w:rPr>
                <w:rFonts w:ascii="Times New Roman" w:hAnsi="Times New Roman" w:cs="Times New Roman"/>
              </w:rPr>
            </w:pPr>
            <w:r>
              <w:rPr>
                <w:rFonts w:ascii="Times New Roman" w:eastAsia="Times New Roman" w:hAnsi="Times New Roman" w:cs="Times New Roman"/>
              </w:rPr>
              <w:t>воздействия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306-2 Отходы с разбивкой по типам и способам обращения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306-3 Образовавшиеся отходы</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307 Соответствие экологическим требованиям</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307-1 Соблюдение законов по охране окружающей среды</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400 Социальные</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401 Трудоустройство</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401-1 Вновь нанятые работники и текучесть кадров</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4.3. Управление персоналом, стр. 101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401-2 Выплаты и льготы, предоставляемые работникам, работающим на условиях полной занятости, которые не предоставляются</w:t>
            </w:r>
          </w:p>
          <w:p w:rsidR="00D602D4" w:rsidRDefault="000B4C86">
            <w:pPr>
              <w:rPr>
                <w:rFonts w:ascii="Times New Roman" w:hAnsi="Times New Roman" w:cs="Times New Roman"/>
              </w:rPr>
            </w:pPr>
            <w:r>
              <w:rPr>
                <w:rFonts w:ascii="Times New Roman" w:eastAsia="Times New Roman" w:hAnsi="Times New Roman" w:cs="Times New Roman"/>
              </w:rPr>
              <w:t>работникам, работающим на условиях временной или неполной занятости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4.3. Управление персоналом, стр. 101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403 Охрана и безопасность труда</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403-5 Обучение работников, связанное с вопросами охраны труда и безопасности на рабочем месте</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4.4. Охрана труда и промышленная безопасность, стр. 115</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403-6 Профилактика здоровья работников</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4.4. Охрана труда и промышленная безопасность, стр. 115</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403-7 Предотвращение и смягчение последствий для здоровья и безопасности на рабочем месте воздействий, непосредственно связанных с рабочими отношениями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4.4. Охрана труда и промышленная безопасность, стр. 115</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403-9 Производственные травмы</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4.4. Охрана труда и промышленная безопасность, стр. 115</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lastRenderedPageBreak/>
              <w:t>GRI 403-10 Уровень профессиональных заболеваний</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4.4. Охрана труда и промышленная безопасность, стр. 115</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404 Обучение и образование</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404-1 Среднее количество часов обучения на одного сотрудника в год</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4.3. Управление персоналом, стр. 101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404-2 Программы повышения квалификации и программы адаптации при смене должности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4.3. Управление персоналом, стр. 101</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405 Разнообразие и равные возможности</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405-1 Состав руководящих органов и в целом персонала с разбивкой по полу и возрасту</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4.3. Управление персоналом, стр. 101,</w:t>
            </w:r>
          </w:p>
          <w:p w:rsidR="00D602D4" w:rsidRDefault="000B4C86">
            <w:pPr>
              <w:rPr>
                <w:rFonts w:ascii="Times New Roman" w:hAnsi="Times New Roman" w:cs="Times New Roman"/>
              </w:rPr>
            </w:pPr>
            <w:r>
              <w:rPr>
                <w:rFonts w:ascii="Times New Roman" w:eastAsia="Times New Roman" w:hAnsi="Times New Roman" w:cs="Times New Roman"/>
              </w:rPr>
              <w:t>5.4. Отчет Совета директоров Общества, стр. 156,</w:t>
            </w:r>
          </w:p>
          <w:p w:rsidR="00D602D4" w:rsidRDefault="000B4C86">
            <w:pPr>
              <w:rPr>
                <w:rFonts w:ascii="Times New Roman" w:hAnsi="Times New Roman" w:cs="Times New Roman"/>
              </w:rPr>
            </w:pPr>
            <w:r>
              <w:rPr>
                <w:rFonts w:ascii="Times New Roman" w:eastAsia="Times New Roman" w:hAnsi="Times New Roman" w:cs="Times New Roman"/>
              </w:rPr>
              <w:t>5.7. Исполнительные органы управления, стр. 185</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GRI 406 Отсутствие дискриминации на рабочем месте</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GRI 406-1 Случаи дискриминации и предпринятые корректирующие действия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Элементы отраслевого приложения для электроэнергетики</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Стандартные</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EU1 Установленная мощность организации в разбивке по источникам энергии и режиму регулирования</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3.1.1. Материально-техническая база, стр. 42</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EU3 Количество потребителей в разбивке на категории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EU4 Протяженность электрических сетей в разбивке по типам</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3.1.1. Материально-техническая база, стр. 42</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Экономические</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EU8 (ex) НИОКР, проводимые с целью повышения надежности энергоснабжения и устойчивого развития компании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3.1.9. Инновационная деятельность, стр. 80</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EU12 Потери при передаче и распределении в проценте от общего Объема передаваемой энергии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3.1.2. Результаты производственной деятельности, стр. 43</w:t>
            </w:r>
          </w:p>
        </w:tc>
      </w:tr>
      <w:tr w:rsidR="00D602D4">
        <w:tc>
          <w:tcPr>
            <w:tcW w:w="9351" w:type="dxa"/>
            <w:gridSpan w:val="3"/>
          </w:tcPr>
          <w:p w:rsidR="00D602D4" w:rsidRDefault="000B4C86">
            <w:pPr>
              <w:rPr>
                <w:rFonts w:ascii="Times New Roman" w:hAnsi="Times New Roman" w:cs="Times New Roman"/>
                <w:color w:val="FF0000"/>
              </w:rPr>
            </w:pPr>
            <w:r>
              <w:rPr>
                <w:rFonts w:ascii="Times New Roman" w:eastAsia="Times New Roman" w:hAnsi="Times New Roman" w:cs="Times New Roman"/>
                <w:color w:val="FF0000"/>
              </w:rPr>
              <w:t>Социальные</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G4-EN12 Описание значимых воздействий деятельности, продуктов и услуг на биоразнообразие на охраняемых территориях или территориях с высокой ценностью биоразнообразия вне охраняемых территорий</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4.6. Охрана окружающей среды, стр. 121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EU14 (ех) Программы и мероприятия для обеспечения наличия квалифицированной рабочей силы</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4.3. Управление персоналом, стр. 101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EU23 (ех) Программы, в том числе реализуемые в партнерстве с государством, по улучшению и поддержке доступа к электрической энергии и сервисам по работе с потребителями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3.1.7. Взаимодействие с потребителями, стр. 71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EU24 (ех) Практика учета языковых, культурных и связанных с неграмотностью и инвалидностью барьеров к получению и безопасному использованию электрической энергии и сервисов по работе с потребителями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3.1.7. Взаимодействие с потребителями, стр. 71</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 xml:space="preserve">EU25 Количество полученных за отчетный </w:t>
            </w:r>
            <w:r>
              <w:rPr>
                <w:rFonts w:ascii="Times New Roman" w:eastAsia="Times New Roman" w:hAnsi="Times New Roman" w:cs="Times New Roman"/>
              </w:rPr>
              <w:lastRenderedPageBreak/>
              <w:t>период травм при участии активов компании среди лиц, не являющихся сотрудниками компании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 xml:space="preserve">4.4. Охрана труда и </w:t>
            </w:r>
            <w:r>
              <w:rPr>
                <w:rFonts w:ascii="Times New Roman" w:eastAsia="Times New Roman" w:hAnsi="Times New Roman" w:cs="Times New Roman"/>
              </w:rPr>
              <w:lastRenderedPageBreak/>
              <w:t>промышленная безопасность, стр. 115</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lastRenderedPageBreak/>
              <w:t>EU28 Средняя частота прекращений передачи электрической энергии на точку поставки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3.1.2. Результаты производственной деятельности, стр. 43</w:t>
            </w:r>
          </w:p>
        </w:tc>
      </w:tr>
      <w:tr w:rsidR="00D602D4">
        <w:tc>
          <w:tcPr>
            <w:tcW w:w="4819" w:type="dxa"/>
          </w:tcPr>
          <w:p w:rsidR="00D602D4" w:rsidRDefault="000B4C86">
            <w:pPr>
              <w:rPr>
                <w:rFonts w:ascii="Times New Roman" w:hAnsi="Times New Roman" w:cs="Times New Roman"/>
              </w:rPr>
            </w:pPr>
            <w:r>
              <w:rPr>
                <w:rFonts w:ascii="Times New Roman" w:eastAsia="Times New Roman" w:hAnsi="Times New Roman" w:cs="Times New Roman"/>
              </w:rPr>
              <w:t>EU29 Средняя продолжительность прекращения передачи электрической энергии на точку поставки</w:t>
            </w:r>
          </w:p>
        </w:tc>
        <w:tc>
          <w:tcPr>
            <w:tcW w:w="2097" w:type="dxa"/>
          </w:tcPr>
          <w:p w:rsidR="00D602D4" w:rsidRDefault="00D602D4">
            <w:pPr>
              <w:rPr>
                <w:rFonts w:ascii="Times New Roman" w:hAnsi="Times New Roman" w:cs="Times New Roman"/>
              </w:rPr>
            </w:pPr>
          </w:p>
        </w:tc>
        <w:tc>
          <w:tcPr>
            <w:tcW w:w="2435" w:type="dxa"/>
          </w:tcPr>
          <w:p w:rsidR="00D602D4" w:rsidRDefault="000B4C86">
            <w:pPr>
              <w:rPr>
                <w:rFonts w:ascii="Times New Roman" w:hAnsi="Times New Roman" w:cs="Times New Roman"/>
              </w:rPr>
            </w:pPr>
            <w:r>
              <w:rPr>
                <w:rFonts w:ascii="Times New Roman" w:eastAsia="Times New Roman" w:hAnsi="Times New Roman" w:cs="Times New Roman"/>
              </w:rPr>
              <w:t>3.1.2. Результаты производственной деятельности, стр. 43</w:t>
            </w:r>
          </w:p>
        </w:tc>
      </w:tr>
    </w:tbl>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D602D4">
      <w:pPr>
        <w:pStyle w:val="13"/>
        <w:spacing w:before="0" w:line="240" w:lineRule="auto"/>
        <w:rPr>
          <w:rFonts w:ascii="Times New Roman" w:hAnsi="Times New Roman" w:cs="Times New Roman"/>
          <w:b/>
          <w:bCs/>
          <w:color w:val="auto"/>
          <w:sz w:val="26"/>
          <w:szCs w:val="26"/>
        </w:rPr>
      </w:pPr>
    </w:p>
    <w:p w:rsidR="00D602D4" w:rsidRDefault="000B4C86">
      <w:pPr>
        <w:pStyle w:val="13"/>
        <w:spacing w:before="0" w:line="240" w:lineRule="auto"/>
        <w:rPr>
          <w:rFonts w:ascii="Times New Roman" w:hAnsi="Times New Roman" w:cs="Times New Roman"/>
          <w:b/>
          <w:bCs/>
          <w:color w:val="FFFFFF" w:themeColor="background1"/>
          <w:sz w:val="26"/>
          <w:szCs w:val="26"/>
        </w:rPr>
      </w:pPr>
      <w:r>
        <w:rPr>
          <w:rFonts w:ascii="Times New Roman" w:hAnsi="Times New Roman" w:cs="Times New Roman"/>
          <w:b/>
          <w:bCs/>
          <w:color w:val="FFFFFF" w:themeColor="background1"/>
          <w:sz w:val="26"/>
          <w:szCs w:val="26"/>
        </w:rPr>
        <w:t>1</w:t>
      </w:r>
    </w:p>
    <w:p w:rsidR="00D602D4" w:rsidRDefault="00D602D4"/>
    <w:p w:rsidR="00D602D4" w:rsidRDefault="000B4C86">
      <w:pPr>
        <w:pStyle w:val="13"/>
        <w:spacing w:before="0" w:line="240" w:lineRule="auto"/>
        <w:rPr>
          <w:rFonts w:ascii="Times New Roman" w:hAnsi="Times New Roman" w:cs="Times New Roman"/>
          <w:b/>
          <w:bCs/>
          <w:color w:val="auto"/>
          <w:sz w:val="26"/>
          <w:szCs w:val="26"/>
        </w:rPr>
      </w:pPr>
      <w:bookmarkStart w:id="154" w:name="_Toc194"/>
      <w:r>
        <w:rPr>
          <w:rFonts w:ascii="Times New Roman" w:eastAsia="Times New Roman" w:hAnsi="Times New Roman" w:cs="Times New Roman"/>
          <w:b/>
          <w:color w:val="auto"/>
          <w:sz w:val="26"/>
          <w:szCs w:val="26"/>
        </w:rPr>
        <w:t>Приложение 12.  Глоссарий</w:t>
      </w:r>
      <w:bookmarkEnd w:id="154"/>
    </w:p>
    <w:p w:rsidR="00D602D4" w:rsidRDefault="00D602D4"/>
    <w:p w:rsidR="00D602D4" w:rsidRDefault="00D602D4">
      <w:pPr>
        <w:spacing w:after="0" w:line="240" w:lineRule="auto"/>
        <w:ind w:firstLine="708"/>
        <w:jc w:val="both"/>
        <w:rPr>
          <w:rFonts w:ascii="Times New Roman" w:hAnsi="Times New Roman" w:cs="Times New Roman"/>
          <w:sz w:val="24"/>
          <w:szCs w:val="24"/>
        </w:rPr>
      </w:pPr>
    </w:p>
    <w:p w:rsidR="00D602D4" w:rsidRDefault="000B4C86">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целей настоящего Годового отчета используются следующие основные понятия, определения и сокращения.</w:t>
      </w:r>
    </w:p>
    <w:p w:rsidR="00D602D4" w:rsidRDefault="000B4C86">
      <w:pPr>
        <w:spacing w:after="0" w:line="240" w:lineRule="auto"/>
        <w:jc w:val="both"/>
        <w:rPr>
          <w:rFonts w:ascii="Times New Roman" w:hAnsi="Times New Roman" w:cs="Times New Roman"/>
          <w:b/>
          <w:bCs/>
          <w:sz w:val="24"/>
          <w:szCs w:val="24"/>
          <w:lang w:val="en-US"/>
        </w:rPr>
      </w:pPr>
      <w:r>
        <w:rPr>
          <w:rFonts w:ascii="Times New Roman" w:eastAsia="Times New Roman" w:hAnsi="Times New Roman" w:cs="Times New Roman"/>
          <w:b/>
          <w:bCs/>
          <w:sz w:val="24"/>
          <w:szCs w:val="24"/>
        </w:rPr>
        <w:lastRenderedPageBreak/>
        <w:t>АББРЕВИАТУРЫ</w:t>
      </w:r>
      <w:r>
        <w:rPr>
          <w:rFonts w:ascii="Times New Roman" w:eastAsia="Times New Roman" w:hAnsi="Times New Roman" w:cs="Times New Roman"/>
          <w:b/>
          <w:bCs/>
          <w:sz w:val="24"/>
          <w:szCs w:val="24"/>
          <w:lang w:val="en-US"/>
        </w:rPr>
        <w:t xml:space="preserve"> </w:t>
      </w:r>
      <w:r>
        <w:rPr>
          <w:rFonts w:ascii="Times New Roman" w:eastAsia="Times New Roman" w:hAnsi="Times New Roman" w:cs="Times New Roman"/>
          <w:b/>
          <w:bCs/>
          <w:sz w:val="24"/>
          <w:szCs w:val="24"/>
        </w:rPr>
        <w:t>И</w:t>
      </w:r>
      <w:r>
        <w:rPr>
          <w:rFonts w:ascii="Times New Roman" w:eastAsia="Times New Roman" w:hAnsi="Times New Roman" w:cs="Times New Roman"/>
          <w:b/>
          <w:bCs/>
          <w:sz w:val="24"/>
          <w:szCs w:val="24"/>
          <w:lang w:val="en-US"/>
        </w:rPr>
        <w:t xml:space="preserve"> </w:t>
      </w:r>
      <w:r>
        <w:rPr>
          <w:rFonts w:ascii="Times New Roman" w:eastAsia="Times New Roman" w:hAnsi="Times New Roman" w:cs="Times New Roman"/>
          <w:b/>
          <w:bCs/>
          <w:sz w:val="24"/>
          <w:szCs w:val="24"/>
        </w:rPr>
        <w:t>СОКРАЩЕНИЯ</w:t>
      </w:r>
    </w:p>
    <w:p w:rsidR="00D602D4" w:rsidRDefault="000B4C86">
      <w:pPr>
        <w:spacing w:after="0" w:line="240" w:lineRule="auto"/>
        <w:jc w:val="both"/>
        <w:rPr>
          <w:rFonts w:ascii="Times New Roman" w:hAnsi="Times New Roman" w:cs="Times New Roman"/>
          <w:sz w:val="24"/>
          <w:szCs w:val="24"/>
          <w:lang w:val="en-US"/>
        </w:rPr>
      </w:pPr>
      <w:r>
        <w:rPr>
          <w:rFonts w:ascii="Times New Roman" w:eastAsia="Times New Roman" w:hAnsi="Times New Roman" w:cs="Times New Roman"/>
          <w:b/>
          <w:bCs/>
          <w:sz w:val="24"/>
          <w:szCs w:val="24"/>
          <w:lang w:val="en-US"/>
        </w:rPr>
        <w:t xml:space="preserve">EBITDA - </w:t>
      </w:r>
      <w:r>
        <w:rPr>
          <w:rFonts w:ascii="Times New Roman" w:eastAsia="Times New Roman" w:hAnsi="Times New Roman" w:cs="Times New Roman"/>
          <w:sz w:val="24"/>
          <w:szCs w:val="24"/>
          <w:lang w:val="en-US"/>
        </w:rPr>
        <w:t>Earnings before Interest, Taxes, Depreciation and Amortization (</w:t>
      </w:r>
      <w:r>
        <w:rPr>
          <w:rFonts w:ascii="Times New Roman" w:eastAsia="Times New Roman" w:hAnsi="Times New Roman" w:cs="Times New Roman"/>
          <w:sz w:val="24"/>
          <w:szCs w:val="24"/>
        </w:rPr>
        <w:t>прибыль</w:t>
      </w:r>
      <w:r>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до</w:t>
      </w:r>
      <w:r>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вычета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расходов по процентам, уплаты налогов и амортизационных отчислений)</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RAB - </w:t>
      </w:r>
      <w:r>
        <w:rPr>
          <w:rFonts w:ascii="Times New Roman" w:eastAsia="Times New Roman" w:hAnsi="Times New Roman" w:cs="Times New Roman"/>
          <w:sz w:val="24"/>
          <w:szCs w:val="24"/>
        </w:rPr>
        <w:t>Regulatory Asset Base (регулируемая база задействованного капитала),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метод доходности инвестированного капитала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АО - </w:t>
      </w:r>
      <w:r>
        <w:rPr>
          <w:rFonts w:ascii="Times New Roman" w:eastAsia="Times New Roman" w:hAnsi="Times New Roman" w:cs="Times New Roman"/>
          <w:sz w:val="24"/>
          <w:szCs w:val="24"/>
        </w:rPr>
        <w:t>акционерное общество</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ВВП - </w:t>
      </w:r>
      <w:r>
        <w:rPr>
          <w:rFonts w:ascii="Times New Roman" w:eastAsia="Times New Roman" w:hAnsi="Times New Roman" w:cs="Times New Roman"/>
          <w:sz w:val="24"/>
          <w:szCs w:val="24"/>
        </w:rPr>
        <w:t>валовой внутренний продукт</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ВЛ - </w:t>
      </w:r>
      <w:r>
        <w:rPr>
          <w:rFonts w:ascii="Times New Roman" w:eastAsia="Times New Roman" w:hAnsi="Times New Roman" w:cs="Times New Roman"/>
          <w:sz w:val="24"/>
          <w:szCs w:val="24"/>
        </w:rPr>
        <w:t>высоковольтная линия электропередачи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ВЛ - </w:t>
      </w:r>
      <w:r>
        <w:rPr>
          <w:rFonts w:ascii="Times New Roman" w:eastAsia="Times New Roman" w:hAnsi="Times New Roman" w:cs="Times New Roman"/>
          <w:sz w:val="24"/>
          <w:szCs w:val="24"/>
        </w:rPr>
        <w:t>воздушные линии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ВН - </w:t>
      </w:r>
      <w:r>
        <w:rPr>
          <w:rFonts w:ascii="Times New Roman" w:eastAsia="Times New Roman" w:hAnsi="Times New Roman" w:cs="Times New Roman"/>
          <w:sz w:val="24"/>
          <w:szCs w:val="24"/>
        </w:rPr>
        <w:t>высокое напряжение</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ВУЗ - </w:t>
      </w:r>
      <w:r>
        <w:rPr>
          <w:rFonts w:ascii="Times New Roman" w:eastAsia="Times New Roman" w:hAnsi="Times New Roman" w:cs="Times New Roman"/>
          <w:sz w:val="24"/>
          <w:szCs w:val="24"/>
        </w:rPr>
        <w:t>высшее учебное заведение</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г.  – </w:t>
      </w:r>
      <w:r>
        <w:rPr>
          <w:rFonts w:ascii="Times New Roman" w:eastAsia="Times New Roman" w:hAnsi="Times New Roman" w:cs="Times New Roman"/>
          <w:sz w:val="24"/>
          <w:szCs w:val="24"/>
        </w:rPr>
        <w:t>город</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ГАЭС - </w:t>
      </w:r>
      <w:r>
        <w:rPr>
          <w:rFonts w:ascii="Times New Roman" w:eastAsia="Times New Roman" w:hAnsi="Times New Roman" w:cs="Times New Roman"/>
          <w:sz w:val="24"/>
          <w:szCs w:val="24"/>
        </w:rPr>
        <w:t>гидроаккумулирующая электростанция/</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ГП - </w:t>
      </w:r>
      <w:r>
        <w:rPr>
          <w:rFonts w:ascii="Times New Roman" w:eastAsia="Times New Roman" w:hAnsi="Times New Roman" w:cs="Times New Roman"/>
          <w:sz w:val="24"/>
          <w:szCs w:val="24"/>
        </w:rPr>
        <w:t>гарантирующий поставщик</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ГЭС - </w:t>
      </w:r>
      <w:r>
        <w:rPr>
          <w:rFonts w:ascii="Times New Roman" w:eastAsia="Times New Roman" w:hAnsi="Times New Roman" w:cs="Times New Roman"/>
          <w:sz w:val="24"/>
          <w:szCs w:val="24"/>
        </w:rPr>
        <w:t>гидроэлектростанция / городские электрические сети (в зависимости от контекста)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ДО - </w:t>
      </w:r>
      <w:r>
        <w:rPr>
          <w:rFonts w:ascii="Times New Roman" w:eastAsia="Times New Roman" w:hAnsi="Times New Roman" w:cs="Times New Roman"/>
          <w:sz w:val="24"/>
          <w:szCs w:val="24"/>
        </w:rPr>
        <w:t>дочернее общество</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Ед. - </w:t>
      </w:r>
      <w:r>
        <w:rPr>
          <w:rFonts w:ascii="Times New Roman" w:eastAsia="Times New Roman" w:hAnsi="Times New Roman" w:cs="Times New Roman"/>
          <w:sz w:val="24"/>
          <w:szCs w:val="24"/>
        </w:rPr>
        <w:t>единица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ЕЭС России - </w:t>
      </w:r>
      <w:r>
        <w:rPr>
          <w:rFonts w:ascii="Times New Roman" w:eastAsia="Times New Roman" w:hAnsi="Times New Roman" w:cs="Times New Roman"/>
          <w:sz w:val="24"/>
          <w:szCs w:val="24"/>
        </w:rPr>
        <w:t>единая энергетическая система России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ЖКХ - </w:t>
      </w:r>
      <w:r>
        <w:rPr>
          <w:rFonts w:ascii="Times New Roman" w:eastAsia="Times New Roman" w:hAnsi="Times New Roman" w:cs="Times New Roman"/>
          <w:sz w:val="24"/>
          <w:szCs w:val="24"/>
        </w:rPr>
        <w:t>жилищно-коммунальное хозяйство</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ЗАО - </w:t>
      </w:r>
      <w:r>
        <w:rPr>
          <w:rFonts w:ascii="Times New Roman" w:eastAsia="Times New Roman" w:hAnsi="Times New Roman" w:cs="Times New Roman"/>
          <w:sz w:val="24"/>
          <w:szCs w:val="24"/>
        </w:rPr>
        <w:t>закрытое акционерное общество</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Им. - </w:t>
      </w:r>
      <w:r>
        <w:rPr>
          <w:rFonts w:ascii="Times New Roman" w:eastAsia="Times New Roman" w:hAnsi="Times New Roman" w:cs="Times New Roman"/>
          <w:sz w:val="24"/>
          <w:szCs w:val="24"/>
        </w:rPr>
        <w:t>имени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ИНН - </w:t>
      </w:r>
      <w:r>
        <w:rPr>
          <w:rFonts w:ascii="Times New Roman" w:eastAsia="Times New Roman" w:hAnsi="Times New Roman" w:cs="Times New Roman"/>
          <w:sz w:val="24"/>
          <w:szCs w:val="24"/>
        </w:rPr>
        <w:t>идентификационный номер налогоплательщика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ИТТ - </w:t>
      </w:r>
      <w:r>
        <w:rPr>
          <w:rFonts w:ascii="Times New Roman" w:eastAsia="Times New Roman" w:hAnsi="Times New Roman" w:cs="Times New Roman"/>
          <w:sz w:val="24"/>
          <w:szCs w:val="24"/>
        </w:rPr>
        <w:t>информационные технологии, автоматизация и телекоммуникации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КЛ - </w:t>
      </w:r>
      <w:r>
        <w:rPr>
          <w:rFonts w:ascii="Times New Roman" w:eastAsia="Times New Roman" w:hAnsi="Times New Roman" w:cs="Times New Roman"/>
          <w:sz w:val="24"/>
          <w:szCs w:val="24"/>
        </w:rPr>
        <w:t>кабельные линии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км - </w:t>
      </w:r>
      <w:r>
        <w:rPr>
          <w:rFonts w:ascii="Times New Roman" w:eastAsia="Times New Roman" w:hAnsi="Times New Roman" w:cs="Times New Roman"/>
          <w:sz w:val="24"/>
          <w:szCs w:val="24"/>
        </w:rPr>
        <w:t>километр</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коп. - </w:t>
      </w:r>
      <w:r>
        <w:rPr>
          <w:rFonts w:ascii="Times New Roman" w:eastAsia="Times New Roman" w:hAnsi="Times New Roman" w:cs="Times New Roman"/>
          <w:sz w:val="24"/>
          <w:szCs w:val="24"/>
        </w:rPr>
        <w:t>копейка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КПЭ - </w:t>
      </w:r>
      <w:r>
        <w:rPr>
          <w:rFonts w:ascii="Times New Roman" w:eastAsia="Times New Roman" w:hAnsi="Times New Roman" w:cs="Times New Roman"/>
          <w:sz w:val="24"/>
          <w:szCs w:val="24"/>
        </w:rPr>
        <w:t>ключевые показатели эффективности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КСПД - </w:t>
      </w:r>
      <w:r>
        <w:rPr>
          <w:rFonts w:ascii="Times New Roman" w:eastAsia="Times New Roman" w:hAnsi="Times New Roman" w:cs="Times New Roman"/>
          <w:sz w:val="24"/>
          <w:szCs w:val="24"/>
        </w:rPr>
        <w:t>корпоративная сеть передачи данных</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МВД России - </w:t>
      </w:r>
      <w:r>
        <w:rPr>
          <w:rFonts w:ascii="Times New Roman" w:eastAsia="Times New Roman" w:hAnsi="Times New Roman" w:cs="Times New Roman"/>
          <w:sz w:val="24"/>
          <w:szCs w:val="24"/>
        </w:rPr>
        <w:t>Министерство внутренних дел Российской Федерации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млн - </w:t>
      </w:r>
      <w:r>
        <w:rPr>
          <w:rFonts w:ascii="Times New Roman" w:eastAsia="Times New Roman" w:hAnsi="Times New Roman" w:cs="Times New Roman"/>
          <w:sz w:val="24"/>
          <w:szCs w:val="24"/>
        </w:rPr>
        <w:t>миллион</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млрд - </w:t>
      </w:r>
      <w:r>
        <w:rPr>
          <w:rFonts w:ascii="Times New Roman" w:eastAsia="Times New Roman" w:hAnsi="Times New Roman" w:cs="Times New Roman"/>
          <w:sz w:val="24"/>
          <w:szCs w:val="24"/>
        </w:rPr>
        <w:t>миллиард</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ММВБ - </w:t>
      </w:r>
      <w:r>
        <w:rPr>
          <w:rFonts w:ascii="Times New Roman" w:eastAsia="Times New Roman" w:hAnsi="Times New Roman" w:cs="Times New Roman"/>
          <w:sz w:val="24"/>
          <w:szCs w:val="24"/>
        </w:rPr>
        <w:t>ПАО Московская Биржа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МРСК - </w:t>
      </w:r>
      <w:r>
        <w:rPr>
          <w:rFonts w:ascii="Times New Roman" w:eastAsia="Times New Roman" w:hAnsi="Times New Roman" w:cs="Times New Roman"/>
          <w:sz w:val="24"/>
          <w:szCs w:val="24"/>
        </w:rPr>
        <w:t>межрегиональная распределительная сетевая компания</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МСП - </w:t>
      </w:r>
      <w:r>
        <w:rPr>
          <w:rFonts w:ascii="Times New Roman" w:eastAsia="Times New Roman" w:hAnsi="Times New Roman" w:cs="Times New Roman"/>
          <w:sz w:val="24"/>
          <w:szCs w:val="24"/>
        </w:rPr>
        <w:t>малый и средний бизнес</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МСФО - </w:t>
      </w:r>
      <w:r>
        <w:rPr>
          <w:rFonts w:ascii="Times New Roman" w:eastAsia="Times New Roman" w:hAnsi="Times New Roman" w:cs="Times New Roman"/>
          <w:sz w:val="24"/>
          <w:szCs w:val="24"/>
        </w:rPr>
        <w:t>международные стандарты финансовой отчетности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МУП - </w:t>
      </w:r>
      <w:r>
        <w:rPr>
          <w:rFonts w:ascii="Times New Roman" w:eastAsia="Times New Roman" w:hAnsi="Times New Roman" w:cs="Times New Roman"/>
          <w:sz w:val="24"/>
          <w:szCs w:val="24"/>
        </w:rPr>
        <w:t>муниципальное унитарное предприятие</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НВВ - </w:t>
      </w:r>
      <w:r>
        <w:rPr>
          <w:rFonts w:ascii="Times New Roman" w:eastAsia="Times New Roman" w:hAnsi="Times New Roman" w:cs="Times New Roman"/>
          <w:sz w:val="24"/>
          <w:szCs w:val="24"/>
        </w:rPr>
        <w:t>необходимая валовая выручка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НДС - </w:t>
      </w:r>
      <w:r>
        <w:rPr>
          <w:rFonts w:ascii="Times New Roman" w:eastAsia="Times New Roman" w:hAnsi="Times New Roman" w:cs="Times New Roman"/>
          <w:sz w:val="24"/>
          <w:szCs w:val="24"/>
        </w:rPr>
        <w:t>налог на добавленную стоимость</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НИОКР - </w:t>
      </w:r>
      <w:r>
        <w:rPr>
          <w:rFonts w:ascii="Times New Roman" w:eastAsia="Times New Roman" w:hAnsi="Times New Roman" w:cs="Times New Roman"/>
          <w:sz w:val="24"/>
          <w:szCs w:val="24"/>
        </w:rPr>
        <w:t>научно-исследовательские и конструкторские работы</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НП - </w:t>
      </w:r>
      <w:r>
        <w:rPr>
          <w:rFonts w:ascii="Times New Roman" w:eastAsia="Times New Roman" w:hAnsi="Times New Roman" w:cs="Times New Roman"/>
          <w:sz w:val="24"/>
          <w:szCs w:val="24"/>
        </w:rPr>
        <w:t>некоммерческое партнерство</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НС - </w:t>
      </w:r>
      <w:r>
        <w:rPr>
          <w:rFonts w:ascii="Times New Roman" w:eastAsia="Times New Roman" w:hAnsi="Times New Roman" w:cs="Times New Roman"/>
          <w:sz w:val="24"/>
          <w:szCs w:val="24"/>
        </w:rPr>
        <w:t>новое строительство</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ОАО - </w:t>
      </w:r>
      <w:r>
        <w:rPr>
          <w:rFonts w:ascii="Times New Roman" w:eastAsia="Times New Roman" w:hAnsi="Times New Roman" w:cs="Times New Roman"/>
          <w:sz w:val="24"/>
          <w:szCs w:val="24"/>
        </w:rPr>
        <w:t>открытое акционерное общество</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ООО - </w:t>
      </w:r>
      <w:r>
        <w:rPr>
          <w:rFonts w:ascii="Times New Roman" w:eastAsia="Times New Roman" w:hAnsi="Times New Roman" w:cs="Times New Roman"/>
          <w:sz w:val="24"/>
          <w:szCs w:val="24"/>
        </w:rPr>
        <w:t>общество с ограниченной ответственностью</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ОРЭМ - </w:t>
      </w:r>
      <w:r>
        <w:rPr>
          <w:rFonts w:ascii="Times New Roman" w:eastAsia="Times New Roman" w:hAnsi="Times New Roman" w:cs="Times New Roman"/>
          <w:sz w:val="24"/>
          <w:szCs w:val="24"/>
        </w:rPr>
        <w:t>оптовый рынок электроэнергии и мощности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ПАО - </w:t>
      </w:r>
      <w:r>
        <w:rPr>
          <w:rFonts w:ascii="Times New Roman" w:eastAsia="Times New Roman" w:hAnsi="Times New Roman" w:cs="Times New Roman"/>
          <w:sz w:val="24"/>
          <w:szCs w:val="24"/>
        </w:rPr>
        <w:t>публичное акционерное общество</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ПГС - </w:t>
      </w:r>
      <w:r>
        <w:rPr>
          <w:rFonts w:ascii="Times New Roman" w:eastAsia="Times New Roman" w:hAnsi="Times New Roman" w:cs="Times New Roman"/>
          <w:sz w:val="24"/>
          <w:szCs w:val="24"/>
        </w:rPr>
        <w:t>промышленное гражданское строительство</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ПРП - </w:t>
      </w:r>
      <w:r>
        <w:rPr>
          <w:rFonts w:ascii="Times New Roman" w:eastAsia="Times New Roman" w:hAnsi="Times New Roman" w:cs="Times New Roman"/>
          <w:sz w:val="24"/>
          <w:szCs w:val="24"/>
        </w:rPr>
        <w:t>пункт работы с потребителями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п.п. - </w:t>
      </w:r>
      <w:r>
        <w:rPr>
          <w:rFonts w:ascii="Times New Roman" w:eastAsia="Times New Roman" w:hAnsi="Times New Roman" w:cs="Times New Roman"/>
          <w:sz w:val="24"/>
          <w:szCs w:val="24"/>
        </w:rPr>
        <w:t>процентный пункт</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ПС - </w:t>
      </w:r>
      <w:r>
        <w:rPr>
          <w:rFonts w:ascii="Times New Roman" w:eastAsia="Times New Roman" w:hAnsi="Times New Roman" w:cs="Times New Roman"/>
          <w:sz w:val="24"/>
          <w:szCs w:val="24"/>
        </w:rPr>
        <w:t>подстанция</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РСБУ - </w:t>
      </w:r>
      <w:r>
        <w:rPr>
          <w:rFonts w:ascii="Times New Roman" w:eastAsia="Times New Roman" w:hAnsi="Times New Roman" w:cs="Times New Roman"/>
          <w:sz w:val="24"/>
          <w:szCs w:val="24"/>
        </w:rPr>
        <w:t>российские стандарты бухгалтерского учета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РСТ - </w:t>
      </w:r>
      <w:r>
        <w:rPr>
          <w:rFonts w:ascii="Times New Roman" w:eastAsia="Times New Roman" w:hAnsi="Times New Roman" w:cs="Times New Roman"/>
          <w:sz w:val="24"/>
          <w:szCs w:val="24"/>
        </w:rPr>
        <w:t>Региональная служба по тарифам</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руб. - </w:t>
      </w:r>
      <w:r>
        <w:rPr>
          <w:rFonts w:ascii="Times New Roman" w:eastAsia="Times New Roman" w:hAnsi="Times New Roman" w:cs="Times New Roman"/>
          <w:sz w:val="24"/>
          <w:szCs w:val="24"/>
        </w:rPr>
        <w:t>рубль</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РФ - </w:t>
      </w:r>
      <w:r>
        <w:rPr>
          <w:rFonts w:ascii="Times New Roman" w:eastAsia="Times New Roman" w:hAnsi="Times New Roman" w:cs="Times New Roman"/>
          <w:sz w:val="24"/>
          <w:szCs w:val="24"/>
        </w:rPr>
        <w:t>Российская Федерация</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lastRenderedPageBreak/>
        <w:t xml:space="preserve">РЭС - </w:t>
      </w:r>
      <w:r>
        <w:rPr>
          <w:rFonts w:ascii="Times New Roman" w:eastAsia="Times New Roman" w:hAnsi="Times New Roman" w:cs="Times New Roman"/>
          <w:sz w:val="24"/>
          <w:szCs w:val="24"/>
        </w:rPr>
        <w:t>районные электрические сети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СВК - </w:t>
      </w:r>
      <w:r>
        <w:rPr>
          <w:rFonts w:ascii="Times New Roman" w:eastAsia="Times New Roman" w:hAnsi="Times New Roman" w:cs="Times New Roman"/>
          <w:sz w:val="24"/>
          <w:szCs w:val="24"/>
        </w:rPr>
        <w:t>система внутреннего контроля</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СМИ - </w:t>
      </w:r>
      <w:r>
        <w:rPr>
          <w:rFonts w:ascii="Times New Roman" w:eastAsia="Times New Roman" w:hAnsi="Times New Roman" w:cs="Times New Roman"/>
          <w:sz w:val="24"/>
          <w:szCs w:val="24"/>
        </w:rPr>
        <w:t>средства массовой информации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Стр. – </w:t>
      </w:r>
      <w:r>
        <w:rPr>
          <w:rFonts w:ascii="Times New Roman" w:eastAsia="Times New Roman" w:hAnsi="Times New Roman" w:cs="Times New Roman"/>
          <w:sz w:val="24"/>
          <w:szCs w:val="24"/>
        </w:rPr>
        <w:t>строка/ страница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СУР - </w:t>
      </w:r>
      <w:r>
        <w:rPr>
          <w:rFonts w:ascii="Times New Roman" w:eastAsia="Times New Roman" w:hAnsi="Times New Roman" w:cs="Times New Roman"/>
          <w:sz w:val="24"/>
          <w:szCs w:val="24"/>
        </w:rPr>
        <w:t>система управления рисками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ТВ - </w:t>
      </w:r>
      <w:r>
        <w:rPr>
          <w:rFonts w:ascii="Times New Roman" w:eastAsia="Times New Roman" w:hAnsi="Times New Roman" w:cs="Times New Roman"/>
          <w:sz w:val="24"/>
          <w:szCs w:val="24"/>
        </w:rPr>
        <w:t>телевизионный / телевидение</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ТП  - </w:t>
      </w:r>
      <w:r>
        <w:rPr>
          <w:rFonts w:ascii="Times New Roman" w:eastAsia="Times New Roman" w:hAnsi="Times New Roman" w:cs="Times New Roman"/>
          <w:sz w:val="24"/>
          <w:szCs w:val="24"/>
        </w:rPr>
        <w:t>трансформаторная подстанция / технологическое присоединение (в зависимости от</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контекста)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ТСО - </w:t>
      </w:r>
      <w:r>
        <w:rPr>
          <w:rFonts w:ascii="Times New Roman" w:eastAsia="Times New Roman" w:hAnsi="Times New Roman" w:cs="Times New Roman"/>
          <w:sz w:val="24"/>
          <w:szCs w:val="24"/>
        </w:rPr>
        <w:t>территориальная сетевая организация</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в т.ч.  - </w:t>
      </w:r>
      <w:r>
        <w:rPr>
          <w:rFonts w:ascii="Times New Roman" w:eastAsia="Times New Roman" w:hAnsi="Times New Roman" w:cs="Times New Roman"/>
          <w:sz w:val="24"/>
          <w:szCs w:val="24"/>
        </w:rPr>
        <w:t>в том числе</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тыс. - </w:t>
      </w:r>
      <w:r>
        <w:rPr>
          <w:rFonts w:ascii="Times New Roman" w:eastAsia="Times New Roman" w:hAnsi="Times New Roman" w:cs="Times New Roman"/>
          <w:sz w:val="24"/>
          <w:szCs w:val="24"/>
        </w:rPr>
        <w:t>тысяча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Ф. - </w:t>
      </w:r>
      <w:r>
        <w:rPr>
          <w:rFonts w:ascii="Times New Roman" w:eastAsia="Times New Roman" w:hAnsi="Times New Roman" w:cs="Times New Roman"/>
          <w:sz w:val="24"/>
          <w:szCs w:val="24"/>
        </w:rPr>
        <w:t>форма бухгалтерской отчетности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ФКЦБ России - </w:t>
      </w:r>
      <w:r>
        <w:rPr>
          <w:rFonts w:ascii="Times New Roman" w:eastAsia="Times New Roman" w:hAnsi="Times New Roman" w:cs="Times New Roman"/>
          <w:sz w:val="24"/>
          <w:szCs w:val="24"/>
        </w:rPr>
        <w:t>Федеральная комиссия по рынку ценных бумаг</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шт. - </w:t>
      </w:r>
      <w:r>
        <w:rPr>
          <w:rFonts w:ascii="Times New Roman" w:eastAsia="Times New Roman" w:hAnsi="Times New Roman" w:cs="Times New Roman"/>
          <w:sz w:val="24"/>
          <w:szCs w:val="24"/>
        </w:rPr>
        <w:t>штука</w:t>
      </w:r>
    </w:p>
    <w:p w:rsidR="00D602D4" w:rsidRDefault="000B4C86">
      <w:pPr>
        <w:spacing w:after="0" w:line="240" w:lineRule="auto"/>
        <w:jc w:val="both"/>
        <w:rPr>
          <w:rFonts w:ascii="Times New Roman" w:hAnsi="Times New Roman" w:cs="Times New Roman"/>
          <w:b/>
          <w:bCs/>
          <w:sz w:val="24"/>
          <w:szCs w:val="24"/>
        </w:rPr>
      </w:pPr>
      <w:r>
        <w:rPr>
          <w:rFonts w:ascii="Times New Roman" w:eastAsia="Times New Roman" w:hAnsi="Times New Roman" w:cs="Times New Roman"/>
          <w:b/>
          <w:bCs/>
          <w:sz w:val="24"/>
          <w:szCs w:val="24"/>
        </w:rPr>
        <w:t>ЕДИНИЦЫ ИЗМЕРЕНИЯ</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Ампер (А) - </w:t>
      </w:r>
      <w:r>
        <w:rPr>
          <w:rFonts w:ascii="Times New Roman" w:eastAsia="Times New Roman" w:hAnsi="Times New Roman" w:cs="Times New Roman"/>
          <w:sz w:val="24"/>
          <w:szCs w:val="24"/>
        </w:rPr>
        <w:t>единица измерения силы электрического тока в международной системе единиц (СИ)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Ватт (Вт) - </w:t>
      </w:r>
      <w:r>
        <w:rPr>
          <w:rFonts w:ascii="Times New Roman" w:eastAsia="Times New Roman" w:hAnsi="Times New Roman" w:cs="Times New Roman"/>
          <w:sz w:val="24"/>
          <w:szCs w:val="24"/>
        </w:rPr>
        <w:t>единица измерения электрической мощности в международной системе единиц (СИ)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Ватт-час (Вт·ч) - </w:t>
      </w:r>
      <w:r>
        <w:rPr>
          <w:rFonts w:ascii="Times New Roman" w:eastAsia="Times New Roman" w:hAnsi="Times New Roman" w:cs="Times New Roman"/>
          <w:sz w:val="24"/>
          <w:szCs w:val="24"/>
        </w:rPr>
        <w:t>внесистемная единица измерения работы или количества произведенной энергии.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Используется преимущественно для измерения потребления электроэнергии в быту, народном хозяйстве и для измерения выработки электроэнергии в электроэнергетике</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Вольт (В) - </w:t>
      </w:r>
      <w:r>
        <w:rPr>
          <w:rFonts w:ascii="Times New Roman" w:eastAsia="Times New Roman" w:hAnsi="Times New Roman" w:cs="Times New Roman"/>
          <w:sz w:val="24"/>
          <w:szCs w:val="24"/>
        </w:rPr>
        <w:t>единица измерения электрического напряжения в международной системе единиц (СИ).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Равен электрическому напряжению, вызывающему в электрической цепи постоянный ток силой 1 Ампер при мощности 1 Ватт</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Вольт-ампер (ВА) - </w:t>
      </w:r>
      <w:r>
        <w:rPr>
          <w:rFonts w:ascii="Times New Roman" w:eastAsia="Times New Roman" w:hAnsi="Times New Roman" w:cs="Times New Roman"/>
          <w:sz w:val="24"/>
          <w:szCs w:val="24"/>
        </w:rPr>
        <w:t>внесистемная единица измерения полной мощности электрического тока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Литр (л) - </w:t>
      </w:r>
      <w:r>
        <w:rPr>
          <w:rFonts w:ascii="Times New Roman" w:eastAsia="Times New Roman" w:hAnsi="Times New Roman" w:cs="Times New Roman"/>
          <w:sz w:val="24"/>
          <w:szCs w:val="24"/>
        </w:rPr>
        <w:t>метрическая единица измерения объема</w:t>
      </w:r>
    </w:p>
    <w:p w:rsidR="00D602D4" w:rsidRDefault="00D602D4">
      <w:pPr>
        <w:spacing w:after="0" w:line="240" w:lineRule="auto"/>
        <w:jc w:val="both"/>
        <w:rPr>
          <w:rFonts w:ascii="Times New Roman" w:hAnsi="Times New Roman" w:cs="Times New Roman"/>
          <w:b/>
          <w:bCs/>
          <w:sz w:val="24"/>
          <w:szCs w:val="24"/>
        </w:rPr>
      </w:pPr>
    </w:p>
    <w:p w:rsidR="00D602D4" w:rsidRDefault="000B4C86">
      <w:pPr>
        <w:spacing w:after="0" w:line="240" w:lineRule="auto"/>
        <w:jc w:val="both"/>
        <w:rPr>
          <w:rFonts w:ascii="Times New Roman" w:hAnsi="Times New Roman" w:cs="Times New Roman"/>
          <w:b/>
          <w:bCs/>
          <w:sz w:val="24"/>
          <w:szCs w:val="24"/>
        </w:rPr>
      </w:pPr>
      <w:r>
        <w:rPr>
          <w:rFonts w:ascii="Times New Roman" w:eastAsia="Times New Roman" w:hAnsi="Times New Roman" w:cs="Times New Roman"/>
          <w:b/>
          <w:bCs/>
          <w:sz w:val="24"/>
          <w:szCs w:val="24"/>
        </w:rPr>
        <w:t>ТЕРМИНЫ</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lang w:val="en-US"/>
        </w:rPr>
        <w:t>Earnings</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lang w:val="en-US"/>
        </w:rPr>
        <w:t>before</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lang w:val="en-US"/>
        </w:rPr>
        <w:t>Interest</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lang w:val="en-US"/>
        </w:rPr>
        <w:t>Taxes</w:t>
      </w:r>
      <w:r>
        <w:rPr>
          <w:rFonts w:ascii="Times New Roman" w:eastAsia="Times New Roman" w:hAnsi="Times New Roman" w:cs="Times New Roman"/>
          <w:b/>
          <w:bCs/>
          <w:sz w:val="24"/>
          <w:szCs w:val="24"/>
        </w:rPr>
        <w:t xml:space="preserve">, Depreciation and Amortization (EBITDA) - </w:t>
      </w:r>
      <w:r>
        <w:rPr>
          <w:rFonts w:ascii="Times New Roman" w:eastAsia="Times New Roman" w:hAnsi="Times New Roman" w:cs="Times New Roman"/>
          <w:sz w:val="24"/>
          <w:szCs w:val="24"/>
        </w:rPr>
        <w:t>аналитический показатель, равный объему прибыли до вычета расходов по процентам,</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уплаты налогов и амортизационных отчислений</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Валовой внутренний продукт (ВВП) - </w:t>
      </w:r>
      <w:r>
        <w:rPr>
          <w:rFonts w:ascii="Times New Roman" w:eastAsia="Times New Roman" w:hAnsi="Times New Roman" w:cs="Times New Roman"/>
          <w:sz w:val="24"/>
          <w:szCs w:val="24"/>
        </w:rPr>
        <w:t>рыночная стоимость всех конечных товаров и услуг (то есть предназначенных для непосредственного употребления), произведенных за год во всех отраслях экономики на территории государства для потребления, экспорта и накопления, вне зависимости от национальной принадлежности использованных факторов производства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Дивидендная политика </w:t>
      </w:r>
      <w:r>
        <w:rPr>
          <w:rFonts w:ascii="Times New Roman" w:eastAsia="Times New Roman" w:hAnsi="Times New Roman" w:cs="Times New Roman"/>
          <w:sz w:val="24"/>
          <w:szCs w:val="24"/>
        </w:rPr>
        <w:t>совокупность принципов и методов по определению пропорций между капитализируемой частью прибыли компании и частью прибыли компании, выплачиваемой в виде дивидендов, а также система отношений и принципов по определению порядка и сроков выплаты дивидендов, по установлению ответственности компании за неисполнение обязанности по выплате дивидендов</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Дочернее общество (ДО) - </w:t>
      </w:r>
      <w:r>
        <w:rPr>
          <w:rFonts w:ascii="Times New Roman" w:eastAsia="Times New Roman" w:hAnsi="Times New Roman" w:cs="Times New Roman"/>
          <w:sz w:val="24"/>
          <w:szCs w:val="24"/>
        </w:rPr>
        <w:t>хозяйственное общество, в котором другое общество владеет более 20% голосующих акций</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Единая национальная (обще-российская) электрическая сеть - </w:t>
      </w:r>
      <w:r>
        <w:rPr>
          <w:rFonts w:ascii="Times New Roman" w:eastAsia="Times New Roman" w:hAnsi="Times New Roman" w:cs="Times New Roman"/>
          <w:sz w:val="24"/>
          <w:szCs w:val="24"/>
        </w:rPr>
        <w:t>комплекс электрических сетей и иных объектов электросетевого хозяйства, принадлежащих на праве собственности или на ином предусмотренном федеральными законами основании субъектам электроэнергетики и обеспечивающих устойчивое снабжение электрической энергией потребителей, функционирование оптового рынка, а также параллельную работу российской электроэнергетической системы и электроэнергетических систем иностранных государств</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Единая энергетическая система России (ЕЭС России) - </w:t>
      </w:r>
      <w:r>
        <w:rPr>
          <w:rFonts w:ascii="Times New Roman" w:eastAsia="Times New Roman" w:hAnsi="Times New Roman" w:cs="Times New Roman"/>
          <w:sz w:val="24"/>
          <w:szCs w:val="24"/>
        </w:rPr>
        <w:t xml:space="preserve">совокупность производственных и иных имущественных объектов электроэнергетики, связанных единым процессом </w:t>
      </w:r>
      <w:r>
        <w:rPr>
          <w:rFonts w:ascii="Times New Roman" w:eastAsia="Times New Roman" w:hAnsi="Times New Roman" w:cs="Times New Roman"/>
          <w:sz w:val="24"/>
          <w:szCs w:val="24"/>
        </w:rPr>
        <w:lastRenderedPageBreak/>
        <w:t>производства (в том числе производства в режиме комбинированной выработки электрической и тепловой энергии) и передачи электрической энергии в условиях централизованного оперативно-диспетчерского управления в электроэнергетике</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Единоличный исполнительный орган - </w:t>
      </w:r>
      <w:r>
        <w:rPr>
          <w:rFonts w:ascii="Times New Roman" w:eastAsia="Times New Roman" w:hAnsi="Times New Roman" w:cs="Times New Roman"/>
          <w:sz w:val="24"/>
          <w:szCs w:val="24"/>
        </w:rPr>
        <w:t>должностное лицо, действующее от имени общества на основании устава общества и обладающее правом осуществлять правоспособность этого общества по всем вопросам, не отнесенным к компетенции других органов общества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Инвестиционное сообщество </w:t>
      </w:r>
      <w:r>
        <w:rPr>
          <w:rFonts w:ascii="Times New Roman" w:eastAsia="Times New Roman" w:hAnsi="Times New Roman" w:cs="Times New Roman"/>
          <w:sz w:val="24"/>
          <w:szCs w:val="24"/>
        </w:rPr>
        <w:t>инвесторы, инвестиционные фонды, рейтинговые агентства, фондовые биржи, инвестиционные банки, инвестиционные аналитики и эксперты</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Межрегиональная распределительная сетевая компания (МРСК) - </w:t>
      </w:r>
      <w:r>
        <w:rPr>
          <w:rFonts w:ascii="Times New Roman" w:eastAsia="Times New Roman" w:hAnsi="Times New Roman" w:cs="Times New Roman"/>
          <w:sz w:val="24"/>
          <w:szCs w:val="24"/>
        </w:rPr>
        <w:t>открытые акционерные общества, созданные при проведении реструктуризации электроэнергетической отрасли, формируемые в качестве операционных (либо операционно-холдинговых) компаний в рамках реорганизации МРСК и РСК в форме присоединения</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Метод доходности инвестированного капитала (RAB, Regulatory Asset Base – регулируемая база задействованного капитала) - </w:t>
      </w:r>
      <w:r>
        <w:rPr>
          <w:rFonts w:ascii="Times New Roman" w:eastAsia="Times New Roman" w:hAnsi="Times New Roman" w:cs="Times New Roman"/>
          <w:sz w:val="24"/>
          <w:szCs w:val="24"/>
        </w:rPr>
        <w:t>система тарифообразования на основе долгосрочного регулирования тарифов, нацеленная на привлечение масштабных инвестиций в строительство и модернизацию сетевой инфраструктуры и стимулирование эффективности расходов сетевых организаций. Основным принципом методологии является обеспечение возврата вложенных в активы компании средств за установленный период, соответствующий сроку службы активов и получение справедливого уровня доходности на привлеченный капитал.</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При этом заемные средства возмещаются не за один год, а в течение 20 и более лет.</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Тарифы устанавливаются на период от трех до пяти лет, что обеспечивает стабильность и прогнозируемость ситуации для инвесторов, снижает их риски. Потребители, в свою очередь, получают гарантии качества предоставляемых услуг, возможность прогнозирования затрат на электроэнергию и, в конечном счете, вероятность снижения цен</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Необходимая валовая выручка (НВВ) - </w:t>
      </w:r>
      <w:r>
        <w:rPr>
          <w:rFonts w:ascii="Times New Roman" w:eastAsia="Times New Roman" w:hAnsi="Times New Roman" w:cs="Times New Roman"/>
          <w:sz w:val="24"/>
          <w:szCs w:val="24"/>
        </w:rPr>
        <w:t>экономически обоснованный объем финансовых средств, необходимых организации для осуществления регулируемой деятельности в течение расчетного периода регулирования</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Распределительные сетевые компании - </w:t>
      </w:r>
      <w:r>
        <w:rPr>
          <w:rFonts w:ascii="Times New Roman" w:eastAsia="Times New Roman" w:hAnsi="Times New Roman" w:cs="Times New Roman"/>
          <w:sz w:val="24"/>
          <w:szCs w:val="24"/>
        </w:rPr>
        <w:t>открытые акционерные общества, формируемые в результате разделения АО-энерго по видам деятельности на базе объектов электросетевого хозяйства, не относящихся к единой национальной (общероссийской) электрической сети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Регистратор - </w:t>
      </w:r>
      <w:r>
        <w:rPr>
          <w:rFonts w:ascii="Times New Roman" w:eastAsia="Times New Roman" w:hAnsi="Times New Roman" w:cs="Times New Roman"/>
          <w:sz w:val="24"/>
          <w:szCs w:val="24"/>
        </w:rPr>
        <w:t>юридическое лицо, являющееся профессиональным участником рынка ценных бумаг, оказывающее акционерному обществу услуги по ведению реестра акционеров, регистрации перехода прав собственности на акции, рассылке материалов акционерам и прочие услуги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Рыночная капитализация - </w:t>
      </w:r>
      <w:r>
        <w:rPr>
          <w:rFonts w:ascii="Times New Roman" w:eastAsia="Times New Roman" w:hAnsi="Times New Roman" w:cs="Times New Roman"/>
          <w:sz w:val="24"/>
          <w:szCs w:val="24"/>
        </w:rPr>
        <w:t>совокупная рыночная стоимость всех размещенных акций эмитента, определяемая биржевыми котировками. Рыночная капитализация рассчитывается как произведение количества акций соответствующей категории (типа) на рыночную цену одной акции, раскрываемую организатором торговли на рынке ценных бумаг и определяемую в соответствии с Порядком расчета рыночной цены эмиссионных ценных бумаг и инвестиционных паев паевых инвестиционных фондов, допущенных к обращению через организаторов торговли, утвержденным постановлением ФКЦБ России от 24.12.2003 № 03-52/пс</w:t>
      </w:r>
    </w:p>
    <w:p w:rsidR="00D602D4" w:rsidRDefault="000B4C86">
      <w:pPr>
        <w:spacing w:after="0" w:line="240" w:lineRule="auto"/>
        <w:jc w:val="both"/>
        <w:rPr>
          <w:rFonts w:ascii="Times New Roman" w:hAnsi="Times New Roman" w:cs="Times New Roman"/>
          <w:b/>
          <w:bCs/>
          <w:sz w:val="24"/>
          <w:szCs w:val="24"/>
        </w:rPr>
      </w:pPr>
      <w:r>
        <w:rPr>
          <w:rFonts w:ascii="Times New Roman" w:eastAsia="Times New Roman" w:hAnsi="Times New Roman" w:cs="Times New Roman"/>
          <w:b/>
          <w:bCs/>
          <w:sz w:val="24"/>
          <w:szCs w:val="24"/>
        </w:rPr>
        <w:t>РЕДАКТОРСКИЕ ДОПУЩЕНИЯ В ТЕКСТЕ ОТЧЕТА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Заинтересованные лица - </w:t>
      </w:r>
      <w:r>
        <w:rPr>
          <w:rFonts w:ascii="Times New Roman" w:eastAsia="Times New Roman" w:hAnsi="Times New Roman" w:cs="Times New Roman"/>
          <w:sz w:val="24"/>
          <w:szCs w:val="24"/>
        </w:rPr>
        <w:t>акционеры, потребители, контрагенты и деловые партнеры, инвесторы, государственные органы, работники ПАО «Россети Сибирь» и другие физические и юридические лица, заинтересованные в финансово-хозяйственной деятельности ПАО «Россети Сибирь» (определение «Заинтересованные лица» соответствует определению «stakeholders», которое используется в международной практике для обозначения указанной категории лиц)</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Исполнительный аппарат (Аппарат управления) - </w:t>
      </w:r>
      <w:r>
        <w:rPr>
          <w:rFonts w:ascii="Times New Roman" w:eastAsia="Times New Roman" w:hAnsi="Times New Roman" w:cs="Times New Roman"/>
          <w:sz w:val="24"/>
          <w:szCs w:val="24"/>
        </w:rPr>
        <w:t xml:space="preserve">аппарат управления (центральный офис) ПАО «Россети Сибирь», осуществляющий функции финансового учета и контроля, </w:t>
      </w:r>
      <w:r>
        <w:rPr>
          <w:rFonts w:ascii="Times New Roman" w:eastAsia="Times New Roman" w:hAnsi="Times New Roman" w:cs="Times New Roman"/>
          <w:sz w:val="24"/>
          <w:szCs w:val="24"/>
        </w:rPr>
        <w:lastRenderedPageBreak/>
        <w:t>общесистемной координации и административного руководства филиалами и управляемыми Обществами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Ключевые показатели эффективности (КПЭ) - </w:t>
      </w:r>
      <w:r>
        <w:rPr>
          <w:rFonts w:ascii="Times New Roman" w:eastAsia="Times New Roman" w:hAnsi="Times New Roman" w:cs="Times New Roman"/>
          <w:sz w:val="24"/>
          <w:szCs w:val="24"/>
        </w:rPr>
        <w:t>система финансовых и нефинансовых показателей, влияющих на количественное или качественное изменение результатов по отношению к стратегической цели ПАО «Россети Сибирь»</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Компания, Общество, Россети Сибирь - </w:t>
      </w:r>
      <w:r>
        <w:rPr>
          <w:rFonts w:ascii="Times New Roman" w:eastAsia="Times New Roman" w:hAnsi="Times New Roman" w:cs="Times New Roman"/>
          <w:sz w:val="24"/>
          <w:szCs w:val="24"/>
        </w:rPr>
        <w:t>ПАО «Россети Сибирь»</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Корпоративное управление - </w:t>
      </w:r>
      <w:r>
        <w:rPr>
          <w:rFonts w:ascii="Times New Roman" w:eastAsia="Times New Roman" w:hAnsi="Times New Roman" w:cs="Times New Roman"/>
          <w:sz w:val="24"/>
          <w:szCs w:val="24"/>
        </w:rPr>
        <w:t>совокупность процессов, обеспечивающих управление и контроль за его деятельностью и включающих отношения между акционерами, Советом директоров и исполнительными органами ПАО «Россети Сибирь» в интересах акционеров</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Независимый директор - </w:t>
      </w:r>
      <w:r>
        <w:rPr>
          <w:rFonts w:ascii="Times New Roman" w:eastAsia="Times New Roman" w:hAnsi="Times New Roman" w:cs="Times New Roman"/>
          <w:sz w:val="24"/>
          <w:szCs w:val="24"/>
        </w:rPr>
        <w:t xml:space="preserve"> в соответствии с Кодексом корпоративного управления Банка России независимым директором рекомендуется признавать лицо, которое обладает достаточными профессионализмом, опытом и самостоятельностью для формирования собственной позиции, способно выносить объективные и добросовестные суждения, независимые от влияния исполнительных органов общества, отдельных групп акционеров или иных заинтересованных сторон. При этом в обычных условиях не может считаться независимым кандидат (избранный член совета директоров), который связан с обществом, его существенным акционером, существенным контрагентом или конкурентом общества, или связан с государством. Дополнительные условия содержатся в пунктах 103-107 Кодекса корпоративного управления Банка России.</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Неисполнительный директор - </w:t>
      </w:r>
      <w:r>
        <w:rPr>
          <w:rFonts w:ascii="Times New Roman" w:eastAsia="Times New Roman" w:hAnsi="Times New Roman" w:cs="Times New Roman"/>
          <w:sz w:val="24"/>
          <w:szCs w:val="24"/>
        </w:rPr>
        <w:t xml:space="preserve">член Совета директоров, не являющийся членом исполнительных органов акционерного общества и не отвечающий всем требованиям, выдвигаемым к независимому директору </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b/>
          <w:bCs/>
          <w:sz w:val="24"/>
          <w:szCs w:val="24"/>
        </w:rPr>
        <w:t xml:space="preserve">Управляемое Общество - </w:t>
      </w:r>
      <w:r>
        <w:rPr>
          <w:rFonts w:ascii="Times New Roman" w:eastAsia="Times New Roman" w:hAnsi="Times New Roman" w:cs="Times New Roman"/>
          <w:sz w:val="24"/>
          <w:szCs w:val="24"/>
        </w:rPr>
        <w:t>юридическое лицо, находящееся под управлением ПАО «Россети Сибирь» по договору о передаче полномочий единоличного исполнительного органа.</w:t>
      </w:r>
    </w:p>
    <w:p w:rsidR="00D602D4" w:rsidRDefault="000B4C86">
      <w:pP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 xml:space="preserve">На конец 2024 года управляемые Общества ПАО «Россети Сибирь» -  АО «Россети Сибирь Тываэнерго». </w:t>
      </w:r>
    </w:p>
    <w:p w:rsidR="00D602D4" w:rsidRDefault="00D602D4">
      <w:pPr>
        <w:rPr>
          <w:rFonts w:ascii="Times New Roman" w:hAnsi="Times New Roman" w:cs="Times New Roman"/>
        </w:rPr>
      </w:pPr>
    </w:p>
    <w:sectPr w:rsidR="00D602D4">
      <w:pgSz w:w="11906" w:h="16838"/>
      <w:pgMar w:top="567" w:right="851" w:bottom="425" w:left="1276"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602D4" w:rsidRDefault="000B4C86">
      <w:pPr>
        <w:spacing w:after="0" w:line="240" w:lineRule="auto"/>
      </w:pPr>
      <w:r>
        <w:separator/>
      </w:r>
    </w:p>
  </w:endnote>
  <w:endnote w:type="continuationSeparator" w:id="0">
    <w:p w:rsidR="00D602D4" w:rsidRDefault="000B4C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Unicode MS">
    <w:panose1 w:val="020B0604020202020204"/>
    <w:charset w:val="00"/>
    <w:family w:val="auto"/>
    <w:pitch w:val="default"/>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CY">
    <w:charset w:val="00"/>
    <w:family w:val="auto"/>
    <w:pitch w:val="default"/>
  </w:font>
  <w:font w:name="Arial CYR">
    <w:panose1 w:val="020B0604020202020204"/>
    <w:charset w:val="00"/>
    <w:family w:val="auto"/>
    <w:pitch w:val="default"/>
  </w:font>
  <w:font w:name="Microsoft Sans Serif">
    <w:panose1 w:val="020B0604020202020204"/>
    <w:charset w:val="CC"/>
    <w:family w:val="swiss"/>
    <w:pitch w:val="variable"/>
    <w:sig w:usb0="E5002EFF" w:usb1="C000605B" w:usb2="00000029" w:usb3="00000000" w:csb0="000101FF" w:csb1="00000000"/>
  </w:font>
  <w:font w:name="Tahoma">
    <w:panose1 w:val="020B0604030504040204"/>
    <w:charset w:val="CC"/>
    <w:family w:val="swiss"/>
    <w:pitch w:val="variable"/>
    <w:sig w:usb0="E1002EFF" w:usb1="C000605B" w:usb2="00000029" w:usb3="00000000" w:csb0="000101FF" w:csb1="00000000"/>
  </w:font>
  <w:font w:name="AGOpus">
    <w:charset w:val="00"/>
    <w:family w:val="auto"/>
    <w:pitch w:val="default"/>
  </w:font>
  <w:font w:name="Book Antiqua">
    <w:panose1 w:val="0204060205030503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Helvetica Neue">
    <w:charset w:val="00"/>
    <w:family w:val="auto"/>
    <w:pitch w:val="default"/>
  </w:font>
  <w:font w:name="Univers LT CYR 45 Light">
    <w:charset w:val="00"/>
    <w:family w:val="auto"/>
    <w:pitch w:val="default"/>
  </w:font>
  <w:font w:name="Univers LT CYR 47 Lt Cn">
    <w:charset w:val="00"/>
    <w:family w:val="auto"/>
    <w:pitch w:val="default"/>
  </w:font>
  <w:font w:name="HeliosCond">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auto"/>
    <w:pitch w:val="default"/>
  </w:font>
  <w:font w:name="TT Jenevers">
    <w:charset w:val="00"/>
    <w:family w:val="auto"/>
    <w:pitch w:val="default"/>
  </w:font>
  <w:font w:name="PFDinTextCondPro-Medium">
    <w:panose1 w:val="02000500000000020004"/>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Yu Mincho">
    <w:charset w:val="00"/>
    <w:family w:val="auto"/>
    <w:pitch w:val="default"/>
  </w:font>
  <w:font w:name="TimesNewRomanPSMT">
    <w:charset w:val="00"/>
    <w:family w:val="auto"/>
    <w:pitch w:val="default"/>
  </w:font>
  <w:font w:name="PFDinTextCondPro-Regular">
    <w:panose1 w:val="02000000000000000000"/>
    <w:charset w:val="00"/>
    <w:family w:val="auto"/>
    <w:pitch w:val="default"/>
  </w:font>
  <w:font w:name="Webdings">
    <w:panose1 w:val="05030102010509060703"/>
    <w:charset w:val="02"/>
    <w:family w:val="roman"/>
    <w:pitch w:val="variable"/>
    <w:sig w:usb0="00000000" w:usb1="10000000" w:usb2="00000000" w:usb3="00000000" w:csb0="80000000" w:csb1="00000000"/>
  </w:font>
  <w:font w:name="MS Mincho">
    <w:altName w:val="ＭＳ 明朝"/>
    <w:panose1 w:val="020206090402050803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28519095"/>
      <w:docPartObj>
        <w:docPartGallery w:val="Page Numbers (Bottom of Page)"/>
        <w:docPartUnique/>
      </w:docPartObj>
    </w:sdtPr>
    <w:sdtEndPr/>
    <w:sdtContent>
      <w:p w:rsidR="00D602D4" w:rsidRDefault="00D602D4">
        <w:pPr>
          <w:pStyle w:val="af7"/>
          <w:jc w:val="right"/>
        </w:pPr>
      </w:p>
      <w:p w:rsidR="00D602D4" w:rsidRDefault="000B4C86">
        <w:pPr>
          <w:pStyle w:val="af7"/>
          <w:jc w:val="right"/>
          <w:rPr>
            <w:sz w:val="20"/>
            <w:szCs w:val="20"/>
          </w:rPr>
        </w:pPr>
        <w:r>
          <w:rPr>
            <w:sz w:val="20"/>
            <w:szCs w:val="20"/>
          </w:rPr>
          <w:fldChar w:fldCharType="begin"/>
        </w:r>
        <w:r>
          <w:rPr>
            <w:sz w:val="20"/>
            <w:szCs w:val="20"/>
          </w:rPr>
          <w:instrText>PAGE   \* MERGEFORMAT</w:instrText>
        </w:r>
        <w:r>
          <w:rPr>
            <w:sz w:val="20"/>
            <w:szCs w:val="20"/>
          </w:rPr>
          <w:fldChar w:fldCharType="separate"/>
        </w:r>
        <w:r w:rsidR="00CA6697">
          <w:rPr>
            <w:noProof/>
            <w:sz w:val="20"/>
            <w:szCs w:val="20"/>
          </w:rPr>
          <w:t>15</w:t>
        </w:r>
        <w:r>
          <w:rPr>
            <w:sz w:val="20"/>
            <w:szCs w:val="20"/>
          </w:rPr>
          <w:fldChar w:fldCharType="end"/>
        </w:r>
      </w:p>
    </w:sdtContent>
  </w:sdt>
  <w:p w:rsidR="00D602D4" w:rsidRDefault="00D602D4">
    <w:pPr>
      <w:pStyle w:val="af7"/>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D602D4">
    <w:pPr>
      <w:pStyle w:val="af7"/>
      <w:jc w:val="center"/>
      <w:rPr>
        <w:sz w:val="26"/>
        <w:szCs w:val="26"/>
      </w:rPr>
    </w:pPr>
  </w:p>
  <w:p w:rsidR="00D602D4" w:rsidRDefault="00D602D4">
    <w:pPr>
      <w:pStyle w:val="af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0785807"/>
      <w:docPartObj>
        <w:docPartGallery w:val="Page Numbers (Bottom of Page)"/>
        <w:docPartUnique/>
      </w:docPartObj>
    </w:sdtPr>
    <w:sdtEndPr/>
    <w:sdtContent>
      <w:p w:rsidR="00D602D4" w:rsidRDefault="000B4C86">
        <w:pPr>
          <w:pStyle w:val="af7"/>
          <w:jc w:val="right"/>
        </w:pPr>
        <w:r>
          <w:fldChar w:fldCharType="begin"/>
        </w:r>
        <w:r>
          <w:instrText>PAGE   \* MERGEFORMAT</w:instrText>
        </w:r>
        <w:r>
          <w:fldChar w:fldCharType="separate"/>
        </w:r>
        <w:r>
          <w:t>34</w:t>
        </w:r>
        <w:r>
          <w:fldChar w:fldCharType="end"/>
        </w:r>
      </w:p>
    </w:sdtContent>
  </w:sdt>
  <w:p w:rsidR="00D602D4" w:rsidRDefault="00D602D4">
    <w:pPr>
      <w:pStyle w:val="af7"/>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0B4C86">
    <w:pPr>
      <w:pStyle w:val="af7"/>
      <w:jc w:val="right"/>
    </w:pPr>
    <w:r>
      <w:fldChar w:fldCharType="begin"/>
    </w:r>
    <w:r>
      <w:instrText>PAGE   \* MERGEFORMAT</w:instrText>
    </w:r>
    <w:r>
      <w:fldChar w:fldCharType="separate"/>
    </w:r>
    <w:r w:rsidR="00CA6697">
      <w:rPr>
        <w:noProof/>
      </w:rPr>
      <w:t>23</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6073917"/>
      <w:docPartObj>
        <w:docPartGallery w:val="Page Numbers (Bottom of Page)"/>
        <w:docPartUnique/>
      </w:docPartObj>
    </w:sdtPr>
    <w:sdtEndPr/>
    <w:sdtContent>
      <w:p w:rsidR="00D602D4" w:rsidRDefault="000B4C86">
        <w:pPr>
          <w:pStyle w:val="af7"/>
          <w:jc w:val="right"/>
        </w:pPr>
        <w:r>
          <w:fldChar w:fldCharType="begin"/>
        </w:r>
        <w:r>
          <w:instrText>PAGE   \* MERGEFORMAT</w:instrText>
        </w:r>
        <w:r>
          <w:fldChar w:fldCharType="separate"/>
        </w:r>
        <w:r>
          <w:t>33</w:t>
        </w:r>
        <w:r>
          <w:fldChar w:fldCharType="end"/>
        </w:r>
      </w:p>
    </w:sdtContent>
  </w:sdt>
  <w:p w:rsidR="00D602D4" w:rsidRDefault="00D602D4">
    <w:pPr>
      <w:pStyle w:val="af7"/>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5752557"/>
      <w:docPartObj>
        <w:docPartGallery w:val="Page Numbers (Bottom of Page)"/>
        <w:docPartUnique/>
      </w:docPartObj>
    </w:sdtPr>
    <w:sdtEndPr/>
    <w:sdtContent>
      <w:p w:rsidR="00D602D4" w:rsidRDefault="000B4C86">
        <w:pPr>
          <w:pStyle w:val="af7"/>
          <w:jc w:val="right"/>
        </w:pPr>
        <w:r>
          <w:fldChar w:fldCharType="begin"/>
        </w:r>
        <w:r>
          <w:instrText>PAGE   \* MERGEFORMAT</w:instrText>
        </w:r>
        <w:r>
          <w:fldChar w:fldCharType="separate"/>
        </w:r>
        <w:r w:rsidR="00CA6697">
          <w:rPr>
            <w:noProof/>
          </w:rPr>
          <w:t>51</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3685311"/>
      <w:docPartObj>
        <w:docPartGallery w:val="Page Numbers (Bottom of Page)"/>
        <w:docPartUnique/>
      </w:docPartObj>
    </w:sdtPr>
    <w:sdtEndPr/>
    <w:sdtContent>
      <w:p w:rsidR="00D602D4" w:rsidRDefault="000B4C86">
        <w:pPr>
          <w:pStyle w:val="af7"/>
          <w:jc w:val="right"/>
        </w:pPr>
        <w:r>
          <w:fldChar w:fldCharType="begin"/>
        </w:r>
        <w:r>
          <w:instrText>PAGE   \* MERGEFORMAT</w:instrText>
        </w:r>
        <w:r>
          <w:fldChar w:fldCharType="separate"/>
        </w:r>
        <w:r w:rsidR="00CA6697">
          <w:rPr>
            <w:noProof/>
          </w:rPr>
          <w:t>48</w:t>
        </w:r>
        <w:r>
          <w:fldChar w:fldCharType="end"/>
        </w:r>
      </w:p>
    </w:sdtContent>
  </w:sdt>
  <w:p w:rsidR="00D602D4" w:rsidRDefault="000B4C86">
    <w:pPr>
      <w:tabs>
        <w:tab w:val="left" w:pos="14637"/>
      </w:tabs>
    </w:pPr>
    <w:r>
      <w:tab/>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0B4C86">
    <w:pPr>
      <w:pStyle w:val="af7"/>
      <w:jc w:val="right"/>
    </w:pPr>
    <w:r>
      <w:fldChar w:fldCharType="begin"/>
    </w:r>
    <w:r>
      <w:instrText>PAGE \* MERGEFORMAT</w:instrText>
    </w:r>
    <w:r>
      <w:fldChar w:fldCharType="separate"/>
    </w:r>
    <w:r w:rsidR="00CA6697">
      <w:rPr>
        <w:noProof/>
      </w:rPr>
      <w:t>63</w:t>
    </w:r>
    <w:r>
      <w:fldChar w:fldCharType="end"/>
    </w:r>
  </w:p>
  <w:p w:rsidR="00D602D4" w:rsidRDefault="00D602D4">
    <w:pPr>
      <w:pStyle w:val="af7"/>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0B4C86">
    <w:pPr>
      <w:pStyle w:val="af7"/>
      <w:jc w:val="right"/>
    </w:pPr>
    <w:r>
      <w:fldChar w:fldCharType="begin"/>
    </w:r>
    <w:r>
      <w:instrText>PAGE \* MERGEFORMAT</w:instrText>
    </w:r>
    <w:r>
      <w:fldChar w:fldCharType="separate"/>
    </w:r>
    <w:r w:rsidR="00CA6697">
      <w:rPr>
        <w:noProof/>
      </w:rPr>
      <w:t>57</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0B4C86">
    <w:pPr>
      <w:pStyle w:val="af7"/>
      <w:jc w:val="right"/>
    </w:pPr>
    <w:r>
      <w:fldChar w:fldCharType="begin"/>
    </w:r>
    <w:r>
      <w:instrText>PAGE \* MERGEFORMAT</w:instrText>
    </w:r>
    <w:r>
      <w:fldChar w:fldCharType="separate"/>
    </w:r>
    <w:r w:rsidR="00CA6697">
      <w:rPr>
        <w:noProof/>
      </w:rPr>
      <w:t>212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602D4" w:rsidRDefault="000B4C86">
      <w:pPr>
        <w:spacing w:after="0" w:line="240" w:lineRule="auto"/>
      </w:pPr>
      <w:r>
        <w:separator/>
      </w:r>
    </w:p>
  </w:footnote>
  <w:footnote w:type="continuationSeparator" w:id="0">
    <w:p w:rsidR="00D602D4" w:rsidRDefault="000B4C86">
      <w:pPr>
        <w:spacing w:after="0" w:line="240" w:lineRule="auto"/>
      </w:pPr>
      <w:r>
        <w:continuationSeparator/>
      </w:r>
    </w:p>
  </w:footnote>
  <w:footnote w:id="1">
    <w:p w:rsidR="00D602D4" w:rsidRDefault="000B4C86">
      <w:pPr>
        <w:pStyle w:val="af0"/>
        <w:ind w:firstLine="0"/>
      </w:pPr>
      <w:r>
        <w:rPr>
          <w:rStyle w:val="af1"/>
        </w:rPr>
        <w:footnoteRef/>
      </w:r>
      <w:r>
        <w:t xml:space="preserve"> В 2024 году действовала Стратегия, утвержденная распоряжением Правительства Российской Федерации от 09.06.2020 № 1523-р (документ утратил силу 12.04.2025 в связи изданием Распоряжения Правительства Российской Федерации от 12.04.2025 № 908-р, которым утверждена Энергетическая стратегия Российской Федерации до 2050 года).</w:t>
      </w:r>
    </w:p>
  </w:footnote>
  <w:footnote w:id="2">
    <w:p w:rsidR="00D602D4" w:rsidRDefault="000B4C86">
      <w:pPr>
        <w:pStyle w:val="af0"/>
        <w:rPr>
          <w:sz w:val="18"/>
          <w:szCs w:val="18"/>
        </w:rPr>
      </w:pPr>
      <w:r>
        <w:rPr>
          <w:rStyle w:val="af1"/>
          <w:sz w:val="18"/>
          <w:szCs w:val="18"/>
        </w:rPr>
        <w:footnoteRef/>
      </w:r>
      <w:r>
        <w:rPr>
          <w:sz w:val="18"/>
          <w:szCs w:val="18"/>
        </w:rPr>
        <w:t xml:space="preserve"> Утверждена Советом директоров ПАО «Россети» 31.03.2025 (протокол от 31.03.2025 № 682).</w:t>
      </w:r>
    </w:p>
  </w:footnote>
  <w:footnote w:id="3">
    <w:p w:rsidR="00D602D4" w:rsidRDefault="000B4C86">
      <w:pPr>
        <w:pStyle w:val="af0"/>
        <w:rPr>
          <w:szCs w:val="18"/>
        </w:rPr>
      </w:pPr>
      <w:r>
        <w:rPr>
          <w:rStyle w:val="af1"/>
          <w:szCs w:val="18"/>
        </w:rPr>
        <w:footnoteRef/>
      </w:r>
      <w:r>
        <w:rPr>
          <w:szCs w:val="18"/>
        </w:rPr>
        <w:t xml:space="preserve"> За 2024 год приведен ожидаемый уровень достижения КПЭ, с учетом сроков и порядка подготовки отчетности, являющейся источником информации для расчета показателей. Итоговые фактические значения утверждает Совет директоров ПАО «Россети Сибирь»</w:t>
      </w:r>
    </w:p>
  </w:footnote>
  <w:footnote w:id="4">
    <w:p w:rsidR="00D602D4" w:rsidRDefault="000B4C86">
      <w:pPr>
        <w:pStyle w:val="af0"/>
        <w:rPr>
          <w:szCs w:val="18"/>
        </w:rPr>
      </w:pPr>
      <w:r>
        <w:rPr>
          <w:rStyle w:val="af1"/>
          <w:szCs w:val="18"/>
        </w:rPr>
        <w:footnoteRef/>
      </w:r>
      <w:r>
        <w:rPr>
          <w:szCs w:val="18"/>
        </w:rPr>
        <w:t xml:space="preserve"> В случае если процент достижения КПЭ составляет более 120%, то указывается — равный 120%, в случае если процент достижения менее 80%, указывается процент достижения равный 0%. </w:t>
      </w:r>
    </w:p>
  </w:footnote>
  <w:footnote w:id="5">
    <w:p w:rsidR="00D602D4" w:rsidRDefault="000B4C86">
      <w:pPr>
        <w:pStyle w:val="af0"/>
        <w:rPr>
          <w:szCs w:val="18"/>
        </w:rPr>
      </w:pPr>
      <w:r>
        <w:rPr>
          <w:rStyle w:val="af1"/>
          <w:szCs w:val="18"/>
        </w:rPr>
        <w:footnoteRef/>
      </w:r>
      <w:r>
        <w:rPr>
          <w:szCs w:val="18"/>
        </w:rPr>
        <w:t xml:space="preserve"> Состав и целевые значения показателей утверждены решением Совета директоров ПАО «Россети Сибирь» от 16.12.2024 (протокол № 541/24) и подлежат уточнению (при необходимости) по решению Совета директоров Общества с учетом требований Типового порядка расчета КПЭ и ФКПЭ руководящего состава ДО ПАО «Россети», утвержденного приказом ПАО «Россети» от 03.04.2025 № 171.</w:t>
      </w:r>
    </w:p>
  </w:footnote>
  <w:footnote w:id="6">
    <w:p w:rsidR="00D602D4" w:rsidRDefault="000B4C86">
      <w:pPr>
        <w:pStyle w:val="af0"/>
        <w:ind w:firstLine="0"/>
        <w:rPr>
          <w:sz w:val="18"/>
          <w:szCs w:val="18"/>
        </w:rPr>
      </w:pPr>
      <w:r>
        <w:rPr>
          <w:rStyle w:val="af1"/>
          <w:sz w:val="18"/>
          <w:szCs w:val="18"/>
        </w:rPr>
        <w:footnoteRef/>
      </w:r>
      <w:r>
        <w:rPr>
          <w:sz w:val="18"/>
          <w:szCs w:val="18"/>
        </w:rPr>
        <w:t xml:space="preserve"> За 2024 год приведен ожидаемый уровень достижения КПЭ, с учетом сроков и порядка подготовки отчетности, являющейся источником информации для расчета показателей. Итоговые фактические значения утверждает Совет директоров ПАО «Россети Сибирь»</w:t>
      </w:r>
    </w:p>
  </w:footnote>
  <w:footnote w:id="7">
    <w:p w:rsidR="00D602D4" w:rsidRDefault="000B4C86">
      <w:pPr>
        <w:pStyle w:val="af0"/>
        <w:ind w:firstLine="0"/>
        <w:rPr>
          <w:sz w:val="18"/>
          <w:szCs w:val="18"/>
        </w:rPr>
      </w:pPr>
      <w:r>
        <w:rPr>
          <w:rStyle w:val="af1"/>
          <w:sz w:val="18"/>
          <w:szCs w:val="18"/>
        </w:rPr>
        <w:footnoteRef/>
      </w:r>
      <w:r>
        <w:rPr>
          <w:sz w:val="18"/>
          <w:szCs w:val="18"/>
        </w:rPr>
        <w:t xml:space="preserve"> В случае если процент достижения КПЭ составляет более 120%, то указывается — равный 120%, в случае если процент достижения менее 80%, указывается процент достижения равный 0%. </w:t>
      </w:r>
    </w:p>
  </w:footnote>
  <w:footnote w:id="8">
    <w:p w:rsidR="00D602D4" w:rsidRDefault="000B4C86">
      <w:pPr>
        <w:pStyle w:val="af0"/>
        <w:ind w:firstLine="0"/>
        <w:rPr>
          <w:sz w:val="18"/>
          <w:szCs w:val="18"/>
        </w:rPr>
      </w:pPr>
      <w:r>
        <w:rPr>
          <w:rStyle w:val="af1"/>
          <w:sz w:val="18"/>
          <w:szCs w:val="18"/>
        </w:rPr>
        <w:footnoteRef/>
      </w:r>
      <w:r>
        <w:rPr>
          <w:sz w:val="18"/>
          <w:szCs w:val="18"/>
        </w:rPr>
        <w:t xml:space="preserve"> Состав и целевые значения показателей </w:t>
      </w:r>
      <w:r>
        <w:rPr>
          <w:szCs w:val="18"/>
        </w:rPr>
        <w:t>утверждены решением Совета директоров ПАО «Россети Сибирь» от 16.12.2024 (протокол № 541/24) и подлежат уточнению (при необходимости) по решению Совета директоров Общества с учетом требований Типового порядка расчета КПЭ и ФКПЭ руководящего состава ДО ПАО «Россети», утвержденного приказом ПАО «Россети» от 03.04.2025 № 171</w:t>
      </w:r>
      <w:r>
        <w:rPr>
          <w:sz w:val="18"/>
          <w:szCs w:val="18"/>
        </w:rPr>
        <w:t>.</w:t>
      </w:r>
    </w:p>
  </w:footnote>
  <w:footnote w:id="9">
    <w:p w:rsidR="00D602D4" w:rsidRDefault="000B4C86">
      <w:pPr>
        <w:pStyle w:val="af0"/>
        <w:rPr>
          <w:szCs w:val="18"/>
        </w:rPr>
      </w:pPr>
      <w:r>
        <w:rPr>
          <w:rStyle w:val="af1"/>
          <w:szCs w:val="18"/>
        </w:rPr>
        <w:footnoteRef/>
      </w:r>
      <w:r>
        <w:rPr>
          <w:szCs w:val="18"/>
        </w:rPr>
        <w:t xml:space="preserve"> За 2024 год приведен ожидаемый уровень достижения показателей депремирования, с учетом сроков и порядка подготовки отчетности, являющейся источником информации для расчета показателей. Итоговые фактические значения утверждает Совет директоров ПАО «Россети Сибирь»</w:t>
      </w:r>
    </w:p>
  </w:footnote>
  <w:footnote w:id="10">
    <w:p w:rsidR="00D602D4" w:rsidRDefault="000B4C86">
      <w:pPr>
        <w:pStyle w:val="af0"/>
        <w:rPr>
          <w:szCs w:val="18"/>
        </w:rPr>
      </w:pPr>
      <w:r>
        <w:rPr>
          <w:rStyle w:val="af1"/>
          <w:szCs w:val="18"/>
        </w:rPr>
        <w:footnoteRef/>
      </w:r>
      <w:r>
        <w:rPr>
          <w:szCs w:val="18"/>
        </w:rPr>
        <w:t xml:space="preserve"> Состав и целевые значения показателей утверждены решением Совета директоров ПАО «Россети Сибирь» от 16.12.2024 (протокол № 541/24) и подлежат уточнению (при необходимости) по решению Совета директоров Общества с учетом требований Типового порядка расчета КПЭ и ФКПЭ руководящего состава ДО ПАО «Россети», утвержденного приказом ПАО «Россети» от 03.04.2025 № 171.</w:t>
      </w:r>
    </w:p>
  </w:footnote>
  <w:footnote w:id="11">
    <w:p w:rsidR="00D602D4" w:rsidRDefault="000B4C86">
      <w:pPr>
        <w:pStyle w:val="af0"/>
        <w:ind w:firstLine="0"/>
        <w:rPr>
          <w:sz w:val="18"/>
          <w:szCs w:val="18"/>
        </w:rPr>
      </w:pPr>
      <w:r>
        <w:rPr>
          <w:rStyle w:val="af1"/>
          <w:sz w:val="18"/>
          <w:szCs w:val="18"/>
        </w:rPr>
        <w:footnoteRef/>
      </w:r>
      <w:r>
        <w:rPr>
          <w:sz w:val="18"/>
          <w:szCs w:val="18"/>
        </w:rPr>
        <w:t xml:space="preserve"> За 2024 год приведен ожидаемый уровень достижения индикативного показателя, с учетом сроков и порядка подготовки отчетности, являющейся источником информации для расчета показателей. Итоговые фактические значения утверждает Совет директоров ПАО «Россети Сибирь»</w:t>
      </w:r>
    </w:p>
  </w:footnote>
  <w:footnote w:id="12">
    <w:p w:rsidR="00D602D4" w:rsidRDefault="000B4C86">
      <w:pPr>
        <w:pStyle w:val="af0"/>
        <w:ind w:firstLine="0"/>
        <w:rPr>
          <w:sz w:val="18"/>
          <w:szCs w:val="18"/>
        </w:rPr>
      </w:pPr>
      <w:r>
        <w:rPr>
          <w:rStyle w:val="af1"/>
        </w:rPr>
        <w:footnoteRef/>
      </w:r>
      <w:r>
        <w:t xml:space="preserve"> </w:t>
      </w:r>
      <w:r>
        <w:rPr>
          <w:sz w:val="18"/>
          <w:szCs w:val="18"/>
        </w:rPr>
        <w:t xml:space="preserve">Состав и целевые значения показателей утверждены решением Совета директоров ПАО «Россети Сибирь» </w:t>
      </w:r>
      <w:r>
        <w:rPr>
          <w:rFonts w:eastAsia="Calibri"/>
          <w:sz w:val="18"/>
          <w:szCs w:val="18"/>
        </w:rPr>
        <w:t xml:space="preserve">от 16.12.2024 (протокол № 541/24) </w:t>
      </w:r>
      <w:r>
        <w:rPr>
          <w:sz w:val="18"/>
          <w:szCs w:val="18"/>
        </w:rPr>
        <w:t>и подлежат уточнению (при необходимости) по решению Совета директоров Общества с учетом требований Типового порядка расчета КПЭ и ФКПЭ руководящего состава ДО ПАО «Россети», утвержденного приказом ПАО «Россети» от 03.04.2025 № 171.</w:t>
      </w:r>
    </w:p>
  </w:footnote>
  <w:footnote w:id="13">
    <w:p w:rsidR="00D602D4" w:rsidRDefault="000B4C86">
      <w:pPr>
        <w:pStyle w:val="af0"/>
        <w:ind w:firstLine="0"/>
        <w:rPr>
          <w:sz w:val="18"/>
          <w:szCs w:val="18"/>
        </w:rPr>
      </w:pPr>
      <w:r>
        <w:rPr>
          <w:rStyle w:val="af1"/>
          <w:sz w:val="18"/>
          <w:szCs w:val="18"/>
        </w:rPr>
        <w:footnoteRef/>
      </w:r>
      <w:r>
        <w:rPr>
          <w:sz w:val="18"/>
          <w:szCs w:val="18"/>
        </w:rPr>
        <w:t xml:space="preserve"> Состав и целевые значения показателей утверждены решением Совета директоров ПАО «Россети Сибирь» </w:t>
      </w:r>
      <w:r>
        <w:rPr>
          <w:rFonts w:eastAsia="Calibri"/>
          <w:sz w:val="18"/>
          <w:szCs w:val="18"/>
        </w:rPr>
        <w:t xml:space="preserve">от 16.12.2024 (протокол № 541/24) </w:t>
      </w:r>
      <w:r>
        <w:rPr>
          <w:sz w:val="18"/>
          <w:szCs w:val="18"/>
        </w:rPr>
        <w:t>и подлежат уточнению (при необходимости) по решению Совета директоров Общества с учетом требований Типового порядка расчета КПЭ и ФКПЭ руководящего состава ДО ПАО «Россети», утвержденного приказом ПАО «Россети» от 03.04.2025 № 171.</w:t>
      </w:r>
    </w:p>
  </w:footnote>
  <w:footnote w:id="14">
    <w:p w:rsidR="00D602D4" w:rsidRDefault="000B4C86">
      <w:pPr>
        <w:pStyle w:val="af0"/>
        <w:ind w:firstLine="0"/>
      </w:pPr>
      <w:r>
        <w:rPr>
          <w:rStyle w:val="af1"/>
        </w:rPr>
        <w:footnoteRef/>
      </w:r>
      <w:r>
        <w:t xml:space="preserve"> За 2024 год приведен ожидаемый уровень достижения ФКПЭ, с учетом сроков и порядка подготовки отчетности, являющейся источником информации для расчета показателей. Итоговые фактические значения утверждает Совет директоров ПАО «Россети Сибирь»</w:t>
      </w:r>
    </w:p>
  </w:footnote>
  <w:footnote w:id="15">
    <w:p w:rsidR="00D602D4" w:rsidRDefault="000B4C86">
      <w:pPr>
        <w:pStyle w:val="af0"/>
        <w:ind w:firstLine="0"/>
      </w:pPr>
      <w:r>
        <w:rPr>
          <w:rStyle w:val="af1"/>
        </w:rPr>
        <w:footnoteRef/>
      </w:r>
      <w:r>
        <w:t xml:space="preserve"> В случае если процент достижения ФКПЭ составляет более 100%, то указывается — равный 100%, в случае если процент достижения менее 90%, указывается процент достижения равный 0%</w:t>
      </w:r>
    </w:p>
  </w:footnote>
  <w:footnote w:id="16">
    <w:p w:rsidR="00D602D4" w:rsidRDefault="000B4C86">
      <w:pPr>
        <w:pStyle w:val="af0"/>
        <w:ind w:firstLine="0"/>
      </w:pPr>
      <w:r>
        <w:rPr>
          <w:rStyle w:val="af1"/>
        </w:rPr>
        <w:footnoteRef/>
      </w:r>
      <w:r>
        <w:t xml:space="preserve"> </w:t>
      </w:r>
      <w:r>
        <w:rPr>
          <w:sz w:val="18"/>
          <w:szCs w:val="18"/>
        </w:rPr>
        <w:t>Состав и целевые значения показателей утверждены решением Совета директоров ПАО «Россети Сибирь» от 16.12.2024 (протокол № 541/24) и подлежат уточнению (при необходимости) по решению Совета директоров Общества с учетом требований Типового порядка расчета КПЭ и ФКПЭ руководящего состава ДО ПАО «Россети», утвержденного приказом ПАО «Россети» от 03.04.2025 № 171</w:t>
      </w:r>
      <w:r>
        <w:t>.</w:t>
      </w:r>
    </w:p>
  </w:footnote>
  <w:footnote w:id="17">
    <w:p w:rsidR="00D602D4" w:rsidRDefault="000B4C86">
      <w:pPr>
        <w:pStyle w:val="af0"/>
        <w:ind w:firstLine="0"/>
      </w:pPr>
      <w:r>
        <w:rPr>
          <w:rStyle w:val="af1"/>
        </w:rPr>
        <w:footnoteRef/>
      </w:r>
      <w:r>
        <w:t xml:space="preserve"> </w:t>
      </w:r>
      <w:r>
        <w:rPr>
          <w:sz w:val="18"/>
          <w:szCs w:val="18"/>
        </w:rPr>
        <w:t>Состав и целевые значения показателей решением Совета директоров ПАО «Россети Сибирь» от 16.12.2024 (протокол №541/24) и подлежат уточнению (при необходимости) по решению Совета директоров Общества с учетом требований Типового порядка расчета КПЭ и ФКПЭ руководящего состава ДО ПАО «Россети», утвержденного приказом ПАО «Россети» от 03.04.2025 №171.</w:t>
      </w:r>
    </w:p>
  </w:footnote>
  <w:footnote w:id="18">
    <w:p w:rsidR="00D602D4" w:rsidRDefault="000B4C86">
      <w:pPr>
        <w:pStyle w:val="af0"/>
        <w:rPr>
          <w:color w:val="FF0000"/>
        </w:rPr>
      </w:pPr>
      <w:r>
        <w:rPr>
          <w:rStyle w:val="af1"/>
        </w:rPr>
        <w:footnoteRef/>
      </w:r>
      <w:r>
        <w:t xml:space="preserve"> Рентабельность затрат здесь и далее рассчитывается как валовая прибыль от дополнительных услуг, соотнесенная на затраты на оказание данных услу</w:t>
      </w:r>
      <w:r>
        <w:rPr>
          <w:highlight w:val="white"/>
        </w:rPr>
        <w:t>г (без учета управленческих расходов)</w:t>
      </w:r>
    </w:p>
  </w:footnote>
  <w:footnote w:id="19">
    <w:p w:rsidR="00D602D4" w:rsidRDefault="000B4C86">
      <w:pPr>
        <w:pStyle w:val="af0"/>
      </w:pPr>
      <w:r>
        <w:rPr>
          <w:rStyle w:val="af1"/>
        </w:rPr>
        <w:footnoteRef/>
      </w:r>
      <w:r>
        <w:t xml:space="preserve"> В общих итогах по выручке от дополнительных услуг не учитывается, т.к. относится к прочим доходам</w:t>
      </w:r>
    </w:p>
  </w:footnote>
  <w:footnote w:id="20">
    <w:p w:rsidR="00D602D4" w:rsidRDefault="000B4C86">
      <w:pPr>
        <w:pStyle w:val="af0"/>
      </w:pPr>
      <w:r>
        <w:rPr>
          <w:rStyle w:val="af1"/>
        </w:rPr>
        <w:footnoteRef/>
      </w:r>
      <w:r>
        <w:t xml:space="preserve"> П</w:t>
      </w:r>
      <w:r>
        <w:rPr>
          <w:highlight w:val="white"/>
        </w:rPr>
        <w:t>риложение «Россети электротранспорт»</w:t>
      </w:r>
    </w:p>
  </w:footnote>
  <w:footnote w:id="21">
    <w:p w:rsidR="00D602D4" w:rsidRDefault="000B4C86">
      <w:pPr>
        <w:pStyle w:val="af0"/>
      </w:pPr>
      <w:r>
        <w:rPr>
          <w:rStyle w:val="af1"/>
        </w:rPr>
        <w:footnoteRef/>
      </w:r>
      <w:r>
        <w:t xml:space="preserve"> С текстом </w:t>
      </w:r>
      <w:r>
        <w:rPr>
          <w:bCs/>
        </w:rPr>
        <w:t>Политики в области устойчивого развития и Политики в области изменения климата</w:t>
      </w:r>
      <w:r>
        <w:t xml:space="preserve"> можно ознакомиться на сайте Общества по адресу: https://www.rosseti-sib.ru/shareholders_and_investors/korporativnoe-upravlenie/vnutrennie-dokumenty/.</w:t>
      </w:r>
    </w:p>
  </w:footnote>
  <w:footnote w:id="22">
    <w:p w:rsidR="00D602D4" w:rsidRDefault="000B4C86">
      <w:pPr>
        <w:pStyle w:val="af0"/>
      </w:pPr>
      <w:r>
        <w:rPr>
          <w:rStyle w:val="af1"/>
        </w:rPr>
        <w:footnoteRef/>
      </w:r>
      <w:r>
        <w:t xml:space="preserve"> С учетом размещенных акций дополнительного выпуска ценных бумаг (государственный номер выпуска 1-01-65018-D-109D от 21.08.2023)</w:t>
      </w:r>
    </w:p>
  </w:footnote>
  <w:footnote w:id="23">
    <w:p w:rsidR="00D602D4" w:rsidRDefault="000B4C86">
      <w:pPr>
        <w:pStyle w:val="af0"/>
      </w:pPr>
      <w:r>
        <w:rPr>
          <w:rStyle w:val="af1"/>
        </w:rPr>
        <w:footnoteRef/>
      </w:r>
      <w:r>
        <w:t xml:space="preserve"> Сокращенное фирменное наименование до 24.01.2025 – ПАО «Россети Кубань» </w:t>
      </w:r>
    </w:p>
  </w:footnote>
  <w:footnote w:id="24">
    <w:p w:rsidR="00D602D4" w:rsidRDefault="000B4C86">
      <w:pPr>
        <w:spacing w:after="0" w:line="240" w:lineRule="auto"/>
        <w:jc w:val="both"/>
        <w:rPr>
          <w:rFonts w:ascii="Times New Roman" w:hAnsi="Times New Roman" w:cs="Times New Roman"/>
          <w:sz w:val="20"/>
          <w:szCs w:val="20"/>
        </w:rPr>
      </w:pPr>
      <w:r>
        <w:rPr>
          <w:rStyle w:val="af1"/>
          <w:rFonts w:ascii="Times New Roman" w:hAnsi="Times New Roman" w:cs="Times New Roman"/>
          <w:sz w:val="20"/>
          <w:szCs w:val="20"/>
        </w:rPr>
        <w:footnoteRef/>
      </w:r>
      <w:r>
        <w:rPr>
          <w:rFonts w:ascii="Times New Roman" w:hAnsi="Times New Roman" w:cs="Times New Roman"/>
          <w:sz w:val="20"/>
          <w:szCs w:val="20"/>
        </w:rPr>
        <w:t xml:space="preserve"> </w:t>
      </w:r>
      <w:r>
        <w:rPr>
          <w:rFonts w:ascii="Times New Roman" w:eastAsia="Times New Roman" w:hAnsi="Times New Roman" w:cs="Times New Roman"/>
          <w:sz w:val="20"/>
          <w:szCs w:val="20"/>
          <w:lang w:eastAsia="ru-RU"/>
        </w:rPr>
        <w:t>С текстом Положения об Общем собрании акционеров ПАО «Россети Сибирь» можно ознакомиться на сайте Общества по адресу:</w:t>
      </w:r>
      <w:r>
        <w:rPr>
          <w:rFonts w:ascii="Times New Roman" w:hAnsi="Times New Roman" w:cs="Times New Roman"/>
          <w:sz w:val="20"/>
          <w:szCs w:val="20"/>
        </w:rPr>
        <w:t xml:space="preserve"> https://www.rosseti-sib.ru/shareholders_and_investors/korporativnoe-upravlenie/vnutrennie-dokumenty/.</w:t>
      </w:r>
    </w:p>
  </w:footnote>
  <w:footnote w:id="25">
    <w:p w:rsidR="00D602D4" w:rsidRDefault="000B4C86">
      <w:pPr>
        <w:pStyle w:val="af0"/>
      </w:pPr>
      <w:r>
        <w:footnoteRef/>
      </w:r>
      <w:r>
        <w:t xml:space="preserve"> С полным текстом решений, принятых Общими собраниями акционеров Общества, можно ознакомиться на корпоративном веб-сайте Общества в сети Интернет по адресу: https://www.rosseti-sib.ru/shareholders_and_investors/korporativnoe-upravlenie/obshchie-sobraniya-aktsionerov/.</w:t>
      </w:r>
    </w:p>
  </w:footnote>
  <w:footnote w:id="26">
    <w:p w:rsidR="00D602D4" w:rsidRDefault="000B4C86">
      <w:pPr>
        <w:spacing w:after="0" w:line="240" w:lineRule="auto"/>
        <w:jc w:val="both"/>
      </w:pPr>
      <w:r>
        <w:rPr>
          <w:rStyle w:val="af1"/>
        </w:rPr>
        <w:footnoteRef/>
      </w:r>
      <w:r>
        <w:t xml:space="preserve"> </w:t>
      </w:r>
      <w:r>
        <w:rPr>
          <w:rFonts w:ascii="Times New Roman" w:eastAsia="Times New Roman" w:hAnsi="Times New Roman" w:cs="Times New Roman"/>
          <w:sz w:val="20"/>
          <w:szCs w:val="20"/>
          <w:lang w:eastAsia="ru-RU"/>
        </w:rPr>
        <w:t>С текстом Положения о Совете директоров ПАО «Россети Сибирь» можно ознакомиться на сайте Общества по адресу:</w:t>
      </w:r>
      <w:r>
        <w:rPr>
          <w:rFonts w:ascii="Times New Roman" w:hAnsi="Times New Roman" w:cs="Times New Roman"/>
          <w:sz w:val="20"/>
          <w:szCs w:val="20"/>
        </w:rPr>
        <w:t xml:space="preserve"> https://www.rosseti-sib.ru/shareholders_and_investors/korporativnoe-upravlenie/vnutrennie-dokumenty/</w:t>
      </w:r>
    </w:p>
  </w:footnote>
  <w:footnote w:id="27">
    <w:p w:rsidR="00D602D4" w:rsidRDefault="000B4C86">
      <w:pPr>
        <w:spacing w:after="0" w:line="240" w:lineRule="auto"/>
        <w:jc w:val="both"/>
        <w:rPr>
          <w:rFonts w:ascii="Times New Roman" w:hAnsi="Times New Roman" w:cs="Times New Roman"/>
          <w:b/>
          <w:sz w:val="20"/>
          <w:szCs w:val="20"/>
        </w:rPr>
      </w:pPr>
      <w:r>
        <w:rPr>
          <w:rStyle w:val="af1"/>
        </w:rPr>
        <w:footnoteRef/>
      </w:r>
      <w:r>
        <w:t xml:space="preserve"> </w:t>
      </w:r>
      <w:r>
        <w:rPr>
          <w:rFonts w:ascii="Times New Roman" w:eastAsia="Times New Roman" w:hAnsi="Times New Roman" w:cs="Times New Roman"/>
          <w:sz w:val="20"/>
          <w:szCs w:val="20"/>
          <w:lang w:eastAsia="ru-RU"/>
        </w:rPr>
        <w:t xml:space="preserve">С текстом Положения о Комитете по стратегии Совета директоров Общества можно ознакомиться на корпоративном веб-сайте Общества в сети Интернет по адресу: </w:t>
      </w:r>
      <w:hyperlink r:id="rId1" w:tooltip="https://www.rosseti-sib.ru/shareholders_and_investors/korporativnoe-upravlenie/vnutrennie-dokumenty/" w:history="1">
        <w:r>
          <w:rPr>
            <w:rStyle w:val="ab"/>
            <w:rFonts w:ascii="Times New Roman" w:eastAsia="Times New Roman" w:hAnsi="Times New Roman"/>
            <w:sz w:val="20"/>
            <w:szCs w:val="20"/>
            <w:lang w:eastAsia="ru-RU"/>
          </w:rPr>
          <w:t>https://www.rosseti-sib.ru/shareholders_and_investors/korporativnoe-upravlenie/vnutrennie-dokumenty/</w:t>
        </w:r>
      </w:hyperlink>
      <w:r>
        <w:rPr>
          <w:rFonts w:ascii="Times New Roman" w:eastAsia="Times New Roman" w:hAnsi="Times New Roman" w:cs="Times New Roman"/>
          <w:sz w:val="20"/>
          <w:szCs w:val="20"/>
          <w:lang w:eastAsia="ru-RU"/>
        </w:rPr>
        <w:t xml:space="preserve"> </w:t>
      </w:r>
    </w:p>
  </w:footnote>
  <w:footnote w:id="28">
    <w:p w:rsidR="00D602D4" w:rsidRDefault="000B4C86">
      <w:pPr>
        <w:spacing w:after="0" w:line="240" w:lineRule="auto"/>
        <w:jc w:val="both"/>
        <w:rPr>
          <w:rFonts w:ascii="Times New Roman" w:hAnsi="Times New Roman" w:cs="Times New Roman"/>
          <w:sz w:val="20"/>
          <w:szCs w:val="20"/>
        </w:rPr>
      </w:pPr>
      <w:r>
        <w:rPr>
          <w:rStyle w:val="af1"/>
          <w:rFonts w:ascii="Times New Roman" w:hAnsi="Times New Roman" w:cs="Times New Roman"/>
        </w:rPr>
        <w:footnoteRef/>
      </w:r>
      <w:r>
        <w:rPr>
          <w:rFonts w:ascii="Times New Roman" w:hAnsi="Times New Roman" w:cs="Times New Roman"/>
        </w:rPr>
        <w:t xml:space="preserve"> </w:t>
      </w:r>
      <w:r>
        <w:rPr>
          <w:rFonts w:ascii="Times New Roman" w:eastAsia="Times New Roman" w:hAnsi="Times New Roman" w:cs="Times New Roman"/>
          <w:sz w:val="20"/>
          <w:szCs w:val="20"/>
          <w:lang w:eastAsia="ru-RU"/>
        </w:rPr>
        <w:t>С текстом Положения о Комитете по аудиту Совета директоров Общества можно ознакомиться на корпоративном веб-сайте Общества в сети Интернет по адресу:</w:t>
      </w:r>
      <w:r>
        <w:rPr>
          <w:rFonts w:ascii="Times New Roman" w:hAnsi="Times New Roman" w:cs="Times New Roman"/>
          <w:sz w:val="20"/>
          <w:szCs w:val="20"/>
        </w:rPr>
        <w:t xml:space="preserve"> https://www.rosseti-sib.ru/shareholders_and_investors/korporativnoe-upravlenie/vnutrennie-dokumenty/</w:t>
      </w:r>
    </w:p>
  </w:footnote>
  <w:footnote w:id="29">
    <w:p w:rsidR="00D602D4" w:rsidRDefault="000B4C86">
      <w:pPr>
        <w:spacing w:after="0" w:line="240" w:lineRule="auto"/>
        <w:jc w:val="both"/>
        <w:rPr>
          <w:rFonts w:ascii="Times New Roman" w:hAnsi="Times New Roman" w:cs="Times New Roman"/>
          <w:sz w:val="20"/>
          <w:szCs w:val="20"/>
        </w:rPr>
      </w:pPr>
      <w:r>
        <w:rPr>
          <w:rStyle w:val="af1"/>
        </w:rPr>
        <w:footnoteRef/>
      </w:r>
      <w:r>
        <w:t xml:space="preserve"> </w:t>
      </w:r>
      <w:r>
        <w:rPr>
          <w:rFonts w:ascii="Times New Roman" w:eastAsia="Times New Roman" w:hAnsi="Times New Roman" w:cs="Times New Roman"/>
          <w:sz w:val="20"/>
          <w:szCs w:val="20"/>
          <w:lang w:eastAsia="ru-RU"/>
        </w:rPr>
        <w:t>С текстом Положения о Комитете по кадрам и вознаграждениям Совета директоров Общества можно ознакомиться на корпоративном веб-сайте Общества в сети Интернет по адресу: https://www.rosseti-sib.ru/shareholders_and_investors/korporativnoe-upravlenie/vnutrennie-dokumenty/</w:t>
      </w:r>
    </w:p>
  </w:footnote>
  <w:footnote w:id="30">
    <w:p w:rsidR="00D602D4" w:rsidRDefault="000B4C86">
      <w:pPr>
        <w:spacing w:after="0" w:line="240" w:lineRule="auto"/>
        <w:jc w:val="both"/>
        <w:rPr>
          <w:rFonts w:ascii="Times New Roman" w:hAnsi="Times New Roman" w:cs="Times New Roman"/>
          <w:sz w:val="20"/>
          <w:szCs w:val="20"/>
        </w:rPr>
      </w:pPr>
      <w:r>
        <w:rPr>
          <w:rStyle w:val="af1"/>
        </w:rPr>
        <w:footnoteRef/>
      </w:r>
      <w:r>
        <w:t xml:space="preserve"> </w:t>
      </w:r>
      <w:r>
        <w:rPr>
          <w:rFonts w:ascii="Times New Roman" w:eastAsia="Times New Roman" w:hAnsi="Times New Roman" w:cs="Times New Roman"/>
          <w:sz w:val="20"/>
          <w:szCs w:val="20"/>
          <w:lang w:eastAsia="ru-RU"/>
        </w:rPr>
        <w:t>С текстом Положения о Комитете по надежности Совета директоров Общества можно ознакомиться на корпоративном веб-сайте Общества в сети Интернет по адресу:</w:t>
      </w:r>
      <w:r>
        <w:rPr>
          <w:rFonts w:ascii="Times New Roman" w:hAnsi="Times New Roman" w:cs="Times New Roman"/>
          <w:sz w:val="20"/>
          <w:szCs w:val="20"/>
        </w:rPr>
        <w:t xml:space="preserve"> </w:t>
      </w:r>
      <w:r>
        <w:rPr>
          <w:rStyle w:val="ab"/>
          <w:rFonts w:ascii="Times New Roman" w:hAnsi="Times New Roman"/>
          <w:sz w:val="20"/>
          <w:szCs w:val="20"/>
        </w:rPr>
        <w:t>https://www.rosseti-sib.ru/shareholders_and_investors/korporativnoe-upravlenie/vnutrennie-dokumenty/</w:t>
      </w:r>
    </w:p>
  </w:footnote>
  <w:footnote w:id="31">
    <w:p w:rsidR="00D602D4" w:rsidRDefault="000B4C86">
      <w:pPr>
        <w:spacing w:after="0" w:line="240" w:lineRule="auto"/>
        <w:jc w:val="both"/>
        <w:rPr>
          <w:rFonts w:ascii="Times New Roman" w:hAnsi="Times New Roman" w:cs="Times New Roman"/>
          <w:sz w:val="20"/>
          <w:szCs w:val="20"/>
        </w:rPr>
      </w:pPr>
      <w:r>
        <w:rPr>
          <w:rStyle w:val="af1"/>
        </w:rPr>
        <w:footnoteRef/>
      </w:r>
      <w:r>
        <w:t xml:space="preserve"> </w:t>
      </w:r>
      <w:r>
        <w:rPr>
          <w:rFonts w:ascii="Times New Roman" w:eastAsia="Times New Roman" w:hAnsi="Times New Roman" w:cs="Times New Roman"/>
          <w:sz w:val="20"/>
          <w:szCs w:val="20"/>
          <w:lang w:eastAsia="ru-RU"/>
        </w:rPr>
        <w:t>С текстом Положения о Комитете по технологическому присоединению к электрическим сетям можно ознакомиться на корпоративном веб-сайте Общества в сети Интернет по адресу:</w:t>
      </w:r>
      <w:r>
        <w:rPr>
          <w:rFonts w:ascii="Times New Roman" w:hAnsi="Times New Roman" w:cs="Times New Roman"/>
          <w:sz w:val="20"/>
          <w:szCs w:val="20"/>
        </w:rPr>
        <w:t xml:space="preserve"> </w:t>
      </w:r>
      <w:hyperlink r:id="rId2" w:tooltip="https://www.rosseti-sib.ru/shareholders_and_investors/korporativnoe-upravlenie/vnutrennie-dokumenty/" w:history="1">
        <w:r>
          <w:rPr>
            <w:rStyle w:val="ab"/>
            <w:rFonts w:ascii="Times New Roman" w:hAnsi="Times New Roman"/>
            <w:sz w:val="20"/>
            <w:szCs w:val="20"/>
          </w:rPr>
          <w:t>https://www.rosseti-sib.ru/shareholders_and_investors/korporativnoe-upravlenie/vnutrennie-dokumenty/</w:t>
        </w:r>
      </w:hyperlink>
      <w:r>
        <w:rPr>
          <w:rFonts w:ascii="Times New Roman" w:hAnsi="Times New Roman" w:cs="Times New Roman"/>
          <w:sz w:val="20"/>
          <w:szCs w:val="20"/>
        </w:rPr>
        <w:t xml:space="preserve"> </w:t>
      </w:r>
    </w:p>
  </w:footnote>
  <w:footnote w:id="32">
    <w:p w:rsidR="00D602D4" w:rsidRDefault="000B4C86">
      <w:pPr>
        <w:jc w:val="both"/>
        <w:rPr>
          <w:rFonts w:ascii="Times New Roman" w:hAnsi="Times New Roman" w:cs="Times New Roman"/>
          <w:sz w:val="20"/>
          <w:szCs w:val="20"/>
        </w:rPr>
      </w:pPr>
      <w:r>
        <w:rPr>
          <w:rStyle w:val="af1"/>
          <w:rFonts w:ascii="Times New Roman" w:hAnsi="Times New Roman" w:cs="Times New Roman"/>
          <w:sz w:val="20"/>
          <w:szCs w:val="20"/>
        </w:rPr>
        <w:footnoteRef/>
      </w:r>
      <w:r>
        <w:rPr>
          <w:rFonts w:ascii="Times New Roman" w:hAnsi="Times New Roman" w:cs="Times New Roman"/>
          <w:sz w:val="20"/>
          <w:szCs w:val="20"/>
        </w:rPr>
        <w:t xml:space="preserve"> </w:t>
      </w:r>
      <w:r>
        <w:rPr>
          <w:rFonts w:ascii="Times New Roman" w:eastAsia="Times New Roman" w:hAnsi="Times New Roman" w:cs="Times New Roman"/>
          <w:sz w:val="20"/>
          <w:szCs w:val="20"/>
          <w:lang w:eastAsia="ru-RU"/>
        </w:rPr>
        <w:t>С полным текстом Положения о Корпоративном секретаре Общества можно ознакомиться на корпоративном веб-сайте Общества в сети Интернет по адресу:</w:t>
      </w:r>
      <w:r>
        <w:rPr>
          <w:rFonts w:ascii="Times New Roman" w:hAnsi="Times New Roman" w:cs="Times New Roman"/>
          <w:sz w:val="20"/>
          <w:szCs w:val="20"/>
        </w:rPr>
        <w:t xml:space="preserve"> </w:t>
      </w:r>
      <w:r>
        <w:rPr>
          <w:rStyle w:val="ab"/>
          <w:rFonts w:ascii="Times New Roman" w:hAnsi="Times New Roman"/>
          <w:sz w:val="20"/>
          <w:szCs w:val="20"/>
        </w:rPr>
        <w:t>https://www.rosseti-sib.ru/shareholders_and_investors/korporativnoe-upravlenie/vnutrennie-dokumenty/</w:t>
      </w:r>
    </w:p>
  </w:footnote>
  <w:footnote w:id="33">
    <w:p w:rsidR="00D602D4" w:rsidRDefault="000B4C86">
      <w:pPr>
        <w:spacing w:after="0" w:line="240" w:lineRule="auto"/>
        <w:jc w:val="both"/>
      </w:pPr>
      <w:r>
        <w:rPr>
          <w:rStyle w:val="af1"/>
        </w:rPr>
        <w:footnoteRef/>
      </w:r>
      <w:r>
        <w:t xml:space="preserve"> </w:t>
      </w:r>
      <w:r>
        <w:rPr>
          <w:rFonts w:ascii="Times New Roman" w:eastAsia="Times New Roman" w:hAnsi="Times New Roman"/>
          <w:lang w:eastAsia="ru-RU"/>
        </w:rPr>
        <w:t>С полным текстом Положения о Правлении Общества можно ознакомиться на сайте Общества по адресу:</w:t>
      </w:r>
      <w:r>
        <w:rPr>
          <w:rFonts w:ascii="Times New Roman" w:hAnsi="Times New Roman"/>
        </w:rPr>
        <w:t xml:space="preserve"> </w:t>
      </w:r>
      <w:r>
        <w:rPr>
          <w:rFonts w:ascii="Times New Roman" w:hAnsi="Times New Roman"/>
          <w:color w:val="0000FF"/>
          <w:u w:val="single"/>
        </w:rPr>
        <w:t>https://www.rosseti-sib.ru/shareholders_and_investors/korporativnoe-upravlenie/vnutrennie-dokumenty/</w:t>
      </w:r>
    </w:p>
    <w:p w:rsidR="00D602D4" w:rsidRDefault="00D602D4">
      <w:pPr>
        <w:pStyle w:val="af0"/>
      </w:pPr>
    </w:p>
  </w:footnote>
  <w:footnote w:id="34">
    <w:p w:rsidR="00D602D4" w:rsidRDefault="000B4C86">
      <w:pPr>
        <w:spacing w:after="0" w:line="240" w:lineRule="auto"/>
        <w:jc w:val="both"/>
        <w:rPr>
          <w:sz w:val="20"/>
          <w:szCs w:val="20"/>
        </w:rPr>
      </w:pPr>
      <w:r>
        <w:rPr>
          <w:rStyle w:val="af1"/>
        </w:rPr>
        <w:footnoteRef/>
      </w:r>
      <w:r>
        <w:t xml:space="preserve"> </w:t>
      </w:r>
      <w:r>
        <w:rPr>
          <w:rFonts w:ascii="Times New Roman" w:eastAsia="Times New Roman" w:hAnsi="Times New Roman"/>
          <w:sz w:val="20"/>
          <w:szCs w:val="20"/>
          <w:lang w:eastAsia="ru-RU"/>
        </w:rPr>
        <w:t>С полным текстом Положения о выплате члена Совета директоров ПАО «Россети Сибирь» вознаграждений и компенсаций можно ознакомиться на корпоративном веб-сайте Общества в сети Интернет по адресу:</w:t>
      </w:r>
      <w:r>
        <w:rPr>
          <w:rFonts w:ascii="Times New Roman" w:hAnsi="Times New Roman"/>
          <w:sz w:val="20"/>
          <w:szCs w:val="20"/>
        </w:rPr>
        <w:t xml:space="preserve"> </w:t>
      </w:r>
      <w:r>
        <w:rPr>
          <w:rFonts w:ascii="Times New Roman" w:hAnsi="Times New Roman"/>
          <w:color w:val="0000FF"/>
          <w:sz w:val="20"/>
          <w:szCs w:val="20"/>
          <w:u w:val="single"/>
        </w:rPr>
        <w:t>https://www.rosseti-sib.ru/shareholders_and_investors/korporativnoe-upravlenie/vnutrennie-dokumenty/</w:t>
      </w:r>
    </w:p>
    <w:p w:rsidR="00D602D4" w:rsidRDefault="00D602D4">
      <w:pPr>
        <w:pStyle w:val="af0"/>
      </w:pPr>
    </w:p>
  </w:footnote>
  <w:footnote w:id="35">
    <w:p w:rsidR="00D602D4" w:rsidRDefault="000B4C86">
      <w:pPr>
        <w:pStyle w:val="af0"/>
        <w:ind w:firstLine="0"/>
        <w:rPr>
          <w:sz w:val="16"/>
          <w:szCs w:val="16"/>
        </w:rPr>
      </w:pPr>
      <w:r>
        <w:rPr>
          <w:rStyle w:val="af1"/>
          <w:sz w:val="16"/>
          <w:szCs w:val="16"/>
        </w:rPr>
        <w:footnoteRef/>
      </w:r>
      <w:r>
        <w:rPr>
          <w:sz w:val="16"/>
          <w:szCs w:val="16"/>
        </w:rPr>
        <w:t xml:space="preserve"> С текстом Положения о Совете директоров ПАО «Россети Сибирь» можно ознакомиться на сайте Общества по адресу: https://www.rosseti-sib.ru/shareholders_and_investors/korporativnoe-upravlenie/vnutrennie-dokumenty/</w:t>
      </w:r>
    </w:p>
  </w:footnote>
  <w:footnote w:id="36">
    <w:p w:rsidR="00D602D4" w:rsidRDefault="000B4C86">
      <w:pPr>
        <w:pStyle w:val="af0"/>
        <w:ind w:firstLine="0"/>
        <w:rPr>
          <w:sz w:val="16"/>
          <w:szCs w:val="16"/>
        </w:rPr>
      </w:pPr>
      <w:r>
        <w:rPr>
          <w:rStyle w:val="af1"/>
          <w:sz w:val="16"/>
          <w:szCs w:val="16"/>
        </w:rPr>
        <w:footnoteRef/>
      </w:r>
      <w:r>
        <w:rPr>
          <w:sz w:val="16"/>
          <w:szCs w:val="16"/>
        </w:rPr>
        <w:t xml:space="preserve"> С полным текстом Положения о Правлении Общества можно ознакомиться на сайте Общества по адресу: </w:t>
      </w:r>
      <w:r>
        <w:rPr>
          <w:color w:val="0000FF"/>
          <w:sz w:val="16"/>
          <w:szCs w:val="16"/>
          <w:u w:val="single"/>
        </w:rPr>
        <w:t>https://www.rosseti-sib.ru/shareholders_and_investors/korporativnoe-upravlenie/vnutrennie-dokumenty/</w:t>
      </w:r>
    </w:p>
  </w:footnote>
  <w:footnote w:id="37">
    <w:p w:rsidR="00D602D4" w:rsidRDefault="000B4C86">
      <w:pPr>
        <w:pStyle w:val="af0"/>
      </w:pPr>
      <w:r>
        <w:rPr>
          <w:rStyle w:val="af1"/>
        </w:rPr>
        <w:footnoteRef/>
      </w:r>
      <w:r>
        <w:t xml:space="preserve"> В связи с вступлением в действие с 09.01.2025 новых Международных стандартов внутреннего аудита Института внутренних аудиторов внутренние стандарты, регламентирующие деятельность внутреннего аудита Общества, планируются к актуализации. </w:t>
      </w:r>
    </w:p>
  </w:footnote>
  <w:footnote w:id="38">
    <w:p w:rsidR="00D602D4" w:rsidRDefault="000B4C86">
      <w:pPr>
        <w:pStyle w:val="af0"/>
      </w:pPr>
      <w:r>
        <w:rPr>
          <w:rStyle w:val="af1"/>
        </w:rPr>
        <w:footnoteRef/>
      </w:r>
      <w:r>
        <w:t xml:space="preserve"> Информация раскрыта без учета данных о клиентах номинальных держателей. </w:t>
      </w:r>
    </w:p>
  </w:footnote>
  <w:footnote w:id="39">
    <w:p w:rsidR="00D602D4" w:rsidRDefault="000B4C86">
      <w:pPr>
        <w:spacing w:after="0" w:line="240" w:lineRule="auto"/>
        <w:jc w:val="both"/>
        <w:rPr>
          <w:sz w:val="20"/>
          <w:szCs w:val="20"/>
        </w:rPr>
      </w:pPr>
      <w:r>
        <w:rPr>
          <w:rStyle w:val="af1"/>
        </w:rPr>
        <w:footnoteRef/>
      </w:r>
      <w:r>
        <w:t xml:space="preserve"> </w:t>
      </w:r>
      <w:r>
        <w:rPr>
          <w:rFonts w:ascii="Times New Roman" w:eastAsia="Times New Roman" w:hAnsi="Times New Roman"/>
          <w:sz w:val="20"/>
          <w:szCs w:val="20"/>
          <w:lang w:eastAsia="ru-RU"/>
        </w:rPr>
        <w:t>С полным текстом Положения об инсайдерской информации Общества можно ознакомиться на корпоративном веб-сайте Общества в сети Интернет по адресу:</w:t>
      </w:r>
      <w:r>
        <w:rPr>
          <w:rFonts w:ascii="Times New Roman" w:hAnsi="Times New Roman"/>
          <w:sz w:val="20"/>
          <w:szCs w:val="20"/>
        </w:rPr>
        <w:t xml:space="preserve"> </w:t>
      </w:r>
      <w:r>
        <w:rPr>
          <w:rFonts w:ascii="Times New Roman" w:hAnsi="Times New Roman"/>
          <w:color w:val="0000FF"/>
          <w:sz w:val="20"/>
          <w:szCs w:val="20"/>
          <w:u w:val="single"/>
        </w:rPr>
        <w:t>https://www.rosseti-sib.ru/shareholders_and_investors/vnimaniyu-insayderov/</w:t>
      </w:r>
    </w:p>
    <w:p w:rsidR="00D602D4" w:rsidRDefault="00D602D4">
      <w:pPr>
        <w:pStyle w:val="af0"/>
      </w:pPr>
    </w:p>
  </w:footnote>
  <w:footnote w:id="40">
    <w:p w:rsidR="00D602D4" w:rsidRDefault="000B4C86">
      <w:pPr>
        <w:pStyle w:val="af0"/>
      </w:pPr>
      <w:r>
        <w:rPr>
          <w:rStyle w:val="af1"/>
        </w:rPr>
        <w:footnoteRef/>
      </w:r>
      <w:r>
        <w:t xml:space="preserve"> В 2024 году действовала Стратегия, утвержденная распоряжением Правительства Российской Федерации от 09.06.2020 № 1523-р (документ утратил силу 12.04.2025 в связи изданием Распоряжения Правительства Российской Федерации от 12.04.2025 № 908-р, которым утверждена Энергетическая стратегия Российской Федерации до 2050 года).</w:t>
      </w:r>
    </w:p>
  </w:footnote>
  <w:footnote w:id="41">
    <w:p w:rsidR="00D602D4" w:rsidRDefault="000B4C86">
      <w:pPr>
        <w:pStyle w:val="af0"/>
      </w:pPr>
      <w:r>
        <w:rPr>
          <w:rStyle w:val="af1"/>
        </w:rPr>
        <w:footnoteRef/>
      </w:r>
      <w:r>
        <w:t xml:space="preserve"> В 2024 году действовала Стратегия, утвержденная распоряжением Правительства Российской Федерации от 09.06.2020 № 1523-р (документ утратил силу 12.04.2025 в связи изданием Распоряжения Правительства Российской Федерации от 12.04.2025 № 908-р, которым утверждена Энергетическая стратегия Российской Федерации до 2050 года).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0B4C86">
    <w:pPr>
      <w:pStyle w:val="af4"/>
      <w:framePr w:wrap="around" w:vAnchor="text" w:hAnchor="margin" w:xAlign="center" w:y="1"/>
      <w:rPr>
        <w:rStyle w:val="af6"/>
        <w:rFonts w:eastAsiaTheme="majorEastAsia"/>
      </w:rPr>
    </w:pPr>
    <w:r>
      <w:rPr>
        <w:rStyle w:val="af6"/>
        <w:rFonts w:eastAsiaTheme="majorEastAsia"/>
      </w:rPr>
      <w:fldChar w:fldCharType="begin"/>
    </w:r>
    <w:r>
      <w:rPr>
        <w:rStyle w:val="af6"/>
        <w:rFonts w:eastAsiaTheme="majorEastAsia"/>
      </w:rPr>
      <w:instrText xml:space="preserve">PAGE  </w:instrText>
    </w:r>
    <w:r>
      <w:rPr>
        <w:rStyle w:val="af6"/>
        <w:rFonts w:eastAsiaTheme="majorEastAsia"/>
      </w:rPr>
      <w:fldChar w:fldCharType="end"/>
    </w:r>
  </w:p>
  <w:p w:rsidR="00D602D4" w:rsidRDefault="00D602D4">
    <w:pPr>
      <w:pStyle w:val="af4"/>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D602D4">
    <w:pPr>
      <w:pStyle w:val="af4"/>
      <w:jc w:val="center"/>
    </w:pPr>
  </w:p>
  <w:p w:rsidR="00D602D4" w:rsidRDefault="00D602D4">
    <w:pPr>
      <w:pStyle w:val="af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D602D4">
    <w:pPr>
      <w:pStyle w:val="af4"/>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0B4C86">
    <w:pPr>
      <w:pStyle w:val="af4"/>
      <w:framePr w:wrap="around" w:vAnchor="text" w:hAnchor="margin" w:xAlign="center" w:y="1"/>
      <w:rPr>
        <w:rStyle w:val="af6"/>
        <w:rFonts w:eastAsiaTheme="majorEastAsia"/>
      </w:rPr>
    </w:pPr>
    <w:r>
      <w:rPr>
        <w:rStyle w:val="af6"/>
        <w:rFonts w:eastAsiaTheme="majorEastAsia"/>
      </w:rPr>
      <w:fldChar w:fldCharType="begin"/>
    </w:r>
    <w:r>
      <w:rPr>
        <w:rStyle w:val="af6"/>
        <w:rFonts w:eastAsiaTheme="majorEastAsia"/>
      </w:rPr>
      <w:instrText xml:space="preserve">PAGE  </w:instrText>
    </w:r>
    <w:r>
      <w:rPr>
        <w:rStyle w:val="af6"/>
        <w:rFonts w:eastAsiaTheme="majorEastAsia"/>
      </w:rPr>
      <w:fldChar w:fldCharType="end"/>
    </w:r>
  </w:p>
  <w:p w:rsidR="00D602D4" w:rsidRDefault="00D602D4">
    <w:pPr>
      <w:pStyle w:val="af4"/>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D602D4">
    <w:pPr>
      <w:pStyle w:val="af4"/>
      <w:jc w:val="right"/>
    </w:pPr>
  </w:p>
  <w:p w:rsidR="00D602D4" w:rsidRDefault="00D602D4">
    <w:pPr>
      <w:pStyle w:val="af4"/>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D602D4"/>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D602D4"/>
  <w:p w:rsidR="00D602D4" w:rsidRDefault="00D602D4"/>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02D4" w:rsidRDefault="00D602D4">
    <w:pPr>
      <w:pStyle w:val="af4"/>
      <w:framePr w:wrap="auto" w:vAnchor="text" w:hAnchor="margin" w:xAlign="right" w:y="1"/>
      <w:rPr>
        <w:rStyle w:val="af6"/>
        <w:rFonts w:eastAsiaTheme="majorEastAsia"/>
      </w:rPr>
    </w:pPr>
  </w:p>
  <w:p w:rsidR="00D602D4" w:rsidRDefault="00D602D4">
    <w:pPr>
      <w:pStyle w:val="af4"/>
      <w:ind w:right="36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B491E"/>
    <w:multiLevelType w:val="hybridMultilevel"/>
    <w:tmpl w:val="86865C92"/>
    <w:lvl w:ilvl="0" w:tplc="C14E42D2">
      <w:start w:val="1"/>
      <w:numFmt w:val="bullet"/>
      <w:lvlText w:val=""/>
      <w:lvlJc w:val="left"/>
      <w:pPr>
        <w:ind w:left="1429" w:hanging="360"/>
      </w:pPr>
      <w:rPr>
        <w:rFonts w:ascii="Symbol" w:hAnsi="Symbol" w:hint="default"/>
      </w:rPr>
    </w:lvl>
    <w:lvl w:ilvl="1" w:tplc="E714A2FA">
      <w:start w:val="1"/>
      <w:numFmt w:val="bullet"/>
      <w:lvlText w:val="o"/>
      <w:lvlJc w:val="left"/>
      <w:pPr>
        <w:ind w:left="2149" w:hanging="360"/>
      </w:pPr>
      <w:rPr>
        <w:rFonts w:ascii="Courier New" w:hAnsi="Courier New" w:cs="Courier New" w:hint="default"/>
      </w:rPr>
    </w:lvl>
    <w:lvl w:ilvl="2" w:tplc="F356BF0C">
      <w:start w:val="1"/>
      <w:numFmt w:val="bullet"/>
      <w:lvlText w:val=""/>
      <w:lvlJc w:val="left"/>
      <w:pPr>
        <w:ind w:left="2869" w:hanging="360"/>
      </w:pPr>
      <w:rPr>
        <w:rFonts w:ascii="Wingdings" w:hAnsi="Wingdings" w:hint="default"/>
      </w:rPr>
    </w:lvl>
    <w:lvl w:ilvl="3" w:tplc="DFD81B7C">
      <w:start w:val="1"/>
      <w:numFmt w:val="bullet"/>
      <w:lvlText w:val=""/>
      <w:lvlJc w:val="left"/>
      <w:pPr>
        <w:ind w:left="3589" w:hanging="360"/>
      </w:pPr>
      <w:rPr>
        <w:rFonts w:ascii="Symbol" w:hAnsi="Symbol" w:hint="default"/>
      </w:rPr>
    </w:lvl>
    <w:lvl w:ilvl="4" w:tplc="BB08D046">
      <w:start w:val="1"/>
      <w:numFmt w:val="bullet"/>
      <w:lvlText w:val="o"/>
      <w:lvlJc w:val="left"/>
      <w:pPr>
        <w:ind w:left="4309" w:hanging="360"/>
      </w:pPr>
      <w:rPr>
        <w:rFonts w:ascii="Courier New" w:hAnsi="Courier New" w:cs="Courier New" w:hint="default"/>
      </w:rPr>
    </w:lvl>
    <w:lvl w:ilvl="5" w:tplc="9F0E6EC8">
      <w:start w:val="1"/>
      <w:numFmt w:val="bullet"/>
      <w:lvlText w:val=""/>
      <w:lvlJc w:val="left"/>
      <w:pPr>
        <w:ind w:left="5029" w:hanging="360"/>
      </w:pPr>
      <w:rPr>
        <w:rFonts w:ascii="Wingdings" w:hAnsi="Wingdings" w:hint="default"/>
      </w:rPr>
    </w:lvl>
    <w:lvl w:ilvl="6" w:tplc="843EDBAC">
      <w:start w:val="1"/>
      <w:numFmt w:val="bullet"/>
      <w:lvlText w:val=""/>
      <w:lvlJc w:val="left"/>
      <w:pPr>
        <w:ind w:left="5749" w:hanging="360"/>
      </w:pPr>
      <w:rPr>
        <w:rFonts w:ascii="Symbol" w:hAnsi="Symbol" w:hint="default"/>
      </w:rPr>
    </w:lvl>
    <w:lvl w:ilvl="7" w:tplc="0C768AA6">
      <w:start w:val="1"/>
      <w:numFmt w:val="bullet"/>
      <w:lvlText w:val="o"/>
      <w:lvlJc w:val="left"/>
      <w:pPr>
        <w:ind w:left="6469" w:hanging="360"/>
      </w:pPr>
      <w:rPr>
        <w:rFonts w:ascii="Courier New" w:hAnsi="Courier New" w:cs="Courier New" w:hint="default"/>
      </w:rPr>
    </w:lvl>
    <w:lvl w:ilvl="8" w:tplc="93746EB2">
      <w:start w:val="1"/>
      <w:numFmt w:val="bullet"/>
      <w:lvlText w:val=""/>
      <w:lvlJc w:val="left"/>
      <w:pPr>
        <w:ind w:left="7189" w:hanging="360"/>
      </w:pPr>
      <w:rPr>
        <w:rFonts w:ascii="Wingdings" w:hAnsi="Wingdings" w:hint="default"/>
      </w:rPr>
    </w:lvl>
  </w:abstractNum>
  <w:abstractNum w:abstractNumId="1" w15:restartNumberingAfterBreak="0">
    <w:nsid w:val="02286D74"/>
    <w:multiLevelType w:val="hybridMultilevel"/>
    <w:tmpl w:val="732CE20E"/>
    <w:lvl w:ilvl="0" w:tplc="E4264920">
      <w:start w:val="1"/>
      <w:numFmt w:val="bullet"/>
      <w:lvlText w:val="–"/>
      <w:lvlJc w:val="left"/>
      <w:pPr>
        <w:ind w:left="1418" w:hanging="360"/>
      </w:pPr>
      <w:rPr>
        <w:rFonts w:ascii="Arial" w:eastAsia="Arial" w:hAnsi="Arial" w:cs="Arial" w:hint="default"/>
      </w:rPr>
    </w:lvl>
    <w:lvl w:ilvl="1" w:tplc="DCBE14DC">
      <w:start w:val="1"/>
      <w:numFmt w:val="bullet"/>
      <w:lvlText w:val="o"/>
      <w:lvlJc w:val="left"/>
      <w:pPr>
        <w:ind w:left="2138" w:hanging="360"/>
      </w:pPr>
      <w:rPr>
        <w:rFonts w:ascii="Courier New" w:eastAsia="Courier New" w:hAnsi="Courier New" w:cs="Courier New" w:hint="default"/>
      </w:rPr>
    </w:lvl>
    <w:lvl w:ilvl="2" w:tplc="7EC00E0A">
      <w:start w:val="1"/>
      <w:numFmt w:val="bullet"/>
      <w:lvlText w:val="§"/>
      <w:lvlJc w:val="left"/>
      <w:pPr>
        <w:ind w:left="2858" w:hanging="360"/>
      </w:pPr>
      <w:rPr>
        <w:rFonts w:ascii="Wingdings" w:eastAsia="Wingdings" w:hAnsi="Wingdings" w:cs="Wingdings" w:hint="default"/>
      </w:rPr>
    </w:lvl>
    <w:lvl w:ilvl="3" w:tplc="DF1CAFFA">
      <w:start w:val="1"/>
      <w:numFmt w:val="bullet"/>
      <w:lvlText w:val="·"/>
      <w:lvlJc w:val="left"/>
      <w:pPr>
        <w:ind w:left="3578" w:hanging="360"/>
      </w:pPr>
      <w:rPr>
        <w:rFonts w:ascii="Symbol" w:eastAsia="Symbol" w:hAnsi="Symbol" w:cs="Symbol" w:hint="default"/>
      </w:rPr>
    </w:lvl>
    <w:lvl w:ilvl="4" w:tplc="A7668A9A">
      <w:start w:val="1"/>
      <w:numFmt w:val="bullet"/>
      <w:lvlText w:val="o"/>
      <w:lvlJc w:val="left"/>
      <w:pPr>
        <w:ind w:left="4298" w:hanging="360"/>
      </w:pPr>
      <w:rPr>
        <w:rFonts w:ascii="Courier New" w:eastAsia="Courier New" w:hAnsi="Courier New" w:cs="Courier New" w:hint="default"/>
      </w:rPr>
    </w:lvl>
    <w:lvl w:ilvl="5" w:tplc="C3228E4A">
      <w:start w:val="1"/>
      <w:numFmt w:val="bullet"/>
      <w:lvlText w:val="§"/>
      <w:lvlJc w:val="left"/>
      <w:pPr>
        <w:ind w:left="5018" w:hanging="360"/>
      </w:pPr>
      <w:rPr>
        <w:rFonts w:ascii="Wingdings" w:eastAsia="Wingdings" w:hAnsi="Wingdings" w:cs="Wingdings" w:hint="default"/>
      </w:rPr>
    </w:lvl>
    <w:lvl w:ilvl="6" w:tplc="2304CCD6">
      <w:start w:val="1"/>
      <w:numFmt w:val="bullet"/>
      <w:lvlText w:val="·"/>
      <w:lvlJc w:val="left"/>
      <w:pPr>
        <w:ind w:left="5738" w:hanging="360"/>
      </w:pPr>
      <w:rPr>
        <w:rFonts w:ascii="Symbol" w:eastAsia="Symbol" w:hAnsi="Symbol" w:cs="Symbol" w:hint="default"/>
      </w:rPr>
    </w:lvl>
    <w:lvl w:ilvl="7" w:tplc="EBF22F1C">
      <w:start w:val="1"/>
      <w:numFmt w:val="bullet"/>
      <w:lvlText w:val="o"/>
      <w:lvlJc w:val="left"/>
      <w:pPr>
        <w:ind w:left="6458" w:hanging="360"/>
      </w:pPr>
      <w:rPr>
        <w:rFonts w:ascii="Courier New" w:eastAsia="Courier New" w:hAnsi="Courier New" w:cs="Courier New" w:hint="default"/>
      </w:rPr>
    </w:lvl>
    <w:lvl w:ilvl="8" w:tplc="BD60912E">
      <w:start w:val="1"/>
      <w:numFmt w:val="bullet"/>
      <w:lvlText w:val="§"/>
      <w:lvlJc w:val="left"/>
      <w:pPr>
        <w:ind w:left="7178" w:hanging="360"/>
      </w:pPr>
      <w:rPr>
        <w:rFonts w:ascii="Wingdings" w:eastAsia="Wingdings" w:hAnsi="Wingdings" w:cs="Wingdings" w:hint="default"/>
      </w:rPr>
    </w:lvl>
  </w:abstractNum>
  <w:abstractNum w:abstractNumId="2" w15:restartNumberingAfterBreak="0">
    <w:nsid w:val="046B3F7E"/>
    <w:multiLevelType w:val="hybridMultilevel"/>
    <w:tmpl w:val="23EA4CB8"/>
    <w:lvl w:ilvl="0" w:tplc="B526232C">
      <w:start w:val="1"/>
      <w:numFmt w:val="bullet"/>
      <w:lvlText w:val=""/>
      <w:lvlJc w:val="left"/>
      <w:pPr>
        <w:ind w:left="7023" w:hanging="360"/>
      </w:pPr>
      <w:rPr>
        <w:rFonts w:ascii="Symbol" w:hAnsi="Symbol" w:hint="default"/>
        <w:highlight w:val="white"/>
      </w:rPr>
    </w:lvl>
    <w:lvl w:ilvl="1" w:tplc="9216D852">
      <w:start w:val="1"/>
      <w:numFmt w:val="bullet"/>
      <w:lvlText w:val="o"/>
      <w:lvlJc w:val="left"/>
      <w:pPr>
        <w:ind w:left="1647" w:hanging="360"/>
      </w:pPr>
      <w:rPr>
        <w:rFonts w:ascii="Courier New" w:hAnsi="Courier New" w:cs="Courier New" w:hint="default"/>
        <w:highlight w:val="white"/>
      </w:rPr>
    </w:lvl>
    <w:lvl w:ilvl="2" w:tplc="4210C862">
      <w:start w:val="1"/>
      <w:numFmt w:val="bullet"/>
      <w:lvlText w:val=""/>
      <w:lvlJc w:val="left"/>
      <w:pPr>
        <w:ind w:left="2367" w:hanging="360"/>
      </w:pPr>
      <w:rPr>
        <w:rFonts w:ascii="Wingdings" w:hAnsi="Wingdings" w:hint="default"/>
      </w:rPr>
    </w:lvl>
    <w:lvl w:ilvl="3" w:tplc="142E9148">
      <w:start w:val="1"/>
      <w:numFmt w:val="bullet"/>
      <w:lvlText w:val=""/>
      <w:lvlJc w:val="left"/>
      <w:pPr>
        <w:ind w:left="3087" w:hanging="360"/>
      </w:pPr>
      <w:rPr>
        <w:rFonts w:ascii="Symbol" w:hAnsi="Symbol" w:hint="default"/>
      </w:rPr>
    </w:lvl>
    <w:lvl w:ilvl="4" w:tplc="23CA6D4C">
      <w:start w:val="1"/>
      <w:numFmt w:val="bullet"/>
      <w:lvlText w:val="o"/>
      <w:lvlJc w:val="left"/>
      <w:pPr>
        <w:ind w:left="3807" w:hanging="360"/>
      </w:pPr>
      <w:rPr>
        <w:rFonts w:ascii="Courier New" w:hAnsi="Courier New" w:cs="Courier New" w:hint="default"/>
      </w:rPr>
    </w:lvl>
    <w:lvl w:ilvl="5" w:tplc="74FA36E8">
      <w:start w:val="1"/>
      <w:numFmt w:val="bullet"/>
      <w:lvlText w:val=""/>
      <w:lvlJc w:val="left"/>
      <w:pPr>
        <w:ind w:left="4527" w:hanging="360"/>
      </w:pPr>
      <w:rPr>
        <w:rFonts w:ascii="Wingdings" w:hAnsi="Wingdings" w:hint="default"/>
      </w:rPr>
    </w:lvl>
    <w:lvl w:ilvl="6" w:tplc="C2AEFE42">
      <w:start w:val="1"/>
      <w:numFmt w:val="bullet"/>
      <w:lvlText w:val=""/>
      <w:lvlJc w:val="left"/>
      <w:pPr>
        <w:ind w:left="5247" w:hanging="360"/>
      </w:pPr>
      <w:rPr>
        <w:rFonts w:ascii="Symbol" w:hAnsi="Symbol" w:hint="default"/>
      </w:rPr>
    </w:lvl>
    <w:lvl w:ilvl="7" w:tplc="DC9843A0">
      <w:start w:val="1"/>
      <w:numFmt w:val="bullet"/>
      <w:lvlText w:val="o"/>
      <w:lvlJc w:val="left"/>
      <w:pPr>
        <w:ind w:left="5967" w:hanging="360"/>
      </w:pPr>
      <w:rPr>
        <w:rFonts w:ascii="Courier New" w:hAnsi="Courier New" w:cs="Courier New" w:hint="default"/>
      </w:rPr>
    </w:lvl>
    <w:lvl w:ilvl="8" w:tplc="9DC04442">
      <w:start w:val="1"/>
      <w:numFmt w:val="bullet"/>
      <w:lvlText w:val=""/>
      <w:lvlJc w:val="left"/>
      <w:pPr>
        <w:ind w:left="6687" w:hanging="360"/>
      </w:pPr>
      <w:rPr>
        <w:rFonts w:ascii="Wingdings" w:hAnsi="Wingdings" w:hint="default"/>
      </w:rPr>
    </w:lvl>
  </w:abstractNum>
  <w:abstractNum w:abstractNumId="3" w15:restartNumberingAfterBreak="0">
    <w:nsid w:val="04747D1C"/>
    <w:multiLevelType w:val="hybridMultilevel"/>
    <w:tmpl w:val="D08078F4"/>
    <w:lvl w:ilvl="0" w:tplc="C386825E">
      <w:start w:val="1"/>
      <w:numFmt w:val="bullet"/>
      <w:lvlText w:val="–"/>
      <w:lvlJc w:val="left"/>
      <w:pPr>
        <w:ind w:left="709" w:hanging="360"/>
      </w:pPr>
      <w:rPr>
        <w:rFonts w:ascii="Arial" w:eastAsia="Arial" w:hAnsi="Arial" w:cs="Arial" w:hint="default"/>
      </w:rPr>
    </w:lvl>
    <w:lvl w:ilvl="1" w:tplc="BDE6D3C4">
      <w:start w:val="1"/>
      <w:numFmt w:val="bullet"/>
      <w:lvlText w:val="o"/>
      <w:lvlJc w:val="left"/>
      <w:pPr>
        <w:ind w:left="1429" w:hanging="360"/>
      </w:pPr>
      <w:rPr>
        <w:rFonts w:ascii="Courier New" w:eastAsia="Courier New" w:hAnsi="Courier New" w:cs="Courier New" w:hint="default"/>
      </w:rPr>
    </w:lvl>
    <w:lvl w:ilvl="2" w:tplc="82047938">
      <w:start w:val="1"/>
      <w:numFmt w:val="bullet"/>
      <w:lvlText w:val="§"/>
      <w:lvlJc w:val="left"/>
      <w:pPr>
        <w:ind w:left="2149" w:hanging="360"/>
      </w:pPr>
      <w:rPr>
        <w:rFonts w:ascii="Wingdings" w:eastAsia="Wingdings" w:hAnsi="Wingdings" w:cs="Wingdings" w:hint="default"/>
      </w:rPr>
    </w:lvl>
    <w:lvl w:ilvl="3" w:tplc="E92CCEA0">
      <w:start w:val="1"/>
      <w:numFmt w:val="bullet"/>
      <w:lvlText w:val="·"/>
      <w:lvlJc w:val="left"/>
      <w:pPr>
        <w:ind w:left="2869" w:hanging="360"/>
      </w:pPr>
      <w:rPr>
        <w:rFonts w:ascii="Symbol" w:eastAsia="Symbol" w:hAnsi="Symbol" w:cs="Symbol" w:hint="default"/>
      </w:rPr>
    </w:lvl>
    <w:lvl w:ilvl="4" w:tplc="6F823E74">
      <w:start w:val="1"/>
      <w:numFmt w:val="bullet"/>
      <w:lvlText w:val="o"/>
      <w:lvlJc w:val="left"/>
      <w:pPr>
        <w:ind w:left="3589" w:hanging="360"/>
      </w:pPr>
      <w:rPr>
        <w:rFonts w:ascii="Courier New" w:eastAsia="Courier New" w:hAnsi="Courier New" w:cs="Courier New" w:hint="default"/>
      </w:rPr>
    </w:lvl>
    <w:lvl w:ilvl="5" w:tplc="34AC201C">
      <w:start w:val="1"/>
      <w:numFmt w:val="bullet"/>
      <w:lvlText w:val="§"/>
      <w:lvlJc w:val="left"/>
      <w:pPr>
        <w:ind w:left="4309" w:hanging="360"/>
      </w:pPr>
      <w:rPr>
        <w:rFonts w:ascii="Wingdings" w:eastAsia="Wingdings" w:hAnsi="Wingdings" w:cs="Wingdings" w:hint="default"/>
      </w:rPr>
    </w:lvl>
    <w:lvl w:ilvl="6" w:tplc="5CC2DC6A">
      <w:start w:val="1"/>
      <w:numFmt w:val="bullet"/>
      <w:lvlText w:val="·"/>
      <w:lvlJc w:val="left"/>
      <w:pPr>
        <w:ind w:left="5029" w:hanging="360"/>
      </w:pPr>
      <w:rPr>
        <w:rFonts w:ascii="Symbol" w:eastAsia="Symbol" w:hAnsi="Symbol" w:cs="Symbol" w:hint="default"/>
      </w:rPr>
    </w:lvl>
    <w:lvl w:ilvl="7" w:tplc="8EF271E2">
      <w:start w:val="1"/>
      <w:numFmt w:val="bullet"/>
      <w:lvlText w:val="o"/>
      <w:lvlJc w:val="left"/>
      <w:pPr>
        <w:ind w:left="5749" w:hanging="360"/>
      </w:pPr>
      <w:rPr>
        <w:rFonts w:ascii="Courier New" w:eastAsia="Courier New" w:hAnsi="Courier New" w:cs="Courier New" w:hint="default"/>
      </w:rPr>
    </w:lvl>
    <w:lvl w:ilvl="8" w:tplc="6B0AC740">
      <w:start w:val="1"/>
      <w:numFmt w:val="bullet"/>
      <w:lvlText w:val="§"/>
      <w:lvlJc w:val="left"/>
      <w:pPr>
        <w:ind w:left="6469" w:hanging="360"/>
      </w:pPr>
      <w:rPr>
        <w:rFonts w:ascii="Wingdings" w:eastAsia="Wingdings" w:hAnsi="Wingdings" w:cs="Wingdings" w:hint="default"/>
      </w:rPr>
    </w:lvl>
  </w:abstractNum>
  <w:abstractNum w:abstractNumId="4" w15:restartNumberingAfterBreak="0">
    <w:nsid w:val="06C25FD4"/>
    <w:multiLevelType w:val="hybridMultilevel"/>
    <w:tmpl w:val="4B6617D8"/>
    <w:lvl w:ilvl="0" w:tplc="1B144442">
      <w:start w:val="1"/>
      <w:numFmt w:val="decimal"/>
      <w:pStyle w:val="a"/>
      <w:lvlText w:val="%1."/>
      <w:lvlJc w:val="left"/>
      <w:pPr>
        <w:ind w:left="1429" w:hanging="360"/>
      </w:pPr>
    </w:lvl>
    <w:lvl w:ilvl="1" w:tplc="0FE052DE">
      <w:start w:val="1"/>
      <w:numFmt w:val="lowerLetter"/>
      <w:lvlText w:val="%2."/>
      <w:lvlJc w:val="left"/>
      <w:pPr>
        <w:ind w:left="2149" w:hanging="360"/>
      </w:pPr>
    </w:lvl>
    <w:lvl w:ilvl="2" w:tplc="A33A6F1E">
      <w:start w:val="1"/>
      <w:numFmt w:val="lowerRoman"/>
      <w:lvlText w:val="%3."/>
      <w:lvlJc w:val="right"/>
      <w:pPr>
        <w:ind w:left="2869" w:hanging="180"/>
      </w:pPr>
    </w:lvl>
    <w:lvl w:ilvl="3" w:tplc="348AEAA2">
      <w:start w:val="1"/>
      <w:numFmt w:val="decimal"/>
      <w:lvlText w:val="%4."/>
      <w:lvlJc w:val="left"/>
      <w:pPr>
        <w:ind w:left="3589" w:hanging="360"/>
      </w:pPr>
    </w:lvl>
    <w:lvl w:ilvl="4" w:tplc="C70A51F6">
      <w:start w:val="1"/>
      <w:numFmt w:val="lowerLetter"/>
      <w:lvlText w:val="%5."/>
      <w:lvlJc w:val="left"/>
      <w:pPr>
        <w:ind w:left="4309" w:hanging="360"/>
      </w:pPr>
    </w:lvl>
    <w:lvl w:ilvl="5" w:tplc="BC14E8D0">
      <w:start w:val="1"/>
      <w:numFmt w:val="lowerRoman"/>
      <w:lvlText w:val="%6."/>
      <w:lvlJc w:val="right"/>
      <w:pPr>
        <w:ind w:left="5029" w:hanging="180"/>
      </w:pPr>
    </w:lvl>
    <w:lvl w:ilvl="6" w:tplc="35043C98">
      <w:start w:val="1"/>
      <w:numFmt w:val="decimal"/>
      <w:lvlText w:val="%7."/>
      <w:lvlJc w:val="left"/>
      <w:pPr>
        <w:ind w:left="5749" w:hanging="360"/>
      </w:pPr>
    </w:lvl>
    <w:lvl w:ilvl="7" w:tplc="FCA863EC">
      <w:start w:val="1"/>
      <w:numFmt w:val="lowerLetter"/>
      <w:lvlText w:val="%8."/>
      <w:lvlJc w:val="left"/>
      <w:pPr>
        <w:ind w:left="6469" w:hanging="360"/>
      </w:pPr>
    </w:lvl>
    <w:lvl w:ilvl="8" w:tplc="B882D0CC">
      <w:start w:val="1"/>
      <w:numFmt w:val="lowerRoman"/>
      <w:lvlText w:val="%9."/>
      <w:lvlJc w:val="right"/>
      <w:pPr>
        <w:ind w:left="7189" w:hanging="180"/>
      </w:pPr>
    </w:lvl>
  </w:abstractNum>
  <w:abstractNum w:abstractNumId="5" w15:restartNumberingAfterBreak="0">
    <w:nsid w:val="07BE3C66"/>
    <w:multiLevelType w:val="hybridMultilevel"/>
    <w:tmpl w:val="91783B5C"/>
    <w:lvl w:ilvl="0" w:tplc="95184D02">
      <w:start w:val="1"/>
      <w:numFmt w:val="bullet"/>
      <w:lvlText w:val="–"/>
      <w:lvlJc w:val="left"/>
      <w:pPr>
        <w:ind w:left="1417" w:hanging="360"/>
      </w:pPr>
      <w:rPr>
        <w:rFonts w:ascii="Arial" w:eastAsia="Arial" w:hAnsi="Arial" w:cs="Arial" w:hint="default"/>
      </w:rPr>
    </w:lvl>
    <w:lvl w:ilvl="1" w:tplc="9AB6E0FA">
      <w:start w:val="1"/>
      <w:numFmt w:val="bullet"/>
      <w:lvlText w:val="o"/>
      <w:lvlJc w:val="left"/>
      <w:pPr>
        <w:ind w:left="2137" w:hanging="360"/>
      </w:pPr>
      <w:rPr>
        <w:rFonts w:ascii="Courier New" w:eastAsia="Courier New" w:hAnsi="Courier New" w:cs="Courier New" w:hint="default"/>
      </w:rPr>
    </w:lvl>
    <w:lvl w:ilvl="2" w:tplc="5D3AE2E2">
      <w:start w:val="1"/>
      <w:numFmt w:val="bullet"/>
      <w:lvlText w:val="§"/>
      <w:lvlJc w:val="left"/>
      <w:pPr>
        <w:ind w:left="2857" w:hanging="360"/>
      </w:pPr>
      <w:rPr>
        <w:rFonts w:ascii="Wingdings" w:eastAsia="Wingdings" w:hAnsi="Wingdings" w:cs="Wingdings" w:hint="default"/>
      </w:rPr>
    </w:lvl>
    <w:lvl w:ilvl="3" w:tplc="A8508288">
      <w:start w:val="1"/>
      <w:numFmt w:val="bullet"/>
      <w:lvlText w:val="·"/>
      <w:lvlJc w:val="left"/>
      <w:pPr>
        <w:ind w:left="3577" w:hanging="360"/>
      </w:pPr>
      <w:rPr>
        <w:rFonts w:ascii="Symbol" w:eastAsia="Symbol" w:hAnsi="Symbol" w:cs="Symbol" w:hint="default"/>
      </w:rPr>
    </w:lvl>
    <w:lvl w:ilvl="4" w:tplc="10E441CA">
      <w:start w:val="1"/>
      <w:numFmt w:val="bullet"/>
      <w:lvlText w:val="o"/>
      <w:lvlJc w:val="left"/>
      <w:pPr>
        <w:ind w:left="4297" w:hanging="360"/>
      </w:pPr>
      <w:rPr>
        <w:rFonts w:ascii="Courier New" w:eastAsia="Courier New" w:hAnsi="Courier New" w:cs="Courier New" w:hint="default"/>
      </w:rPr>
    </w:lvl>
    <w:lvl w:ilvl="5" w:tplc="5A5872DA">
      <w:start w:val="1"/>
      <w:numFmt w:val="bullet"/>
      <w:lvlText w:val="§"/>
      <w:lvlJc w:val="left"/>
      <w:pPr>
        <w:ind w:left="5017" w:hanging="360"/>
      </w:pPr>
      <w:rPr>
        <w:rFonts w:ascii="Wingdings" w:eastAsia="Wingdings" w:hAnsi="Wingdings" w:cs="Wingdings" w:hint="default"/>
      </w:rPr>
    </w:lvl>
    <w:lvl w:ilvl="6" w:tplc="89109360">
      <w:start w:val="1"/>
      <w:numFmt w:val="bullet"/>
      <w:lvlText w:val="·"/>
      <w:lvlJc w:val="left"/>
      <w:pPr>
        <w:ind w:left="5737" w:hanging="360"/>
      </w:pPr>
      <w:rPr>
        <w:rFonts w:ascii="Symbol" w:eastAsia="Symbol" w:hAnsi="Symbol" w:cs="Symbol" w:hint="default"/>
      </w:rPr>
    </w:lvl>
    <w:lvl w:ilvl="7" w:tplc="43C4434E">
      <w:start w:val="1"/>
      <w:numFmt w:val="bullet"/>
      <w:lvlText w:val="o"/>
      <w:lvlJc w:val="left"/>
      <w:pPr>
        <w:ind w:left="6457" w:hanging="360"/>
      </w:pPr>
      <w:rPr>
        <w:rFonts w:ascii="Courier New" w:eastAsia="Courier New" w:hAnsi="Courier New" w:cs="Courier New" w:hint="default"/>
      </w:rPr>
    </w:lvl>
    <w:lvl w:ilvl="8" w:tplc="8F7877D2">
      <w:start w:val="1"/>
      <w:numFmt w:val="bullet"/>
      <w:lvlText w:val="§"/>
      <w:lvlJc w:val="left"/>
      <w:pPr>
        <w:ind w:left="7177" w:hanging="360"/>
      </w:pPr>
      <w:rPr>
        <w:rFonts w:ascii="Wingdings" w:eastAsia="Wingdings" w:hAnsi="Wingdings" w:cs="Wingdings" w:hint="default"/>
      </w:rPr>
    </w:lvl>
  </w:abstractNum>
  <w:abstractNum w:abstractNumId="6" w15:restartNumberingAfterBreak="0">
    <w:nsid w:val="085844F3"/>
    <w:multiLevelType w:val="hybridMultilevel"/>
    <w:tmpl w:val="E44829AA"/>
    <w:lvl w:ilvl="0" w:tplc="AD123D60">
      <w:start w:val="1"/>
      <w:numFmt w:val="bullet"/>
      <w:lvlText w:val=""/>
      <w:lvlJc w:val="left"/>
      <w:pPr>
        <w:ind w:left="1287" w:hanging="360"/>
      </w:pPr>
      <w:rPr>
        <w:rFonts w:ascii="Symbol" w:hAnsi="Symbol" w:hint="default"/>
      </w:rPr>
    </w:lvl>
    <w:lvl w:ilvl="1" w:tplc="0C6254E6">
      <w:start w:val="1"/>
      <w:numFmt w:val="bullet"/>
      <w:lvlText w:val="o"/>
      <w:lvlJc w:val="left"/>
      <w:pPr>
        <w:ind w:left="2007" w:hanging="360"/>
      </w:pPr>
      <w:rPr>
        <w:rFonts w:ascii="Courier New" w:hAnsi="Courier New" w:cs="Courier New" w:hint="default"/>
      </w:rPr>
    </w:lvl>
    <w:lvl w:ilvl="2" w:tplc="5BF8D046">
      <w:start w:val="1"/>
      <w:numFmt w:val="bullet"/>
      <w:lvlText w:val=""/>
      <w:lvlJc w:val="left"/>
      <w:pPr>
        <w:ind w:left="2727" w:hanging="360"/>
      </w:pPr>
      <w:rPr>
        <w:rFonts w:ascii="Wingdings" w:hAnsi="Wingdings" w:hint="default"/>
      </w:rPr>
    </w:lvl>
    <w:lvl w:ilvl="3" w:tplc="8B84C226">
      <w:start w:val="1"/>
      <w:numFmt w:val="bullet"/>
      <w:lvlText w:val=""/>
      <w:lvlJc w:val="left"/>
      <w:pPr>
        <w:ind w:left="3447" w:hanging="360"/>
      </w:pPr>
      <w:rPr>
        <w:rFonts w:ascii="Symbol" w:hAnsi="Symbol" w:hint="default"/>
      </w:rPr>
    </w:lvl>
    <w:lvl w:ilvl="4" w:tplc="ADAC2880">
      <w:start w:val="1"/>
      <w:numFmt w:val="bullet"/>
      <w:lvlText w:val="o"/>
      <w:lvlJc w:val="left"/>
      <w:pPr>
        <w:ind w:left="4167" w:hanging="360"/>
      </w:pPr>
      <w:rPr>
        <w:rFonts w:ascii="Courier New" w:hAnsi="Courier New" w:cs="Courier New" w:hint="default"/>
      </w:rPr>
    </w:lvl>
    <w:lvl w:ilvl="5" w:tplc="3CC6D03E">
      <w:start w:val="1"/>
      <w:numFmt w:val="bullet"/>
      <w:lvlText w:val=""/>
      <w:lvlJc w:val="left"/>
      <w:pPr>
        <w:ind w:left="4887" w:hanging="360"/>
      </w:pPr>
      <w:rPr>
        <w:rFonts w:ascii="Wingdings" w:hAnsi="Wingdings" w:hint="default"/>
      </w:rPr>
    </w:lvl>
    <w:lvl w:ilvl="6" w:tplc="7E449746">
      <w:start w:val="1"/>
      <w:numFmt w:val="bullet"/>
      <w:lvlText w:val=""/>
      <w:lvlJc w:val="left"/>
      <w:pPr>
        <w:ind w:left="5607" w:hanging="360"/>
      </w:pPr>
      <w:rPr>
        <w:rFonts w:ascii="Symbol" w:hAnsi="Symbol" w:hint="default"/>
      </w:rPr>
    </w:lvl>
    <w:lvl w:ilvl="7" w:tplc="E2E02C60">
      <w:start w:val="1"/>
      <w:numFmt w:val="bullet"/>
      <w:lvlText w:val="o"/>
      <w:lvlJc w:val="left"/>
      <w:pPr>
        <w:ind w:left="6327" w:hanging="360"/>
      </w:pPr>
      <w:rPr>
        <w:rFonts w:ascii="Courier New" w:hAnsi="Courier New" w:cs="Courier New" w:hint="default"/>
      </w:rPr>
    </w:lvl>
    <w:lvl w:ilvl="8" w:tplc="AE7C3E48">
      <w:start w:val="1"/>
      <w:numFmt w:val="bullet"/>
      <w:lvlText w:val=""/>
      <w:lvlJc w:val="left"/>
      <w:pPr>
        <w:ind w:left="7047" w:hanging="360"/>
      </w:pPr>
      <w:rPr>
        <w:rFonts w:ascii="Wingdings" w:hAnsi="Wingdings" w:hint="default"/>
      </w:rPr>
    </w:lvl>
  </w:abstractNum>
  <w:abstractNum w:abstractNumId="7" w15:restartNumberingAfterBreak="0">
    <w:nsid w:val="086E1DC4"/>
    <w:multiLevelType w:val="hybridMultilevel"/>
    <w:tmpl w:val="3CCE2478"/>
    <w:lvl w:ilvl="0" w:tplc="5CCEAE28">
      <w:start w:val="1"/>
      <w:numFmt w:val="bullet"/>
      <w:lvlText w:val="–"/>
      <w:lvlJc w:val="left"/>
      <w:pPr>
        <w:ind w:left="709" w:hanging="360"/>
      </w:pPr>
      <w:rPr>
        <w:rFonts w:ascii="Arial" w:eastAsia="Arial" w:hAnsi="Arial" w:cs="Arial" w:hint="default"/>
      </w:rPr>
    </w:lvl>
    <w:lvl w:ilvl="1" w:tplc="A25C29F2">
      <w:start w:val="1"/>
      <w:numFmt w:val="bullet"/>
      <w:lvlText w:val="o"/>
      <w:lvlJc w:val="left"/>
      <w:pPr>
        <w:ind w:left="1429" w:hanging="360"/>
      </w:pPr>
      <w:rPr>
        <w:rFonts w:ascii="Courier New" w:eastAsia="Courier New" w:hAnsi="Courier New" w:cs="Courier New" w:hint="default"/>
      </w:rPr>
    </w:lvl>
    <w:lvl w:ilvl="2" w:tplc="91328E64">
      <w:start w:val="1"/>
      <w:numFmt w:val="bullet"/>
      <w:lvlText w:val="§"/>
      <w:lvlJc w:val="left"/>
      <w:pPr>
        <w:ind w:left="2149" w:hanging="360"/>
      </w:pPr>
      <w:rPr>
        <w:rFonts w:ascii="Wingdings" w:eastAsia="Wingdings" w:hAnsi="Wingdings" w:cs="Wingdings" w:hint="default"/>
      </w:rPr>
    </w:lvl>
    <w:lvl w:ilvl="3" w:tplc="FAA89F4E">
      <w:start w:val="1"/>
      <w:numFmt w:val="bullet"/>
      <w:lvlText w:val="·"/>
      <w:lvlJc w:val="left"/>
      <w:pPr>
        <w:ind w:left="2869" w:hanging="360"/>
      </w:pPr>
      <w:rPr>
        <w:rFonts w:ascii="Symbol" w:eastAsia="Symbol" w:hAnsi="Symbol" w:cs="Symbol" w:hint="default"/>
      </w:rPr>
    </w:lvl>
    <w:lvl w:ilvl="4" w:tplc="DD42BCE8">
      <w:start w:val="1"/>
      <w:numFmt w:val="bullet"/>
      <w:lvlText w:val="o"/>
      <w:lvlJc w:val="left"/>
      <w:pPr>
        <w:ind w:left="3589" w:hanging="360"/>
      </w:pPr>
      <w:rPr>
        <w:rFonts w:ascii="Courier New" w:eastAsia="Courier New" w:hAnsi="Courier New" w:cs="Courier New" w:hint="default"/>
      </w:rPr>
    </w:lvl>
    <w:lvl w:ilvl="5" w:tplc="BE72C7EA">
      <w:start w:val="1"/>
      <w:numFmt w:val="bullet"/>
      <w:lvlText w:val="§"/>
      <w:lvlJc w:val="left"/>
      <w:pPr>
        <w:ind w:left="4309" w:hanging="360"/>
      </w:pPr>
      <w:rPr>
        <w:rFonts w:ascii="Wingdings" w:eastAsia="Wingdings" w:hAnsi="Wingdings" w:cs="Wingdings" w:hint="default"/>
      </w:rPr>
    </w:lvl>
    <w:lvl w:ilvl="6" w:tplc="D3922258">
      <w:start w:val="1"/>
      <w:numFmt w:val="bullet"/>
      <w:lvlText w:val="·"/>
      <w:lvlJc w:val="left"/>
      <w:pPr>
        <w:ind w:left="5029" w:hanging="360"/>
      </w:pPr>
      <w:rPr>
        <w:rFonts w:ascii="Symbol" w:eastAsia="Symbol" w:hAnsi="Symbol" w:cs="Symbol" w:hint="default"/>
      </w:rPr>
    </w:lvl>
    <w:lvl w:ilvl="7" w:tplc="0C520E44">
      <w:start w:val="1"/>
      <w:numFmt w:val="bullet"/>
      <w:lvlText w:val="o"/>
      <w:lvlJc w:val="left"/>
      <w:pPr>
        <w:ind w:left="5749" w:hanging="360"/>
      </w:pPr>
      <w:rPr>
        <w:rFonts w:ascii="Courier New" w:eastAsia="Courier New" w:hAnsi="Courier New" w:cs="Courier New" w:hint="default"/>
      </w:rPr>
    </w:lvl>
    <w:lvl w:ilvl="8" w:tplc="9128331E">
      <w:start w:val="1"/>
      <w:numFmt w:val="bullet"/>
      <w:lvlText w:val="§"/>
      <w:lvlJc w:val="left"/>
      <w:pPr>
        <w:ind w:left="6469" w:hanging="360"/>
      </w:pPr>
      <w:rPr>
        <w:rFonts w:ascii="Wingdings" w:eastAsia="Wingdings" w:hAnsi="Wingdings" w:cs="Wingdings" w:hint="default"/>
      </w:rPr>
    </w:lvl>
  </w:abstractNum>
  <w:abstractNum w:abstractNumId="8" w15:restartNumberingAfterBreak="0">
    <w:nsid w:val="0A062E02"/>
    <w:multiLevelType w:val="hybridMultilevel"/>
    <w:tmpl w:val="77D481BE"/>
    <w:lvl w:ilvl="0" w:tplc="EAB0FFAA">
      <w:start w:val="1"/>
      <w:numFmt w:val="decimal"/>
      <w:lvlText w:val="%1."/>
      <w:lvlJc w:val="left"/>
      <w:pPr>
        <w:ind w:left="1144" w:hanging="360"/>
      </w:pPr>
      <w:rPr>
        <w:rFonts w:hint="default"/>
      </w:rPr>
    </w:lvl>
    <w:lvl w:ilvl="1" w:tplc="E92AB694">
      <w:start w:val="1"/>
      <w:numFmt w:val="lowerLetter"/>
      <w:lvlText w:val="%2."/>
      <w:lvlJc w:val="left"/>
      <w:pPr>
        <w:ind w:left="1864" w:hanging="360"/>
      </w:pPr>
    </w:lvl>
    <w:lvl w:ilvl="2" w:tplc="03E6C998">
      <w:start w:val="1"/>
      <w:numFmt w:val="lowerRoman"/>
      <w:lvlText w:val="%3."/>
      <w:lvlJc w:val="right"/>
      <w:pPr>
        <w:ind w:left="2584" w:hanging="180"/>
      </w:pPr>
    </w:lvl>
    <w:lvl w:ilvl="3" w:tplc="8B4EB814">
      <w:start w:val="1"/>
      <w:numFmt w:val="decimal"/>
      <w:lvlText w:val="%4."/>
      <w:lvlJc w:val="left"/>
      <w:pPr>
        <w:ind w:left="3304" w:hanging="360"/>
      </w:pPr>
    </w:lvl>
    <w:lvl w:ilvl="4" w:tplc="46464836">
      <w:start w:val="1"/>
      <w:numFmt w:val="lowerLetter"/>
      <w:lvlText w:val="%5."/>
      <w:lvlJc w:val="left"/>
      <w:pPr>
        <w:ind w:left="4024" w:hanging="360"/>
      </w:pPr>
    </w:lvl>
    <w:lvl w:ilvl="5" w:tplc="BFF6C63E">
      <w:start w:val="1"/>
      <w:numFmt w:val="lowerRoman"/>
      <w:lvlText w:val="%6."/>
      <w:lvlJc w:val="right"/>
      <w:pPr>
        <w:ind w:left="4744" w:hanging="180"/>
      </w:pPr>
    </w:lvl>
    <w:lvl w:ilvl="6" w:tplc="ACBE90F2">
      <w:start w:val="1"/>
      <w:numFmt w:val="decimal"/>
      <w:lvlText w:val="%7."/>
      <w:lvlJc w:val="left"/>
      <w:pPr>
        <w:ind w:left="5464" w:hanging="360"/>
      </w:pPr>
    </w:lvl>
    <w:lvl w:ilvl="7" w:tplc="080C030C">
      <w:start w:val="1"/>
      <w:numFmt w:val="lowerLetter"/>
      <w:lvlText w:val="%8."/>
      <w:lvlJc w:val="left"/>
      <w:pPr>
        <w:ind w:left="6184" w:hanging="360"/>
      </w:pPr>
    </w:lvl>
    <w:lvl w:ilvl="8" w:tplc="2F16EEC6">
      <w:start w:val="1"/>
      <w:numFmt w:val="lowerRoman"/>
      <w:lvlText w:val="%9."/>
      <w:lvlJc w:val="right"/>
      <w:pPr>
        <w:ind w:left="6904" w:hanging="180"/>
      </w:pPr>
    </w:lvl>
  </w:abstractNum>
  <w:abstractNum w:abstractNumId="9" w15:restartNumberingAfterBreak="0">
    <w:nsid w:val="0C3A36C0"/>
    <w:multiLevelType w:val="hybridMultilevel"/>
    <w:tmpl w:val="3E862AEA"/>
    <w:lvl w:ilvl="0" w:tplc="B462B96C">
      <w:start w:val="1"/>
      <w:numFmt w:val="bullet"/>
      <w:pStyle w:val="a0"/>
      <w:lvlText w:val=""/>
      <w:lvlJc w:val="left"/>
      <w:pPr>
        <w:ind w:left="3338" w:hanging="360"/>
      </w:pPr>
      <w:rPr>
        <w:rFonts w:ascii="Symbol" w:hAnsi="Symbol" w:hint="default"/>
      </w:rPr>
    </w:lvl>
    <w:lvl w:ilvl="1" w:tplc="12220368">
      <w:start w:val="1"/>
      <w:numFmt w:val="bullet"/>
      <w:lvlText w:val="o"/>
      <w:lvlJc w:val="left"/>
      <w:pPr>
        <w:ind w:left="1797" w:hanging="360"/>
      </w:pPr>
      <w:rPr>
        <w:rFonts w:ascii="Courier New" w:hAnsi="Courier New" w:cs="Courier New" w:hint="default"/>
      </w:rPr>
    </w:lvl>
    <w:lvl w:ilvl="2" w:tplc="1B38B230">
      <w:start w:val="1"/>
      <w:numFmt w:val="bullet"/>
      <w:lvlText w:val=""/>
      <w:lvlJc w:val="left"/>
      <w:pPr>
        <w:ind w:left="2517" w:hanging="360"/>
      </w:pPr>
      <w:rPr>
        <w:rFonts w:ascii="Wingdings" w:hAnsi="Wingdings" w:hint="default"/>
      </w:rPr>
    </w:lvl>
    <w:lvl w:ilvl="3" w:tplc="63F2BC50">
      <w:start w:val="1"/>
      <w:numFmt w:val="bullet"/>
      <w:lvlText w:val=""/>
      <w:lvlJc w:val="left"/>
      <w:pPr>
        <w:ind w:left="3237" w:hanging="360"/>
      </w:pPr>
      <w:rPr>
        <w:rFonts w:ascii="Symbol" w:hAnsi="Symbol" w:hint="default"/>
      </w:rPr>
    </w:lvl>
    <w:lvl w:ilvl="4" w:tplc="B85885B2">
      <w:start w:val="1"/>
      <w:numFmt w:val="bullet"/>
      <w:lvlText w:val="o"/>
      <w:lvlJc w:val="left"/>
      <w:pPr>
        <w:ind w:left="3957" w:hanging="360"/>
      </w:pPr>
      <w:rPr>
        <w:rFonts w:ascii="Courier New" w:hAnsi="Courier New" w:cs="Courier New" w:hint="default"/>
      </w:rPr>
    </w:lvl>
    <w:lvl w:ilvl="5" w:tplc="726E57C0">
      <w:start w:val="1"/>
      <w:numFmt w:val="bullet"/>
      <w:lvlText w:val=""/>
      <w:lvlJc w:val="left"/>
      <w:pPr>
        <w:ind w:left="4677" w:hanging="360"/>
      </w:pPr>
      <w:rPr>
        <w:rFonts w:ascii="Wingdings" w:hAnsi="Wingdings" w:hint="default"/>
      </w:rPr>
    </w:lvl>
    <w:lvl w:ilvl="6" w:tplc="F1E2FE16">
      <w:start w:val="1"/>
      <w:numFmt w:val="bullet"/>
      <w:lvlText w:val=""/>
      <w:lvlJc w:val="left"/>
      <w:pPr>
        <w:ind w:left="5397" w:hanging="360"/>
      </w:pPr>
      <w:rPr>
        <w:rFonts w:ascii="Symbol" w:hAnsi="Symbol" w:hint="default"/>
      </w:rPr>
    </w:lvl>
    <w:lvl w:ilvl="7" w:tplc="1C8EC4E6">
      <w:start w:val="1"/>
      <w:numFmt w:val="bullet"/>
      <w:lvlText w:val="o"/>
      <w:lvlJc w:val="left"/>
      <w:pPr>
        <w:ind w:left="6117" w:hanging="360"/>
      </w:pPr>
      <w:rPr>
        <w:rFonts w:ascii="Courier New" w:hAnsi="Courier New" w:cs="Courier New" w:hint="default"/>
      </w:rPr>
    </w:lvl>
    <w:lvl w:ilvl="8" w:tplc="691A8772">
      <w:start w:val="1"/>
      <w:numFmt w:val="bullet"/>
      <w:lvlText w:val=""/>
      <w:lvlJc w:val="left"/>
      <w:pPr>
        <w:ind w:left="6837" w:hanging="360"/>
      </w:pPr>
      <w:rPr>
        <w:rFonts w:ascii="Wingdings" w:hAnsi="Wingdings" w:hint="default"/>
      </w:rPr>
    </w:lvl>
  </w:abstractNum>
  <w:abstractNum w:abstractNumId="10" w15:restartNumberingAfterBreak="0">
    <w:nsid w:val="0CA3682C"/>
    <w:multiLevelType w:val="hybridMultilevel"/>
    <w:tmpl w:val="5156C4D2"/>
    <w:lvl w:ilvl="0" w:tplc="2F7E7ECA">
      <w:start w:val="65535"/>
      <w:numFmt w:val="bullet"/>
      <w:lvlText w:val="-"/>
      <w:lvlJc w:val="left"/>
      <w:pPr>
        <w:ind w:left="1287" w:hanging="360"/>
      </w:pPr>
      <w:rPr>
        <w:rFonts w:ascii="Times New Roman" w:hAnsi="Times New Roman" w:cs="Times New Roman" w:hint="default"/>
        <w:sz w:val="24"/>
        <w:szCs w:val="24"/>
      </w:rPr>
    </w:lvl>
    <w:lvl w:ilvl="1" w:tplc="680610CA">
      <w:start w:val="1"/>
      <w:numFmt w:val="bullet"/>
      <w:lvlText w:val="o"/>
      <w:lvlJc w:val="left"/>
      <w:pPr>
        <w:ind w:left="2007" w:hanging="360"/>
      </w:pPr>
      <w:rPr>
        <w:rFonts w:ascii="Courier New" w:hAnsi="Courier New" w:cs="Courier New" w:hint="default"/>
      </w:rPr>
    </w:lvl>
    <w:lvl w:ilvl="2" w:tplc="7D7A3398">
      <w:start w:val="1"/>
      <w:numFmt w:val="bullet"/>
      <w:lvlText w:val=""/>
      <w:lvlJc w:val="left"/>
      <w:pPr>
        <w:ind w:left="2727" w:hanging="360"/>
      </w:pPr>
      <w:rPr>
        <w:rFonts w:ascii="Wingdings" w:hAnsi="Wingdings" w:hint="default"/>
      </w:rPr>
    </w:lvl>
    <w:lvl w:ilvl="3" w:tplc="A17ECE94">
      <w:start w:val="1"/>
      <w:numFmt w:val="bullet"/>
      <w:lvlText w:val=""/>
      <w:lvlJc w:val="left"/>
      <w:pPr>
        <w:ind w:left="3447" w:hanging="360"/>
      </w:pPr>
      <w:rPr>
        <w:rFonts w:ascii="Symbol" w:hAnsi="Symbol" w:hint="default"/>
      </w:rPr>
    </w:lvl>
    <w:lvl w:ilvl="4" w:tplc="9F60B280">
      <w:start w:val="1"/>
      <w:numFmt w:val="bullet"/>
      <w:lvlText w:val="o"/>
      <w:lvlJc w:val="left"/>
      <w:pPr>
        <w:ind w:left="4167" w:hanging="360"/>
      </w:pPr>
      <w:rPr>
        <w:rFonts w:ascii="Courier New" w:hAnsi="Courier New" w:cs="Courier New" w:hint="default"/>
      </w:rPr>
    </w:lvl>
    <w:lvl w:ilvl="5" w:tplc="7CA2AE80">
      <w:start w:val="1"/>
      <w:numFmt w:val="bullet"/>
      <w:lvlText w:val=""/>
      <w:lvlJc w:val="left"/>
      <w:pPr>
        <w:ind w:left="4887" w:hanging="360"/>
      </w:pPr>
      <w:rPr>
        <w:rFonts w:ascii="Wingdings" w:hAnsi="Wingdings" w:hint="default"/>
      </w:rPr>
    </w:lvl>
    <w:lvl w:ilvl="6" w:tplc="F8940AF6">
      <w:start w:val="1"/>
      <w:numFmt w:val="bullet"/>
      <w:lvlText w:val=""/>
      <w:lvlJc w:val="left"/>
      <w:pPr>
        <w:ind w:left="5607" w:hanging="360"/>
      </w:pPr>
      <w:rPr>
        <w:rFonts w:ascii="Symbol" w:hAnsi="Symbol" w:hint="default"/>
      </w:rPr>
    </w:lvl>
    <w:lvl w:ilvl="7" w:tplc="DD7211D6">
      <w:start w:val="1"/>
      <w:numFmt w:val="bullet"/>
      <w:lvlText w:val="o"/>
      <w:lvlJc w:val="left"/>
      <w:pPr>
        <w:ind w:left="6327" w:hanging="360"/>
      </w:pPr>
      <w:rPr>
        <w:rFonts w:ascii="Courier New" w:hAnsi="Courier New" w:cs="Courier New" w:hint="default"/>
      </w:rPr>
    </w:lvl>
    <w:lvl w:ilvl="8" w:tplc="A4D6393A">
      <w:start w:val="1"/>
      <w:numFmt w:val="bullet"/>
      <w:lvlText w:val=""/>
      <w:lvlJc w:val="left"/>
      <w:pPr>
        <w:ind w:left="7047" w:hanging="360"/>
      </w:pPr>
      <w:rPr>
        <w:rFonts w:ascii="Wingdings" w:hAnsi="Wingdings" w:hint="default"/>
      </w:rPr>
    </w:lvl>
  </w:abstractNum>
  <w:abstractNum w:abstractNumId="11" w15:restartNumberingAfterBreak="0">
    <w:nsid w:val="0D953E27"/>
    <w:multiLevelType w:val="hybridMultilevel"/>
    <w:tmpl w:val="193680C8"/>
    <w:lvl w:ilvl="0" w:tplc="1428B810">
      <w:start w:val="1"/>
      <w:numFmt w:val="bullet"/>
      <w:lvlText w:val="–"/>
      <w:lvlJc w:val="left"/>
      <w:pPr>
        <w:ind w:left="1418" w:hanging="360"/>
      </w:pPr>
      <w:rPr>
        <w:rFonts w:ascii="Arial" w:eastAsia="Arial" w:hAnsi="Arial" w:cs="Arial" w:hint="default"/>
      </w:rPr>
    </w:lvl>
    <w:lvl w:ilvl="1" w:tplc="ACE41E26">
      <w:start w:val="1"/>
      <w:numFmt w:val="bullet"/>
      <w:lvlText w:val="o"/>
      <w:lvlJc w:val="left"/>
      <w:pPr>
        <w:ind w:left="2138" w:hanging="360"/>
      </w:pPr>
      <w:rPr>
        <w:rFonts w:ascii="Courier New" w:eastAsia="Courier New" w:hAnsi="Courier New" w:cs="Courier New" w:hint="default"/>
      </w:rPr>
    </w:lvl>
    <w:lvl w:ilvl="2" w:tplc="F154E628">
      <w:start w:val="1"/>
      <w:numFmt w:val="bullet"/>
      <w:lvlText w:val="§"/>
      <w:lvlJc w:val="left"/>
      <w:pPr>
        <w:ind w:left="2858" w:hanging="360"/>
      </w:pPr>
      <w:rPr>
        <w:rFonts w:ascii="Wingdings" w:eastAsia="Wingdings" w:hAnsi="Wingdings" w:cs="Wingdings" w:hint="default"/>
      </w:rPr>
    </w:lvl>
    <w:lvl w:ilvl="3" w:tplc="38AA26C4">
      <w:start w:val="1"/>
      <w:numFmt w:val="bullet"/>
      <w:lvlText w:val="·"/>
      <w:lvlJc w:val="left"/>
      <w:pPr>
        <w:ind w:left="3578" w:hanging="360"/>
      </w:pPr>
      <w:rPr>
        <w:rFonts w:ascii="Symbol" w:eastAsia="Symbol" w:hAnsi="Symbol" w:cs="Symbol" w:hint="default"/>
      </w:rPr>
    </w:lvl>
    <w:lvl w:ilvl="4" w:tplc="B6325580">
      <w:start w:val="1"/>
      <w:numFmt w:val="bullet"/>
      <w:lvlText w:val="o"/>
      <w:lvlJc w:val="left"/>
      <w:pPr>
        <w:ind w:left="4298" w:hanging="360"/>
      </w:pPr>
      <w:rPr>
        <w:rFonts w:ascii="Courier New" w:eastAsia="Courier New" w:hAnsi="Courier New" w:cs="Courier New" w:hint="default"/>
      </w:rPr>
    </w:lvl>
    <w:lvl w:ilvl="5" w:tplc="6A107F98">
      <w:start w:val="1"/>
      <w:numFmt w:val="bullet"/>
      <w:lvlText w:val="§"/>
      <w:lvlJc w:val="left"/>
      <w:pPr>
        <w:ind w:left="5018" w:hanging="360"/>
      </w:pPr>
      <w:rPr>
        <w:rFonts w:ascii="Wingdings" w:eastAsia="Wingdings" w:hAnsi="Wingdings" w:cs="Wingdings" w:hint="default"/>
      </w:rPr>
    </w:lvl>
    <w:lvl w:ilvl="6" w:tplc="4C12D20E">
      <w:start w:val="1"/>
      <w:numFmt w:val="bullet"/>
      <w:lvlText w:val="·"/>
      <w:lvlJc w:val="left"/>
      <w:pPr>
        <w:ind w:left="5738" w:hanging="360"/>
      </w:pPr>
      <w:rPr>
        <w:rFonts w:ascii="Symbol" w:eastAsia="Symbol" w:hAnsi="Symbol" w:cs="Symbol" w:hint="default"/>
      </w:rPr>
    </w:lvl>
    <w:lvl w:ilvl="7" w:tplc="0652D5CC">
      <w:start w:val="1"/>
      <w:numFmt w:val="bullet"/>
      <w:lvlText w:val="o"/>
      <w:lvlJc w:val="left"/>
      <w:pPr>
        <w:ind w:left="6458" w:hanging="360"/>
      </w:pPr>
      <w:rPr>
        <w:rFonts w:ascii="Courier New" w:eastAsia="Courier New" w:hAnsi="Courier New" w:cs="Courier New" w:hint="default"/>
      </w:rPr>
    </w:lvl>
    <w:lvl w:ilvl="8" w:tplc="8250CB16">
      <w:start w:val="1"/>
      <w:numFmt w:val="bullet"/>
      <w:lvlText w:val="§"/>
      <w:lvlJc w:val="left"/>
      <w:pPr>
        <w:ind w:left="7178" w:hanging="360"/>
      </w:pPr>
      <w:rPr>
        <w:rFonts w:ascii="Wingdings" w:eastAsia="Wingdings" w:hAnsi="Wingdings" w:cs="Wingdings" w:hint="default"/>
      </w:rPr>
    </w:lvl>
  </w:abstractNum>
  <w:abstractNum w:abstractNumId="12" w15:restartNumberingAfterBreak="0">
    <w:nsid w:val="0E423166"/>
    <w:multiLevelType w:val="hybridMultilevel"/>
    <w:tmpl w:val="AE0C8EFC"/>
    <w:lvl w:ilvl="0" w:tplc="C3CE323E">
      <w:start w:val="1"/>
      <w:numFmt w:val="bullet"/>
      <w:lvlText w:val="–"/>
      <w:lvlJc w:val="left"/>
      <w:pPr>
        <w:ind w:left="709" w:hanging="360"/>
      </w:pPr>
      <w:rPr>
        <w:rFonts w:ascii="Arial" w:eastAsia="Arial" w:hAnsi="Arial" w:cs="Arial" w:hint="default"/>
      </w:rPr>
    </w:lvl>
    <w:lvl w:ilvl="1" w:tplc="C09A7E02">
      <w:start w:val="1"/>
      <w:numFmt w:val="bullet"/>
      <w:lvlText w:val="o"/>
      <w:lvlJc w:val="left"/>
      <w:pPr>
        <w:ind w:left="1429" w:hanging="360"/>
      </w:pPr>
      <w:rPr>
        <w:rFonts w:ascii="Courier New" w:eastAsia="Courier New" w:hAnsi="Courier New" w:cs="Courier New" w:hint="default"/>
      </w:rPr>
    </w:lvl>
    <w:lvl w:ilvl="2" w:tplc="71706228">
      <w:start w:val="1"/>
      <w:numFmt w:val="bullet"/>
      <w:lvlText w:val="§"/>
      <w:lvlJc w:val="left"/>
      <w:pPr>
        <w:ind w:left="2149" w:hanging="360"/>
      </w:pPr>
      <w:rPr>
        <w:rFonts w:ascii="Wingdings" w:eastAsia="Wingdings" w:hAnsi="Wingdings" w:cs="Wingdings" w:hint="default"/>
      </w:rPr>
    </w:lvl>
    <w:lvl w:ilvl="3" w:tplc="F0DEFE52">
      <w:start w:val="1"/>
      <w:numFmt w:val="bullet"/>
      <w:lvlText w:val="·"/>
      <w:lvlJc w:val="left"/>
      <w:pPr>
        <w:ind w:left="2869" w:hanging="360"/>
      </w:pPr>
      <w:rPr>
        <w:rFonts w:ascii="Symbol" w:eastAsia="Symbol" w:hAnsi="Symbol" w:cs="Symbol" w:hint="default"/>
      </w:rPr>
    </w:lvl>
    <w:lvl w:ilvl="4" w:tplc="461C06BA">
      <w:start w:val="1"/>
      <w:numFmt w:val="bullet"/>
      <w:lvlText w:val="o"/>
      <w:lvlJc w:val="left"/>
      <w:pPr>
        <w:ind w:left="3589" w:hanging="360"/>
      </w:pPr>
      <w:rPr>
        <w:rFonts w:ascii="Courier New" w:eastAsia="Courier New" w:hAnsi="Courier New" w:cs="Courier New" w:hint="default"/>
      </w:rPr>
    </w:lvl>
    <w:lvl w:ilvl="5" w:tplc="691CBEF4">
      <w:start w:val="1"/>
      <w:numFmt w:val="bullet"/>
      <w:lvlText w:val="§"/>
      <w:lvlJc w:val="left"/>
      <w:pPr>
        <w:ind w:left="4309" w:hanging="360"/>
      </w:pPr>
      <w:rPr>
        <w:rFonts w:ascii="Wingdings" w:eastAsia="Wingdings" w:hAnsi="Wingdings" w:cs="Wingdings" w:hint="default"/>
      </w:rPr>
    </w:lvl>
    <w:lvl w:ilvl="6" w:tplc="4B60F76C">
      <w:start w:val="1"/>
      <w:numFmt w:val="bullet"/>
      <w:lvlText w:val="·"/>
      <w:lvlJc w:val="left"/>
      <w:pPr>
        <w:ind w:left="5029" w:hanging="360"/>
      </w:pPr>
      <w:rPr>
        <w:rFonts w:ascii="Symbol" w:eastAsia="Symbol" w:hAnsi="Symbol" w:cs="Symbol" w:hint="default"/>
      </w:rPr>
    </w:lvl>
    <w:lvl w:ilvl="7" w:tplc="76700696">
      <w:start w:val="1"/>
      <w:numFmt w:val="bullet"/>
      <w:lvlText w:val="o"/>
      <w:lvlJc w:val="left"/>
      <w:pPr>
        <w:ind w:left="5749" w:hanging="360"/>
      </w:pPr>
      <w:rPr>
        <w:rFonts w:ascii="Courier New" w:eastAsia="Courier New" w:hAnsi="Courier New" w:cs="Courier New" w:hint="default"/>
      </w:rPr>
    </w:lvl>
    <w:lvl w:ilvl="8" w:tplc="E68C4D92">
      <w:start w:val="1"/>
      <w:numFmt w:val="bullet"/>
      <w:lvlText w:val="§"/>
      <w:lvlJc w:val="left"/>
      <w:pPr>
        <w:ind w:left="6469" w:hanging="360"/>
      </w:pPr>
      <w:rPr>
        <w:rFonts w:ascii="Wingdings" w:eastAsia="Wingdings" w:hAnsi="Wingdings" w:cs="Wingdings" w:hint="default"/>
      </w:rPr>
    </w:lvl>
  </w:abstractNum>
  <w:abstractNum w:abstractNumId="13" w15:restartNumberingAfterBreak="0">
    <w:nsid w:val="0E504030"/>
    <w:multiLevelType w:val="hybridMultilevel"/>
    <w:tmpl w:val="734A4F80"/>
    <w:lvl w:ilvl="0" w:tplc="78E2F28E">
      <w:start w:val="1"/>
      <w:numFmt w:val="decimal"/>
      <w:lvlText w:val="%1."/>
      <w:lvlJc w:val="left"/>
      <w:pPr>
        <w:ind w:left="927" w:hanging="360"/>
      </w:pPr>
      <w:rPr>
        <w:rFonts w:hint="default"/>
      </w:rPr>
    </w:lvl>
    <w:lvl w:ilvl="1" w:tplc="C2B6379C">
      <w:start w:val="1"/>
      <w:numFmt w:val="lowerLetter"/>
      <w:lvlText w:val="%2."/>
      <w:lvlJc w:val="left"/>
      <w:pPr>
        <w:ind w:left="1647" w:hanging="360"/>
      </w:pPr>
    </w:lvl>
    <w:lvl w:ilvl="2" w:tplc="BD8C50AA">
      <w:start w:val="1"/>
      <w:numFmt w:val="lowerRoman"/>
      <w:lvlText w:val="%3."/>
      <w:lvlJc w:val="right"/>
      <w:pPr>
        <w:ind w:left="2367" w:hanging="180"/>
      </w:pPr>
    </w:lvl>
    <w:lvl w:ilvl="3" w:tplc="D81423E8">
      <w:start w:val="1"/>
      <w:numFmt w:val="decimal"/>
      <w:lvlText w:val="%4."/>
      <w:lvlJc w:val="left"/>
      <w:pPr>
        <w:ind w:left="3087" w:hanging="360"/>
      </w:pPr>
    </w:lvl>
    <w:lvl w:ilvl="4" w:tplc="C3763CD0">
      <w:start w:val="1"/>
      <w:numFmt w:val="lowerLetter"/>
      <w:lvlText w:val="%5."/>
      <w:lvlJc w:val="left"/>
      <w:pPr>
        <w:ind w:left="3807" w:hanging="360"/>
      </w:pPr>
    </w:lvl>
    <w:lvl w:ilvl="5" w:tplc="41B4266C">
      <w:start w:val="1"/>
      <w:numFmt w:val="lowerRoman"/>
      <w:lvlText w:val="%6."/>
      <w:lvlJc w:val="right"/>
      <w:pPr>
        <w:ind w:left="4527" w:hanging="180"/>
      </w:pPr>
    </w:lvl>
    <w:lvl w:ilvl="6" w:tplc="661C9600">
      <w:start w:val="1"/>
      <w:numFmt w:val="decimal"/>
      <w:lvlText w:val="%7."/>
      <w:lvlJc w:val="left"/>
      <w:pPr>
        <w:ind w:left="5247" w:hanging="360"/>
      </w:pPr>
    </w:lvl>
    <w:lvl w:ilvl="7" w:tplc="E66200D6">
      <w:start w:val="1"/>
      <w:numFmt w:val="lowerLetter"/>
      <w:lvlText w:val="%8."/>
      <w:lvlJc w:val="left"/>
      <w:pPr>
        <w:ind w:left="5967" w:hanging="360"/>
      </w:pPr>
    </w:lvl>
    <w:lvl w:ilvl="8" w:tplc="7C2C1032">
      <w:start w:val="1"/>
      <w:numFmt w:val="lowerRoman"/>
      <w:lvlText w:val="%9."/>
      <w:lvlJc w:val="right"/>
      <w:pPr>
        <w:ind w:left="6687" w:hanging="180"/>
      </w:pPr>
    </w:lvl>
  </w:abstractNum>
  <w:abstractNum w:abstractNumId="14" w15:restartNumberingAfterBreak="0">
    <w:nsid w:val="110F16E9"/>
    <w:multiLevelType w:val="hybridMultilevel"/>
    <w:tmpl w:val="471443C4"/>
    <w:lvl w:ilvl="0" w:tplc="45205BD8">
      <w:start w:val="1"/>
      <w:numFmt w:val="bullet"/>
      <w:lvlText w:val="−"/>
      <w:lvlJc w:val="left"/>
      <w:pPr>
        <w:ind w:left="1211" w:hanging="360"/>
      </w:pPr>
      <w:rPr>
        <w:rFonts w:ascii="Calibri" w:hAnsi="Calibri" w:hint="default"/>
      </w:rPr>
    </w:lvl>
    <w:lvl w:ilvl="1" w:tplc="03A4E93A">
      <w:start w:val="1"/>
      <w:numFmt w:val="bullet"/>
      <w:lvlText w:val="o"/>
      <w:lvlJc w:val="left"/>
      <w:pPr>
        <w:ind w:left="-610" w:hanging="360"/>
      </w:pPr>
      <w:rPr>
        <w:rFonts w:ascii="Courier New" w:hAnsi="Courier New" w:cs="Courier New" w:hint="default"/>
      </w:rPr>
    </w:lvl>
    <w:lvl w:ilvl="2" w:tplc="10FA9A90">
      <w:start w:val="1"/>
      <w:numFmt w:val="bullet"/>
      <w:lvlText w:val=""/>
      <w:lvlJc w:val="left"/>
      <w:pPr>
        <w:ind w:left="110" w:hanging="360"/>
      </w:pPr>
      <w:rPr>
        <w:rFonts w:ascii="Wingdings" w:hAnsi="Wingdings" w:hint="default"/>
      </w:rPr>
    </w:lvl>
    <w:lvl w:ilvl="3" w:tplc="2CF06EBC">
      <w:start w:val="1"/>
      <w:numFmt w:val="bullet"/>
      <w:lvlText w:val=""/>
      <w:lvlJc w:val="left"/>
      <w:pPr>
        <w:ind w:left="830" w:hanging="360"/>
      </w:pPr>
      <w:rPr>
        <w:rFonts w:ascii="Symbol" w:hAnsi="Symbol" w:hint="default"/>
      </w:rPr>
    </w:lvl>
    <w:lvl w:ilvl="4" w:tplc="C4F437FE">
      <w:start w:val="1"/>
      <w:numFmt w:val="bullet"/>
      <w:lvlText w:val="o"/>
      <w:lvlJc w:val="left"/>
      <w:pPr>
        <w:ind w:left="1550" w:hanging="360"/>
      </w:pPr>
      <w:rPr>
        <w:rFonts w:ascii="Courier New" w:hAnsi="Courier New" w:cs="Courier New" w:hint="default"/>
      </w:rPr>
    </w:lvl>
    <w:lvl w:ilvl="5" w:tplc="99FABA16">
      <w:start w:val="1"/>
      <w:numFmt w:val="bullet"/>
      <w:lvlText w:val=""/>
      <w:lvlJc w:val="left"/>
      <w:pPr>
        <w:ind w:left="2270" w:hanging="360"/>
      </w:pPr>
      <w:rPr>
        <w:rFonts w:ascii="Wingdings" w:hAnsi="Wingdings" w:hint="default"/>
      </w:rPr>
    </w:lvl>
    <w:lvl w:ilvl="6" w:tplc="4F4CAC60">
      <w:start w:val="1"/>
      <w:numFmt w:val="bullet"/>
      <w:lvlText w:val=""/>
      <w:lvlJc w:val="left"/>
      <w:pPr>
        <w:ind w:left="2990" w:hanging="360"/>
      </w:pPr>
      <w:rPr>
        <w:rFonts w:ascii="Symbol" w:hAnsi="Symbol" w:hint="default"/>
      </w:rPr>
    </w:lvl>
    <w:lvl w:ilvl="7" w:tplc="612C7196">
      <w:start w:val="1"/>
      <w:numFmt w:val="bullet"/>
      <w:lvlText w:val="o"/>
      <w:lvlJc w:val="left"/>
      <w:pPr>
        <w:ind w:left="3710" w:hanging="360"/>
      </w:pPr>
      <w:rPr>
        <w:rFonts w:ascii="Courier New" w:hAnsi="Courier New" w:cs="Courier New" w:hint="default"/>
      </w:rPr>
    </w:lvl>
    <w:lvl w:ilvl="8" w:tplc="E7C2AEC2">
      <w:start w:val="1"/>
      <w:numFmt w:val="bullet"/>
      <w:lvlText w:val=""/>
      <w:lvlJc w:val="left"/>
      <w:pPr>
        <w:ind w:left="4430" w:hanging="360"/>
      </w:pPr>
      <w:rPr>
        <w:rFonts w:ascii="Wingdings" w:hAnsi="Wingdings" w:hint="default"/>
      </w:rPr>
    </w:lvl>
  </w:abstractNum>
  <w:abstractNum w:abstractNumId="15" w15:restartNumberingAfterBreak="0">
    <w:nsid w:val="11243B9E"/>
    <w:multiLevelType w:val="hybridMultilevel"/>
    <w:tmpl w:val="AD3A32CA"/>
    <w:lvl w:ilvl="0" w:tplc="D8CA4A48">
      <w:start w:val="1"/>
      <w:numFmt w:val="decimal"/>
      <w:lvlText w:val="%1)"/>
      <w:lvlJc w:val="left"/>
      <w:pPr>
        <w:ind w:left="720" w:hanging="360"/>
      </w:pPr>
    </w:lvl>
    <w:lvl w:ilvl="1" w:tplc="02CA6178">
      <w:start w:val="1"/>
      <w:numFmt w:val="lowerLetter"/>
      <w:lvlText w:val="%2."/>
      <w:lvlJc w:val="left"/>
      <w:pPr>
        <w:ind w:left="1440" w:hanging="360"/>
      </w:pPr>
    </w:lvl>
    <w:lvl w:ilvl="2" w:tplc="9B1AAE74">
      <w:start w:val="1"/>
      <w:numFmt w:val="lowerRoman"/>
      <w:lvlText w:val="%3."/>
      <w:lvlJc w:val="right"/>
      <w:pPr>
        <w:ind w:left="2160" w:hanging="180"/>
      </w:pPr>
    </w:lvl>
    <w:lvl w:ilvl="3" w:tplc="33B8830C">
      <w:start w:val="1"/>
      <w:numFmt w:val="decimal"/>
      <w:lvlText w:val="%4."/>
      <w:lvlJc w:val="left"/>
      <w:pPr>
        <w:ind w:left="2880" w:hanging="360"/>
      </w:pPr>
    </w:lvl>
    <w:lvl w:ilvl="4" w:tplc="CA2ECBF0">
      <w:start w:val="1"/>
      <w:numFmt w:val="lowerLetter"/>
      <w:lvlText w:val="%5."/>
      <w:lvlJc w:val="left"/>
      <w:pPr>
        <w:ind w:left="3600" w:hanging="360"/>
      </w:pPr>
    </w:lvl>
    <w:lvl w:ilvl="5" w:tplc="57C49524">
      <w:start w:val="1"/>
      <w:numFmt w:val="lowerRoman"/>
      <w:lvlText w:val="%6."/>
      <w:lvlJc w:val="right"/>
      <w:pPr>
        <w:ind w:left="4320" w:hanging="180"/>
      </w:pPr>
    </w:lvl>
    <w:lvl w:ilvl="6" w:tplc="2B908AD6">
      <w:start w:val="1"/>
      <w:numFmt w:val="decimal"/>
      <w:lvlText w:val="%7."/>
      <w:lvlJc w:val="left"/>
      <w:pPr>
        <w:ind w:left="5040" w:hanging="360"/>
      </w:pPr>
    </w:lvl>
    <w:lvl w:ilvl="7" w:tplc="A1221CDA">
      <w:start w:val="1"/>
      <w:numFmt w:val="lowerLetter"/>
      <w:lvlText w:val="%8."/>
      <w:lvlJc w:val="left"/>
      <w:pPr>
        <w:ind w:left="5760" w:hanging="360"/>
      </w:pPr>
    </w:lvl>
    <w:lvl w:ilvl="8" w:tplc="5CEAFA30">
      <w:start w:val="1"/>
      <w:numFmt w:val="lowerRoman"/>
      <w:lvlText w:val="%9."/>
      <w:lvlJc w:val="right"/>
      <w:pPr>
        <w:ind w:left="6480" w:hanging="180"/>
      </w:pPr>
    </w:lvl>
  </w:abstractNum>
  <w:abstractNum w:abstractNumId="16" w15:restartNumberingAfterBreak="0">
    <w:nsid w:val="11F75B2A"/>
    <w:multiLevelType w:val="hybridMultilevel"/>
    <w:tmpl w:val="6D6AD432"/>
    <w:lvl w:ilvl="0" w:tplc="32B80FDC">
      <w:start w:val="1"/>
      <w:numFmt w:val="bullet"/>
      <w:suff w:val="space"/>
      <w:lvlText w:val="­"/>
      <w:lvlJc w:val="left"/>
      <w:pPr>
        <w:ind w:left="0" w:firstLine="709"/>
      </w:pPr>
      <w:rPr>
        <w:rFonts w:ascii="Courier New" w:hAnsi="Courier New" w:hint="default"/>
      </w:rPr>
    </w:lvl>
    <w:lvl w:ilvl="1" w:tplc="E1367E92">
      <w:start w:val="1"/>
      <w:numFmt w:val="bullet"/>
      <w:lvlText w:val="o"/>
      <w:lvlJc w:val="left"/>
      <w:pPr>
        <w:ind w:left="2148" w:hanging="360"/>
      </w:pPr>
      <w:rPr>
        <w:rFonts w:ascii="Courier New" w:hAnsi="Courier New" w:cs="Courier New" w:hint="default"/>
      </w:rPr>
    </w:lvl>
    <w:lvl w:ilvl="2" w:tplc="31D8A862">
      <w:start w:val="1"/>
      <w:numFmt w:val="bullet"/>
      <w:lvlText w:val=""/>
      <w:lvlJc w:val="left"/>
      <w:pPr>
        <w:ind w:left="2868" w:hanging="360"/>
      </w:pPr>
      <w:rPr>
        <w:rFonts w:ascii="Wingdings" w:hAnsi="Wingdings" w:hint="default"/>
      </w:rPr>
    </w:lvl>
    <w:lvl w:ilvl="3" w:tplc="4FCA839E">
      <w:start w:val="1"/>
      <w:numFmt w:val="bullet"/>
      <w:lvlText w:val=""/>
      <w:lvlJc w:val="left"/>
      <w:pPr>
        <w:ind w:left="3588" w:hanging="360"/>
      </w:pPr>
      <w:rPr>
        <w:rFonts w:ascii="Symbol" w:hAnsi="Symbol" w:hint="default"/>
      </w:rPr>
    </w:lvl>
    <w:lvl w:ilvl="4" w:tplc="CD141E50">
      <w:start w:val="1"/>
      <w:numFmt w:val="bullet"/>
      <w:lvlText w:val="o"/>
      <w:lvlJc w:val="left"/>
      <w:pPr>
        <w:ind w:left="4308" w:hanging="360"/>
      </w:pPr>
      <w:rPr>
        <w:rFonts w:ascii="Courier New" w:hAnsi="Courier New" w:cs="Courier New" w:hint="default"/>
      </w:rPr>
    </w:lvl>
    <w:lvl w:ilvl="5" w:tplc="32068AB0">
      <w:start w:val="1"/>
      <w:numFmt w:val="bullet"/>
      <w:lvlText w:val=""/>
      <w:lvlJc w:val="left"/>
      <w:pPr>
        <w:ind w:left="5028" w:hanging="360"/>
      </w:pPr>
      <w:rPr>
        <w:rFonts w:ascii="Wingdings" w:hAnsi="Wingdings" w:hint="default"/>
      </w:rPr>
    </w:lvl>
    <w:lvl w:ilvl="6" w:tplc="EE4425EA">
      <w:start w:val="1"/>
      <w:numFmt w:val="bullet"/>
      <w:lvlText w:val=""/>
      <w:lvlJc w:val="left"/>
      <w:pPr>
        <w:ind w:left="5748" w:hanging="360"/>
      </w:pPr>
      <w:rPr>
        <w:rFonts w:ascii="Symbol" w:hAnsi="Symbol" w:hint="default"/>
      </w:rPr>
    </w:lvl>
    <w:lvl w:ilvl="7" w:tplc="D1C87F3C">
      <w:start w:val="1"/>
      <w:numFmt w:val="bullet"/>
      <w:lvlText w:val="o"/>
      <w:lvlJc w:val="left"/>
      <w:pPr>
        <w:ind w:left="6468" w:hanging="360"/>
      </w:pPr>
      <w:rPr>
        <w:rFonts w:ascii="Courier New" w:hAnsi="Courier New" w:cs="Courier New" w:hint="default"/>
      </w:rPr>
    </w:lvl>
    <w:lvl w:ilvl="8" w:tplc="90C67248">
      <w:start w:val="1"/>
      <w:numFmt w:val="bullet"/>
      <w:lvlText w:val=""/>
      <w:lvlJc w:val="left"/>
      <w:pPr>
        <w:ind w:left="7188" w:hanging="360"/>
      </w:pPr>
      <w:rPr>
        <w:rFonts w:ascii="Wingdings" w:hAnsi="Wingdings" w:hint="default"/>
      </w:rPr>
    </w:lvl>
  </w:abstractNum>
  <w:abstractNum w:abstractNumId="17" w15:restartNumberingAfterBreak="0">
    <w:nsid w:val="125759FF"/>
    <w:multiLevelType w:val="hybridMultilevel"/>
    <w:tmpl w:val="C39E303E"/>
    <w:lvl w:ilvl="0" w:tplc="48DA2830">
      <w:start w:val="1"/>
      <w:numFmt w:val="decimal"/>
      <w:lvlText w:val="%1)"/>
      <w:lvlJc w:val="left"/>
      <w:pPr>
        <w:ind w:left="720" w:hanging="360"/>
      </w:pPr>
    </w:lvl>
    <w:lvl w:ilvl="1" w:tplc="460E1020">
      <w:start w:val="1"/>
      <w:numFmt w:val="lowerLetter"/>
      <w:lvlText w:val="%2."/>
      <w:lvlJc w:val="left"/>
      <w:pPr>
        <w:ind w:left="1440" w:hanging="360"/>
      </w:pPr>
    </w:lvl>
    <w:lvl w:ilvl="2" w:tplc="076C3C2E">
      <w:start w:val="1"/>
      <w:numFmt w:val="lowerRoman"/>
      <w:lvlText w:val="%3."/>
      <w:lvlJc w:val="right"/>
      <w:pPr>
        <w:ind w:left="2160" w:hanging="180"/>
      </w:pPr>
    </w:lvl>
    <w:lvl w:ilvl="3" w:tplc="0E645C60">
      <w:start w:val="1"/>
      <w:numFmt w:val="decimal"/>
      <w:lvlText w:val="%4."/>
      <w:lvlJc w:val="left"/>
      <w:pPr>
        <w:ind w:left="2880" w:hanging="360"/>
      </w:pPr>
    </w:lvl>
    <w:lvl w:ilvl="4" w:tplc="236C52F2">
      <w:start w:val="1"/>
      <w:numFmt w:val="lowerLetter"/>
      <w:lvlText w:val="%5."/>
      <w:lvlJc w:val="left"/>
      <w:pPr>
        <w:ind w:left="3600" w:hanging="360"/>
      </w:pPr>
    </w:lvl>
    <w:lvl w:ilvl="5" w:tplc="94FE5D88">
      <w:start w:val="1"/>
      <w:numFmt w:val="lowerRoman"/>
      <w:lvlText w:val="%6."/>
      <w:lvlJc w:val="right"/>
      <w:pPr>
        <w:ind w:left="4320" w:hanging="180"/>
      </w:pPr>
    </w:lvl>
    <w:lvl w:ilvl="6" w:tplc="812AB55A">
      <w:start w:val="1"/>
      <w:numFmt w:val="decimal"/>
      <w:lvlText w:val="%7."/>
      <w:lvlJc w:val="left"/>
      <w:pPr>
        <w:ind w:left="5040" w:hanging="360"/>
      </w:pPr>
    </w:lvl>
    <w:lvl w:ilvl="7" w:tplc="DCEC092A">
      <w:start w:val="1"/>
      <w:numFmt w:val="lowerLetter"/>
      <w:lvlText w:val="%8."/>
      <w:lvlJc w:val="left"/>
      <w:pPr>
        <w:ind w:left="5760" w:hanging="360"/>
      </w:pPr>
    </w:lvl>
    <w:lvl w:ilvl="8" w:tplc="F8A68966">
      <w:start w:val="1"/>
      <w:numFmt w:val="lowerRoman"/>
      <w:lvlText w:val="%9."/>
      <w:lvlJc w:val="right"/>
      <w:pPr>
        <w:ind w:left="6480" w:hanging="180"/>
      </w:pPr>
    </w:lvl>
  </w:abstractNum>
  <w:abstractNum w:abstractNumId="18" w15:restartNumberingAfterBreak="0">
    <w:nsid w:val="12D706EF"/>
    <w:multiLevelType w:val="hybridMultilevel"/>
    <w:tmpl w:val="789EC1FA"/>
    <w:lvl w:ilvl="0" w:tplc="0D54D3B0">
      <w:start w:val="1"/>
      <w:numFmt w:val="bullet"/>
      <w:lvlText w:val=""/>
      <w:lvlJc w:val="left"/>
      <w:pPr>
        <w:ind w:left="1429" w:hanging="360"/>
      </w:pPr>
      <w:rPr>
        <w:rFonts w:ascii="Symbol" w:hAnsi="Symbol" w:hint="default"/>
      </w:rPr>
    </w:lvl>
    <w:lvl w:ilvl="1" w:tplc="9A8C9708">
      <w:start w:val="1"/>
      <w:numFmt w:val="bullet"/>
      <w:lvlText w:val="o"/>
      <w:lvlJc w:val="left"/>
      <w:pPr>
        <w:ind w:left="2149" w:hanging="360"/>
      </w:pPr>
      <w:rPr>
        <w:rFonts w:ascii="Courier New" w:hAnsi="Courier New" w:cs="Courier New" w:hint="default"/>
      </w:rPr>
    </w:lvl>
    <w:lvl w:ilvl="2" w:tplc="BBF8BCA6">
      <w:start w:val="1"/>
      <w:numFmt w:val="bullet"/>
      <w:lvlText w:val=""/>
      <w:lvlJc w:val="left"/>
      <w:pPr>
        <w:ind w:left="2869" w:hanging="360"/>
      </w:pPr>
      <w:rPr>
        <w:rFonts w:ascii="Wingdings" w:hAnsi="Wingdings" w:hint="default"/>
      </w:rPr>
    </w:lvl>
    <w:lvl w:ilvl="3" w:tplc="C1B86478">
      <w:start w:val="1"/>
      <w:numFmt w:val="bullet"/>
      <w:lvlText w:val=""/>
      <w:lvlJc w:val="left"/>
      <w:pPr>
        <w:ind w:left="3589" w:hanging="360"/>
      </w:pPr>
      <w:rPr>
        <w:rFonts w:ascii="Symbol" w:hAnsi="Symbol" w:hint="default"/>
      </w:rPr>
    </w:lvl>
    <w:lvl w:ilvl="4" w:tplc="DBE6A0BA">
      <w:start w:val="1"/>
      <w:numFmt w:val="bullet"/>
      <w:lvlText w:val="o"/>
      <w:lvlJc w:val="left"/>
      <w:pPr>
        <w:ind w:left="4309" w:hanging="360"/>
      </w:pPr>
      <w:rPr>
        <w:rFonts w:ascii="Courier New" w:hAnsi="Courier New" w:cs="Courier New" w:hint="default"/>
      </w:rPr>
    </w:lvl>
    <w:lvl w:ilvl="5" w:tplc="80CEBD1C">
      <w:start w:val="1"/>
      <w:numFmt w:val="bullet"/>
      <w:lvlText w:val=""/>
      <w:lvlJc w:val="left"/>
      <w:pPr>
        <w:ind w:left="5029" w:hanging="360"/>
      </w:pPr>
      <w:rPr>
        <w:rFonts w:ascii="Wingdings" w:hAnsi="Wingdings" w:hint="default"/>
      </w:rPr>
    </w:lvl>
    <w:lvl w:ilvl="6" w:tplc="4F9451CE">
      <w:start w:val="1"/>
      <w:numFmt w:val="bullet"/>
      <w:lvlText w:val=""/>
      <w:lvlJc w:val="left"/>
      <w:pPr>
        <w:ind w:left="5749" w:hanging="360"/>
      </w:pPr>
      <w:rPr>
        <w:rFonts w:ascii="Symbol" w:hAnsi="Symbol" w:hint="default"/>
      </w:rPr>
    </w:lvl>
    <w:lvl w:ilvl="7" w:tplc="DFDC7B28">
      <w:start w:val="1"/>
      <w:numFmt w:val="bullet"/>
      <w:lvlText w:val="o"/>
      <w:lvlJc w:val="left"/>
      <w:pPr>
        <w:ind w:left="6469" w:hanging="360"/>
      </w:pPr>
      <w:rPr>
        <w:rFonts w:ascii="Courier New" w:hAnsi="Courier New" w:cs="Courier New" w:hint="default"/>
      </w:rPr>
    </w:lvl>
    <w:lvl w:ilvl="8" w:tplc="0C406AF4">
      <w:start w:val="1"/>
      <w:numFmt w:val="bullet"/>
      <w:lvlText w:val=""/>
      <w:lvlJc w:val="left"/>
      <w:pPr>
        <w:ind w:left="7189" w:hanging="360"/>
      </w:pPr>
      <w:rPr>
        <w:rFonts w:ascii="Wingdings" w:hAnsi="Wingdings" w:hint="default"/>
      </w:rPr>
    </w:lvl>
  </w:abstractNum>
  <w:abstractNum w:abstractNumId="19" w15:restartNumberingAfterBreak="0">
    <w:nsid w:val="135A0FD1"/>
    <w:multiLevelType w:val="hybridMultilevel"/>
    <w:tmpl w:val="08A60F1E"/>
    <w:lvl w:ilvl="0" w:tplc="693EE812">
      <w:start w:val="1"/>
      <w:numFmt w:val="bullet"/>
      <w:lvlText w:val="·"/>
      <w:lvlJc w:val="left"/>
      <w:pPr>
        <w:ind w:left="1418" w:hanging="360"/>
      </w:pPr>
      <w:rPr>
        <w:rFonts w:ascii="Symbol" w:eastAsia="Symbol" w:hAnsi="Symbol" w:cs="Symbol" w:hint="default"/>
      </w:rPr>
    </w:lvl>
    <w:lvl w:ilvl="1" w:tplc="83967062">
      <w:start w:val="1"/>
      <w:numFmt w:val="bullet"/>
      <w:lvlText w:val="o"/>
      <w:lvlJc w:val="left"/>
      <w:pPr>
        <w:ind w:left="2138" w:hanging="360"/>
      </w:pPr>
      <w:rPr>
        <w:rFonts w:ascii="Courier New" w:eastAsia="Courier New" w:hAnsi="Courier New" w:cs="Courier New" w:hint="default"/>
      </w:rPr>
    </w:lvl>
    <w:lvl w:ilvl="2" w:tplc="F9AC069A">
      <w:start w:val="1"/>
      <w:numFmt w:val="bullet"/>
      <w:lvlText w:val="§"/>
      <w:lvlJc w:val="left"/>
      <w:pPr>
        <w:ind w:left="2858" w:hanging="360"/>
      </w:pPr>
      <w:rPr>
        <w:rFonts w:ascii="Wingdings" w:eastAsia="Wingdings" w:hAnsi="Wingdings" w:cs="Wingdings" w:hint="default"/>
      </w:rPr>
    </w:lvl>
    <w:lvl w:ilvl="3" w:tplc="7BDAC19C">
      <w:start w:val="1"/>
      <w:numFmt w:val="bullet"/>
      <w:lvlText w:val="·"/>
      <w:lvlJc w:val="left"/>
      <w:pPr>
        <w:ind w:left="3578" w:hanging="360"/>
      </w:pPr>
      <w:rPr>
        <w:rFonts w:ascii="Symbol" w:eastAsia="Symbol" w:hAnsi="Symbol" w:cs="Symbol" w:hint="default"/>
      </w:rPr>
    </w:lvl>
    <w:lvl w:ilvl="4" w:tplc="0F5A7534">
      <w:start w:val="1"/>
      <w:numFmt w:val="bullet"/>
      <w:lvlText w:val="o"/>
      <w:lvlJc w:val="left"/>
      <w:pPr>
        <w:ind w:left="4298" w:hanging="360"/>
      </w:pPr>
      <w:rPr>
        <w:rFonts w:ascii="Courier New" w:eastAsia="Courier New" w:hAnsi="Courier New" w:cs="Courier New" w:hint="default"/>
      </w:rPr>
    </w:lvl>
    <w:lvl w:ilvl="5" w:tplc="E85C9794">
      <w:start w:val="1"/>
      <w:numFmt w:val="bullet"/>
      <w:lvlText w:val="§"/>
      <w:lvlJc w:val="left"/>
      <w:pPr>
        <w:ind w:left="5018" w:hanging="360"/>
      </w:pPr>
      <w:rPr>
        <w:rFonts w:ascii="Wingdings" w:eastAsia="Wingdings" w:hAnsi="Wingdings" w:cs="Wingdings" w:hint="default"/>
      </w:rPr>
    </w:lvl>
    <w:lvl w:ilvl="6" w:tplc="AFA85A00">
      <w:start w:val="1"/>
      <w:numFmt w:val="bullet"/>
      <w:lvlText w:val="·"/>
      <w:lvlJc w:val="left"/>
      <w:pPr>
        <w:ind w:left="5738" w:hanging="360"/>
      </w:pPr>
      <w:rPr>
        <w:rFonts w:ascii="Symbol" w:eastAsia="Symbol" w:hAnsi="Symbol" w:cs="Symbol" w:hint="default"/>
      </w:rPr>
    </w:lvl>
    <w:lvl w:ilvl="7" w:tplc="42006ECE">
      <w:start w:val="1"/>
      <w:numFmt w:val="bullet"/>
      <w:lvlText w:val="o"/>
      <w:lvlJc w:val="left"/>
      <w:pPr>
        <w:ind w:left="6458" w:hanging="360"/>
      </w:pPr>
      <w:rPr>
        <w:rFonts w:ascii="Courier New" w:eastAsia="Courier New" w:hAnsi="Courier New" w:cs="Courier New" w:hint="default"/>
      </w:rPr>
    </w:lvl>
    <w:lvl w:ilvl="8" w:tplc="51D6DF60">
      <w:start w:val="1"/>
      <w:numFmt w:val="bullet"/>
      <w:lvlText w:val="§"/>
      <w:lvlJc w:val="left"/>
      <w:pPr>
        <w:ind w:left="7178" w:hanging="360"/>
      </w:pPr>
      <w:rPr>
        <w:rFonts w:ascii="Wingdings" w:eastAsia="Wingdings" w:hAnsi="Wingdings" w:cs="Wingdings" w:hint="default"/>
      </w:rPr>
    </w:lvl>
  </w:abstractNum>
  <w:abstractNum w:abstractNumId="20" w15:restartNumberingAfterBreak="0">
    <w:nsid w:val="19F75395"/>
    <w:multiLevelType w:val="hybridMultilevel"/>
    <w:tmpl w:val="71369CC6"/>
    <w:lvl w:ilvl="0" w:tplc="E8906B78">
      <w:start w:val="1"/>
      <w:numFmt w:val="decimal"/>
      <w:lvlText w:val="%1)"/>
      <w:lvlJc w:val="left"/>
      <w:pPr>
        <w:ind w:left="720" w:hanging="360"/>
      </w:pPr>
    </w:lvl>
    <w:lvl w:ilvl="1" w:tplc="4C34FF1E">
      <w:start w:val="1"/>
      <w:numFmt w:val="lowerLetter"/>
      <w:lvlText w:val="%2."/>
      <w:lvlJc w:val="left"/>
      <w:pPr>
        <w:ind w:left="1440" w:hanging="360"/>
      </w:pPr>
    </w:lvl>
    <w:lvl w:ilvl="2" w:tplc="A4A4D1B6">
      <w:start w:val="1"/>
      <w:numFmt w:val="lowerRoman"/>
      <w:lvlText w:val="%3."/>
      <w:lvlJc w:val="right"/>
      <w:pPr>
        <w:ind w:left="2160" w:hanging="180"/>
      </w:pPr>
    </w:lvl>
    <w:lvl w:ilvl="3" w:tplc="C840FB06">
      <w:start w:val="1"/>
      <w:numFmt w:val="decimal"/>
      <w:lvlText w:val="%4."/>
      <w:lvlJc w:val="left"/>
      <w:pPr>
        <w:ind w:left="2880" w:hanging="360"/>
      </w:pPr>
    </w:lvl>
    <w:lvl w:ilvl="4" w:tplc="E2B243DE">
      <w:start w:val="1"/>
      <w:numFmt w:val="lowerLetter"/>
      <w:lvlText w:val="%5."/>
      <w:lvlJc w:val="left"/>
      <w:pPr>
        <w:ind w:left="3600" w:hanging="360"/>
      </w:pPr>
    </w:lvl>
    <w:lvl w:ilvl="5" w:tplc="019ABA7A">
      <w:start w:val="1"/>
      <w:numFmt w:val="lowerRoman"/>
      <w:lvlText w:val="%6."/>
      <w:lvlJc w:val="right"/>
      <w:pPr>
        <w:ind w:left="4320" w:hanging="180"/>
      </w:pPr>
    </w:lvl>
    <w:lvl w:ilvl="6" w:tplc="59A44822">
      <w:start w:val="1"/>
      <w:numFmt w:val="decimal"/>
      <w:lvlText w:val="%7."/>
      <w:lvlJc w:val="left"/>
      <w:pPr>
        <w:ind w:left="5040" w:hanging="360"/>
      </w:pPr>
    </w:lvl>
    <w:lvl w:ilvl="7" w:tplc="BF18AC60">
      <w:start w:val="1"/>
      <w:numFmt w:val="lowerLetter"/>
      <w:lvlText w:val="%8."/>
      <w:lvlJc w:val="left"/>
      <w:pPr>
        <w:ind w:left="5760" w:hanging="360"/>
      </w:pPr>
    </w:lvl>
    <w:lvl w:ilvl="8" w:tplc="5C0CADCA">
      <w:start w:val="1"/>
      <w:numFmt w:val="lowerRoman"/>
      <w:lvlText w:val="%9."/>
      <w:lvlJc w:val="right"/>
      <w:pPr>
        <w:ind w:left="6480" w:hanging="180"/>
      </w:pPr>
    </w:lvl>
  </w:abstractNum>
  <w:abstractNum w:abstractNumId="21" w15:restartNumberingAfterBreak="0">
    <w:nsid w:val="1AA26E5C"/>
    <w:multiLevelType w:val="hybridMultilevel"/>
    <w:tmpl w:val="23CCC84E"/>
    <w:lvl w:ilvl="0" w:tplc="FD681146">
      <w:start w:val="1"/>
      <w:numFmt w:val="bullet"/>
      <w:lvlText w:val="–"/>
      <w:lvlJc w:val="left"/>
      <w:pPr>
        <w:ind w:left="709" w:hanging="360"/>
      </w:pPr>
      <w:rPr>
        <w:rFonts w:ascii="Arial" w:eastAsia="Arial" w:hAnsi="Arial" w:cs="Arial" w:hint="default"/>
      </w:rPr>
    </w:lvl>
    <w:lvl w:ilvl="1" w:tplc="1040AA52">
      <w:start w:val="1"/>
      <w:numFmt w:val="bullet"/>
      <w:lvlText w:val="o"/>
      <w:lvlJc w:val="left"/>
      <w:pPr>
        <w:ind w:left="1429" w:hanging="360"/>
      </w:pPr>
      <w:rPr>
        <w:rFonts w:ascii="Courier New" w:eastAsia="Courier New" w:hAnsi="Courier New" w:cs="Courier New" w:hint="default"/>
      </w:rPr>
    </w:lvl>
    <w:lvl w:ilvl="2" w:tplc="76F4D5FC">
      <w:start w:val="1"/>
      <w:numFmt w:val="bullet"/>
      <w:lvlText w:val="§"/>
      <w:lvlJc w:val="left"/>
      <w:pPr>
        <w:ind w:left="2149" w:hanging="360"/>
      </w:pPr>
      <w:rPr>
        <w:rFonts w:ascii="Wingdings" w:eastAsia="Wingdings" w:hAnsi="Wingdings" w:cs="Wingdings" w:hint="default"/>
      </w:rPr>
    </w:lvl>
    <w:lvl w:ilvl="3" w:tplc="AACE2298">
      <w:start w:val="1"/>
      <w:numFmt w:val="bullet"/>
      <w:lvlText w:val="·"/>
      <w:lvlJc w:val="left"/>
      <w:pPr>
        <w:ind w:left="2869" w:hanging="360"/>
      </w:pPr>
      <w:rPr>
        <w:rFonts w:ascii="Symbol" w:eastAsia="Symbol" w:hAnsi="Symbol" w:cs="Symbol" w:hint="default"/>
      </w:rPr>
    </w:lvl>
    <w:lvl w:ilvl="4" w:tplc="79C8743A">
      <w:start w:val="1"/>
      <w:numFmt w:val="bullet"/>
      <w:lvlText w:val="o"/>
      <w:lvlJc w:val="left"/>
      <w:pPr>
        <w:ind w:left="3589" w:hanging="360"/>
      </w:pPr>
      <w:rPr>
        <w:rFonts w:ascii="Courier New" w:eastAsia="Courier New" w:hAnsi="Courier New" w:cs="Courier New" w:hint="default"/>
      </w:rPr>
    </w:lvl>
    <w:lvl w:ilvl="5" w:tplc="497C99BC">
      <w:start w:val="1"/>
      <w:numFmt w:val="bullet"/>
      <w:lvlText w:val="§"/>
      <w:lvlJc w:val="left"/>
      <w:pPr>
        <w:ind w:left="4309" w:hanging="360"/>
      </w:pPr>
      <w:rPr>
        <w:rFonts w:ascii="Wingdings" w:eastAsia="Wingdings" w:hAnsi="Wingdings" w:cs="Wingdings" w:hint="default"/>
      </w:rPr>
    </w:lvl>
    <w:lvl w:ilvl="6" w:tplc="6DD4E492">
      <w:start w:val="1"/>
      <w:numFmt w:val="bullet"/>
      <w:lvlText w:val="·"/>
      <w:lvlJc w:val="left"/>
      <w:pPr>
        <w:ind w:left="5029" w:hanging="360"/>
      </w:pPr>
      <w:rPr>
        <w:rFonts w:ascii="Symbol" w:eastAsia="Symbol" w:hAnsi="Symbol" w:cs="Symbol" w:hint="default"/>
      </w:rPr>
    </w:lvl>
    <w:lvl w:ilvl="7" w:tplc="50042FA2">
      <w:start w:val="1"/>
      <w:numFmt w:val="bullet"/>
      <w:lvlText w:val="o"/>
      <w:lvlJc w:val="left"/>
      <w:pPr>
        <w:ind w:left="5749" w:hanging="360"/>
      </w:pPr>
      <w:rPr>
        <w:rFonts w:ascii="Courier New" w:eastAsia="Courier New" w:hAnsi="Courier New" w:cs="Courier New" w:hint="default"/>
      </w:rPr>
    </w:lvl>
    <w:lvl w:ilvl="8" w:tplc="AD867028">
      <w:start w:val="1"/>
      <w:numFmt w:val="bullet"/>
      <w:lvlText w:val="§"/>
      <w:lvlJc w:val="left"/>
      <w:pPr>
        <w:ind w:left="6469" w:hanging="360"/>
      </w:pPr>
      <w:rPr>
        <w:rFonts w:ascii="Wingdings" w:eastAsia="Wingdings" w:hAnsi="Wingdings" w:cs="Wingdings" w:hint="default"/>
      </w:rPr>
    </w:lvl>
  </w:abstractNum>
  <w:abstractNum w:abstractNumId="22" w15:restartNumberingAfterBreak="0">
    <w:nsid w:val="1B2E5B6D"/>
    <w:multiLevelType w:val="hybridMultilevel"/>
    <w:tmpl w:val="5A4C698C"/>
    <w:lvl w:ilvl="0" w:tplc="899A655A">
      <w:start w:val="1"/>
      <w:numFmt w:val="bullet"/>
      <w:lvlText w:val="­"/>
      <w:lvlJc w:val="left"/>
      <w:pPr>
        <w:ind w:left="720" w:hanging="360"/>
      </w:pPr>
      <w:rPr>
        <w:rFonts w:ascii="Times New Roman" w:hAnsi="Times New Roman" w:hint="default"/>
      </w:rPr>
    </w:lvl>
    <w:lvl w:ilvl="1" w:tplc="9AD2047C">
      <w:start w:val="1"/>
      <w:numFmt w:val="bullet"/>
      <w:lvlText w:val="o"/>
      <w:lvlJc w:val="left"/>
      <w:pPr>
        <w:ind w:left="1440" w:hanging="360"/>
      </w:pPr>
      <w:rPr>
        <w:rFonts w:ascii="Courier New" w:hAnsi="Courier New" w:cs="Courier New" w:hint="default"/>
      </w:rPr>
    </w:lvl>
    <w:lvl w:ilvl="2" w:tplc="7C9CCB4A">
      <w:start w:val="1"/>
      <w:numFmt w:val="bullet"/>
      <w:lvlText w:val=""/>
      <w:lvlJc w:val="left"/>
      <w:pPr>
        <w:ind w:left="2160" w:hanging="360"/>
      </w:pPr>
      <w:rPr>
        <w:rFonts w:ascii="Wingdings" w:hAnsi="Wingdings" w:hint="default"/>
      </w:rPr>
    </w:lvl>
    <w:lvl w:ilvl="3" w:tplc="8C30A7CC">
      <w:start w:val="1"/>
      <w:numFmt w:val="bullet"/>
      <w:lvlText w:val=""/>
      <w:lvlJc w:val="left"/>
      <w:pPr>
        <w:ind w:left="2880" w:hanging="360"/>
      </w:pPr>
      <w:rPr>
        <w:rFonts w:ascii="Symbol" w:hAnsi="Symbol" w:hint="default"/>
      </w:rPr>
    </w:lvl>
    <w:lvl w:ilvl="4" w:tplc="E824627C">
      <w:start w:val="1"/>
      <w:numFmt w:val="bullet"/>
      <w:lvlText w:val="o"/>
      <w:lvlJc w:val="left"/>
      <w:pPr>
        <w:ind w:left="3600" w:hanging="360"/>
      </w:pPr>
      <w:rPr>
        <w:rFonts w:ascii="Courier New" w:hAnsi="Courier New" w:cs="Courier New" w:hint="default"/>
      </w:rPr>
    </w:lvl>
    <w:lvl w:ilvl="5" w:tplc="C71E6E88">
      <w:start w:val="1"/>
      <w:numFmt w:val="bullet"/>
      <w:lvlText w:val=""/>
      <w:lvlJc w:val="left"/>
      <w:pPr>
        <w:ind w:left="4320" w:hanging="360"/>
      </w:pPr>
      <w:rPr>
        <w:rFonts w:ascii="Wingdings" w:hAnsi="Wingdings" w:hint="default"/>
      </w:rPr>
    </w:lvl>
    <w:lvl w:ilvl="6" w:tplc="E558274E">
      <w:start w:val="1"/>
      <w:numFmt w:val="bullet"/>
      <w:lvlText w:val=""/>
      <w:lvlJc w:val="left"/>
      <w:pPr>
        <w:ind w:left="5040" w:hanging="360"/>
      </w:pPr>
      <w:rPr>
        <w:rFonts w:ascii="Symbol" w:hAnsi="Symbol" w:hint="default"/>
      </w:rPr>
    </w:lvl>
    <w:lvl w:ilvl="7" w:tplc="4B320F1E">
      <w:start w:val="1"/>
      <w:numFmt w:val="bullet"/>
      <w:lvlText w:val="o"/>
      <w:lvlJc w:val="left"/>
      <w:pPr>
        <w:ind w:left="5760" w:hanging="360"/>
      </w:pPr>
      <w:rPr>
        <w:rFonts w:ascii="Courier New" w:hAnsi="Courier New" w:cs="Courier New" w:hint="default"/>
      </w:rPr>
    </w:lvl>
    <w:lvl w:ilvl="8" w:tplc="37902294">
      <w:start w:val="1"/>
      <w:numFmt w:val="bullet"/>
      <w:lvlText w:val=""/>
      <w:lvlJc w:val="left"/>
      <w:pPr>
        <w:ind w:left="6480" w:hanging="360"/>
      </w:pPr>
      <w:rPr>
        <w:rFonts w:ascii="Wingdings" w:hAnsi="Wingdings" w:hint="default"/>
      </w:rPr>
    </w:lvl>
  </w:abstractNum>
  <w:abstractNum w:abstractNumId="23" w15:restartNumberingAfterBreak="0">
    <w:nsid w:val="1B86266C"/>
    <w:multiLevelType w:val="hybridMultilevel"/>
    <w:tmpl w:val="8C320084"/>
    <w:lvl w:ilvl="0" w:tplc="49FA4942">
      <w:start w:val="1"/>
      <w:numFmt w:val="decimal"/>
      <w:lvlText w:val="%1)"/>
      <w:lvlJc w:val="left"/>
      <w:pPr>
        <w:ind w:left="709" w:hanging="360"/>
      </w:pPr>
    </w:lvl>
    <w:lvl w:ilvl="1" w:tplc="EB0CE0F6">
      <w:start w:val="1"/>
      <w:numFmt w:val="lowerLetter"/>
      <w:lvlText w:val="%2."/>
      <w:lvlJc w:val="left"/>
      <w:pPr>
        <w:ind w:left="1429" w:hanging="360"/>
      </w:pPr>
    </w:lvl>
    <w:lvl w:ilvl="2" w:tplc="C3566902">
      <w:start w:val="1"/>
      <w:numFmt w:val="lowerRoman"/>
      <w:lvlText w:val="%3."/>
      <w:lvlJc w:val="right"/>
      <w:pPr>
        <w:ind w:left="2149" w:hanging="180"/>
      </w:pPr>
    </w:lvl>
    <w:lvl w:ilvl="3" w:tplc="D1E86762">
      <w:start w:val="1"/>
      <w:numFmt w:val="decimal"/>
      <w:lvlText w:val="%4."/>
      <w:lvlJc w:val="left"/>
      <w:pPr>
        <w:ind w:left="2869" w:hanging="360"/>
      </w:pPr>
    </w:lvl>
    <w:lvl w:ilvl="4" w:tplc="A8BEEAE8">
      <w:start w:val="1"/>
      <w:numFmt w:val="lowerLetter"/>
      <w:lvlText w:val="%5."/>
      <w:lvlJc w:val="left"/>
      <w:pPr>
        <w:ind w:left="3589" w:hanging="360"/>
      </w:pPr>
    </w:lvl>
    <w:lvl w:ilvl="5" w:tplc="75BABBF8">
      <w:start w:val="1"/>
      <w:numFmt w:val="lowerRoman"/>
      <w:lvlText w:val="%6."/>
      <w:lvlJc w:val="right"/>
      <w:pPr>
        <w:ind w:left="4309" w:hanging="180"/>
      </w:pPr>
    </w:lvl>
    <w:lvl w:ilvl="6" w:tplc="87F8D934">
      <w:start w:val="1"/>
      <w:numFmt w:val="decimal"/>
      <w:lvlText w:val="%7."/>
      <w:lvlJc w:val="left"/>
      <w:pPr>
        <w:ind w:left="5029" w:hanging="360"/>
      </w:pPr>
    </w:lvl>
    <w:lvl w:ilvl="7" w:tplc="1F44F48E">
      <w:start w:val="1"/>
      <w:numFmt w:val="lowerLetter"/>
      <w:lvlText w:val="%8."/>
      <w:lvlJc w:val="left"/>
      <w:pPr>
        <w:ind w:left="5749" w:hanging="360"/>
      </w:pPr>
    </w:lvl>
    <w:lvl w:ilvl="8" w:tplc="7D7438E2">
      <w:start w:val="1"/>
      <w:numFmt w:val="lowerRoman"/>
      <w:lvlText w:val="%9."/>
      <w:lvlJc w:val="right"/>
      <w:pPr>
        <w:ind w:left="6469" w:hanging="180"/>
      </w:pPr>
    </w:lvl>
  </w:abstractNum>
  <w:abstractNum w:abstractNumId="24" w15:restartNumberingAfterBreak="0">
    <w:nsid w:val="1D904EE0"/>
    <w:multiLevelType w:val="multilevel"/>
    <w:tmpl w:val="C336A608"/>
    <w:lvl w:ilvl="0">
      <w:start w:val="2"/>
      <w:numFmt w:val="decimal"/>
      <w:pStyle w:val="a1"/>
      <w:lvlText w:val="%1."/>
      <w:lvlJc w:val="left"/>
      <w:pPr>
        <w:ind w:left="10000" w:hanging="360"/>
      </w:pPr>
      <w:rPr>
        <w:rFonts w:hint="default"/>
      </w:rPr>
    </w:lvl>
    <w:lvl w:ilvl="1">
      <w:start w:val="2"/>
      <w:numFmt w:val="decimal"/>
      <w:isLgl/>
      <w:lvlText w:val="%1.%2."/>
      <w:lvlJc w:val="left"/>
      <w:pPr>
        <w:ind w:left="3980" w:hanging="720"/>
      </w:pPr>
      <w:rPr>
        <w:rFonts w:hint="default"/>
      </w:rPr>
    </w:lvl>
    <w:lvl w:ilvl="2">
      <w:start w:val="1"/>
      <w:numFmt w:val="decimal"/>
      <w:isLgl/>
      <w:lvlText w:val="%1.%2.%3."/>
      <w:lvlJc w:val="left"/>
      <w:pPr>
        <w:ind w:left="4187" w:hanging="720"/>
      </w:pPr>
      <w:rPr>
        <w:rFonts w:hint="default"/>
      </w:rPr>
    </w:lvl>
    <w:lvl w:ilvl="3">
      <w:start w:val="2"/>
      <w:numFmt w:val="decimal"/>
      <w:lvlText w:val="2.7.7.%4."/>
      <w:lvlJc w:val="left"/>
      <w:pPr>
        <w:ind w:left="4754" w:hanging="1080"/>
      </w:pPr>
      <w:rPr>
        <w:rFonts w:hint="default"/>
        <w:i/>
      </w:rPr>
    </w:lvl>
    <w:lvl w:ilvl="4">
      <w:start w:val="1"/>
      <w:numFmt w:val="decimal"/>
      <w:isLgl/>
      <w:lvlText w:val="%1.%2.%3.%4.%5."/>
      <w:lvlJc w:val="left"/>
      <w:pPr>
        <w:ind w:left="4961" w:hanging="1080"/>
      </w:pPr>
      <w:rPr>
        <w:rFonts w:hint="default"/>
      </w:rPr>
    </w:lvl>
    <w:lvl w:ilvl="5">
      <w:start w:val="1"/>
      <w:numFmt w:val="decimal"/>
      <w:isLgl/>
      <w:lvlText w:val="%1.%2.%3.%4.%5.%6."/>
      <w:lvlJc w:val="left"/>
      <w:pPr>
        <w:ind w:left="5528" w:hanging="1440"/>
      </w:pPr>
      <w:rPr>
        <w:rFonts w:hint="default"/>
      </w:rPr>
    </w:lvl>
    <w:lvl w:ilvl="6">
      <w:start w:val="1"/>
      <w:numFmt w:val="decimal"/>
      <w:isLgl/>
      <w:lvlText w:val="%1.%2.%3.%4.%5.%6.%7."/>
      <w:lvlJc w:val="left"/>
      <w:pPr>
        <w:ind w:left="5735" w:hanging="1440"/>
      </w:pPr>
      <w:rPr>
        <w:rFonts w:hint="default"/>
      </w:rPr>
    </w:lvl>
    <w:lvl w:ilvl="7">
      <w:start w:val="1"/>
      <w:numFmt w:val="decimal"/>
      <w:isLgl/>
      <w:lvlText w:val="%1.%2.%3.%4.%5.%6.%7.%8."/>
      <w:lvlJc w:val="left"/>
      <w:pPr>
        <w:ind w:left="6302" w:hanging="1800"/>
      </w:pPr>
      <w:rPr>
        <w:rFonts w:hint="default"/>
      </w:rPr>
    </w:lvl>
    <w:lvl w:ilvl="8">
      <w:start w:val="1"/>
      <w:numFmt w:val="decimal"/>
      <w:isLgl/>
      <w:lvlText w:val="%1.%2.%3.%4.%5.%6.%7.%8.%9."/>
      <w:lvlJc w:val="left"/>
      <w:pPr>
        <w:ind w:left="6509" w:hanging="1800"/>
      </w:pPr>
      <w:rPr>
        <w:rFonts w:hint="default"/>
      </w:rPr>
    </w:lvl>
  </w:abstractNum>
  <w:abstractNum w:abstractNumId="25" w15:restartNumberingAfterBreak="0">
    <w:nsid w:val="1EF7165D"/>
    <w:multiLevelType w:val="hybridMultilevel"/>
    <w:tmpl w:val="4CE08FAC"/>
    <w:lvl w:ilvl="0" w:tplc="218AF6FC">
      <w:start w:val="1"/>
      <w:numFmt w:val="decimal"/>
      <w:lvlText w:val="%1)"/>
      <w:lvlJc w:val="left"/>
      <w:pPr>
        <w:ind w:left="1069" w:hanging="360"/>
      </w:pPr>
      <w:rPr>
        <w:rFonts w:hint="default"/>
      </w:rPr>
    </w:lvl>
    <w:lvl w:ilvl="1" w:tplc="C986B9A8">
      <w:start w:val="1"/>
      <w:numFmt w:val="lowerLetter"/>
      <w:lvlText w:val="%2."/>
      <w:lvlJc w:val="left"/>
      <w:pPr>
        <w:ind w:left="1789" w:hanging="360"/>
      </w:pPr>
    </w:lvl>
    <w:lvl w:ilvl="2" w:tplc="F7F07000">
      <w:start w:val="1"/>
      <w:numFmt w:val="lowerRoman"/>
      <w:lvlText w:val="%3."/>
      <w:lvlJc w:val="right"/>
      <w:pPr>
        <w:ind w:left="2509" w:hanging="180"/>
      </w:pPr>
    </w:lvl>
    <w:lvl w:ilvl="3" w:tplc="4A2AA460">
      <w:start w:val="1"/>
      <w:numFmt w:val="decimal"/>
      <w:lvlText w:val="%4."/>
      <w:lvlJc w:val="left"/>
      <w:pPr>
        <w:ind w:left="3229" w:hanging="360"/>
      </w:pPr>
    </w:lvl>
    <w:lvl w:ilvl="4" w:tplc="6E5A0B50">
      <w:start w:val="1"/>
      <w:numFmt w:val="lowerLetter"/>
      <w:lvlText w:val="%5."/>
      <w:lvlJc w:val="left"/>
      <w:pPr>
        <w:ind w:left="3949" w:hanging="360"/>
      </w:pPr>
    </w:lvl>
    <w:lvl w:ilvl="5" w:tplc="46B634FE">
      <w:start w:val="1"/>
      <w:numFmt w:val="lowerRoman"/>
      <w:lvlText w:val="%6."/>
      <w:lvlJc w:val="right"/>
      <w:pPr>
        <w:ind w:left="4669" w:hanging="180"/>
      </w:pPr>
    </w:lvl>
    <w:lvl w:ilvl="6" w:tplc="42647508">
      <w:start w:val="1"/>
      <w:numFmt w:val="decimal"/>
      <w:lvlText w:val="%7."/>
      <w:lvlJc w:val="left"/>
      <w:pPr>
        <w:ind w:left="5389" w:hanging="360"/>
      </w:pPr>
    </w:lvl>
    <w:lvl w:ilvl="7" w:tplc="2514DEB6">
      <w:start w:val="1"/>
      <w:numFmt w:val="lowerLetter"/>
      <w:lvlText w:val="%8."/>
      <w:lvlJc w:val="left"/>
      <w:pPr>
        <w:ind w:left="6109" w:hanging="360"/>
      </w:pPr>
    </w:lvl>
    <w:lvl w:ilvl="8" w:tplc="8960C0DC">
      <w:start w:val="1"/>
      <w:numFmt w:val="lowerRoman"/>
      <w:lvlText w:val="%9."/>
      <w:lvlJc w:val="right"/>
      <w:pPr>
        <w:ind w:left="6829" w:hanging="180"/>
      </w:pPr>
    </w:lvl>
  </w:abstractNum>
  <w:abstractNum w:abstractNumId="26" w15:restartNumberingAfterBreak="0">
    <w:nsid w:val="20C56690"/>
    <w:multiLevelType w:val="hybridMultilevel"/>
    <w:tmpl w:val="E4C84876"/>
    <w:lvl w:ilvl="0" w:tplc="22B6FFEE">
      <w:start w:val="1"/>
      <w:numFmt w:val="bullet"/>
      <w:lvlText w:val="–"/>
      <w:lvlJc w:val="left"/>
      <w:pPr>
        <w:ind w:left="709" w:hanging="360"/>
      </w:pPr>
      <w:rPr>
        <w:rFonts w:ascii="Arial" w:eastAsia="Arial" w:hAnsi="Arial" w:cs="Arial" w:hint="default"/>
      </w:rPr>
    </w:lvl>
    <w:lvl w:ilvl="1" w:tplc="F50EDDC8">
      <w:start w:val="1"/>
      <w:numFmt w:val="bullet"/>
      <w:lvlText w:val="o"/>
      <w:lvlJc w:val="left"/>
      <w:pPr>
        <w:ind w:left="1429" w:hanging="360"/>
      </w:pPr>
      <w:rPr>
        <w:rFonts w:ascii="Courier New" w:eastAsia="Courier New" w:hAnsi="Courier New" w:cs="Courier New" w:hint="default"/>
      </w:rPr>
    </w:lvl>
    <w:lvl w:ilvl="2" w:tplc="BC5495C6">
      <w:start w:val="1"/>
      <w:numFmt w:val="bullet"/>
      <w:lvlText w:val="§"/>
      <w:lvlJc w:val="left"/>
      <w:pPr>
        <w:ind w:left="2149" w:hanging="360"/>
      </w:pPr>
      <w:rPr>
        <w:rFonts w:ascii="Wingdings" w:eastAsia="Wingdings" w:hAnsi="Wingdings" w:cs="Wingdings" w:hint="default"/>
      </w:rPr>
    </w:lvl>
    <w:lvl w:ilvl="3" w:tplc="3B8E0B18">
      <w:start w:val="1"/>
      <w:numFmt w:val="bullet"/>
      <w:lvlText w:val="·"/>
      <w:lvlJc w:val="left"/>
      <w:pPr>
        <w:ind w:left="2869" w:hanging="360"/>
      </w:pPr>
      <w:rPr>
        <w:rFonts w:ascii="Symbol" w:eastAsia="Symbol" w:hAnsi="Symbol" w:cs="Symbol" w:hint="default"/>
      </w:rPr>
    </w:lvl>
    <w:lvl w:ilvl="4" w:tplc="F2763F56">
      <w:start w:val="1"/>
      <w:numFmt w:val="bullet"/>
      <w:lvlText w:val="o"/>
      <w:lvlJc w:val="left"/>
      <w:pPr>
        <w:ind w:left="3589" w:hanging="360"/>
      </w:pPr>
      <w:rPr>
        <w:rFonts w:ascii="Courier New" w:eastAsia="Courier New" w:hAnsi="Courier New" w:cs="Courier New" w:hint="default"/>
      </w:rPr>
    </w:lvl>
    <w:lvl w:ilvl="5" w:tplc="4C48DB7C">
      <w:start w:val="1"/>
      <w:numFmt w:val="bullet"/>
      <w:lvlText w:val="§"/>
      <w:lvlJc w:val="left"/>
      <w:pPr>
        <w:ind w:left="4309" w:hanging="360"/>
      </w:pPr>
      <w:rPr>
        <w:rFonts w:ascii="Wingdings" w:eastAsia="Wingdings" w:hAnsi="Wingdings" w:cs="Wingdings" w:hint="default"/>
      </w:rPr>
    </w:lvl>
    <w:lvl w:ilvl="6" w:tplc="BE5E9F36">
      <w:start w:val="1"/>
      <w:numFmt w:val="bullet"/>
      <w:lvlText w:val="·"/>
      <w:lvlJc w:val="left"/>
      <w:pPr>
        <w:ind w:left="5029" w:hanging="360"/>
      </w:pPr>
      <w:rPr>
        <w:rFonts w:ascii="Symbol" w:eastAsia="Symbol" w:hAnsi="Symbol" w:cs="Symbol" w:hint="default"/>
      </w:rPr>
    </w:lvl>
    <w:lvl w:ilvl="7" w:tplc="6256ECA4">
      <w:start w:val="1"/>
      <w:numFmt w:val="bullet"/>
      <w:lvlText w:val="o"/>
      <w:lvlJc w:val="left"/>
      <w:pPr>
        <w:ind w:left="5749" w:hanging="360"/>
      </w:pPr>
      <w:rPr>
        <w:rFonts w:ascii="Courier New" w:eastAsia="Courier New" w:hAnsi="Courier New" w:cs="Courier New" w:hint="default"/>
      </w:rPr>
    </w:lvl>
    <w:lvl w:ilvl="8" w:tplc="E3B669F6">
      <w:start w:val="1"/>
      <w:numFmt w:val="bullet"/>
      <w:lvlText w:val="§"/>
      <w:lvlJc w:val="left"/>
      <w:pPr>
        <w:ind w:left="6469" w:hanging="360"/>
      </w:pPr>
      <w:rPr>
        <w:rFonts w:ascii="Wingdings" w:eastAsia="Wingdings" w:hAnsi="Wingdings" w:cs="Wingdings" w:hint="default"/>
      </w:rPr>
    </w:lvl>
  </w:abstractNum>
  <w:abstractNum w:abstractNumId="27" w15:restartNumberingAfterBreak="0">
    <w:nsid w:val="24C837C1"/>
    <w:multiLevelType w:val="hybridMultilevel"/>
    <w:tmpl w:val="2F845460"/>
    <w:lvl w:ilvl="0" w:tplc="46E2D9EC">
      <w:start w:val="1"/>
      <w:numFmt w:val="bullet"/>
      <w:suff w:val="space"/>
      <w:lvlText w:val="­"/>
      <w:lvlJc w:val="left"/>
      <w:pPr>
        <w:ind w:left="0" w:firstLine="709"/>
      </w:pPr>
      <w:rPr>
        <w:rFonts w:ascii="Courier New" w:hAnsi="Courier New" w:hint="default"/>
      </w:rPr>
    </w:lvl>
    <w:lvl w:ilvl="1" w:tplc="ADEEEFE2">
      <w:start w:val="1"/>
      <w:numFmt w:val="bullet"/>
      <w:lvlText w:val="o"/>
      <w:lvlJc w:val="left"/>
      <w:pPr>
        <w:ind w:left="1440" w:hanging="360"/>
      </w:pPr>
      <w:rPr>
        <w:rFonts w:ascii="Courier New" w:hAnsi="Courier New" w:cs="Courier New" w:hint="default"/>
      </w:rPr>
    </w:lvl>
    <w:lvl w:ilvl="2" w:tplc="2F3458DC">
      <w:start w:val="1"/>
      <w:numFmt w:val="bullet"/>
      <w:lvlText w:val=""/>
      <w:lvlJc w:val="left"/>
      <w:pPr>
        <w:ind w:left="2160" w:hanging="360"/>
      </w:pPr>
      <w:rPr>
        <w:rFonts w:ascii="Wingdings" w:hAnsi="Wingdings" w:hint="default"/>
      </w:rPr>
    </w:lvl>
    <w:lvl w:ilvl="3" w:tplc="591888B8">
      <w:start w:val="1"/>
      <w:numFmt w:val="bullet"/>
      <w:lvlText w:val=""/>
      <w:lvlJc w:val="left"/>
      <w:pPr>
        <w:ind w:left="2880" w:hanging="360"/>
      </w:pPr>
      <w:rPr>
        <w:rFonts w:ascii="Symbol" w:hAnsi="Symbol" w:hint="default"/>
      </w:rPr>
    </w:lvl>
    <w:lvl w:ilvl="4" w:tplc="61CAE17C">
      <w:start w:val="1"/>
      <w:numFmt w:val="bullet"/>
      <w:lvlText w:val="o"/>
      <w:lvlJc w:val="left"/>
      <w:pPr>
        <w:ind w:left="3600" w:hanging="360"/>
      </w:pPr>
      <w:rPr>
        <w:rFonts w:ascii="Courier New" w:hAnsi="Courier New" w:cs="Courier New" w:hint="default"/>
      </w:rPr>
    </w:lvl>
    <w:lvl w:ilvl="5" w:tplc="062C35F6">
      <w:start w:val="1"/>
      <w:numFmt w:val="bullet"/>
      <w:lvlText w:val=""/>
      <w:lvlJc w:val="left"/>
      <w:pPr>
        <w:ind w:left="4320" w:hanging="360"/>
      </w:pPr>
      <w:rPr>
        <w:rFonts w:ascii="Wingdings" w:hAnsi="Wingdings" w:hint="default"/>
      </w:rPr>
    </w:lvl>
    <w:lvl w:ilvl="6" w:tplc="99F85EC2">
      <w:start w:val="1"/>
      <w:numFmt w:val="bullet"/>
      <w:lvlText w:val=""/>
      <w:lvlJc w:val="left"/>
      <w:pPr>
        <w:ind w:left="5040" w:hanging="360"/>
      </w:pPr>
      <w:rPr>
        <w:rFonts w:ascii="Symbol" w:hAnsi="Symbol" w:hint="default"/>
      </w:rPr>
    </w:lvl>
    <w:lvl w:ilvl="7" w:tplc="BB30AC20">
      <w:start w:val="1"/>
      <w:numFmt w:val="bullet"/>
      <w:lvlText w:val="o"/>
      <w:lvlJc w:val="left"/>
      <w:pPr>
        <w:ind w:left="5760" w:hanging="360"/>
      </w:pPr>
      <w:rPr>
        <w:rFonts w:ascii="Courier New" w:hAnsi="Courier New" w:cs="Courier New" w:hint="default"/>
      </w:rPr>
    </w:lvl>
    <w:lvl w:ilvl="8" w:tplc="F6BC1F4C">
      <w:start w:val="1"/>
      <w:numFmt w:val="bullet"/>
      <w:lvlText w:val=""/>
      <w:lvlJc w:val="left"/>
      <w:pPr>
        <w:ind w:left="6480" w:hanging="360"/>
      </w:pPr>
      <w:rPr>
        <w:rFonts w:ascii="Wingdings" w:hAnsi="Wingdings" w:hint="default"/>
      </w:rPr>
    </w:lvl>
  </w:abstractNum>
  <w:abstractNum w:abstractNumId="28" w15:restartNumberingAfterBreak="0">
    <w:nsid w:val="257B0688"/>
    <w:multiLevelType w:val="hybridMultilevel"/>
    <w:tmpl w:val="734EF444"/>
    <w:lvl w:ilvl="0" w:tplc="5942CD02">
      <w:start w:val="1"/>
      <w:numFmt w:val="decimal"/>
      <w:lvlText w:val="%1)"/>
      <w:lvlJc w:val="left"/>
      <w:pPr>
        <w:ind w:left="720" w:hanging="360"/>
      </w:pPr>
    </w:lvl>
    <w:lvl w:ilvl="1" w:tplc="432AF476">
      <w:start w:val="1"/>
      <w:numFmt w:val="lowerLetter"/>
      <w:lvlText w:val="%2."/>
      <w:lvlJc w:val="left"/>
      <w:pPr>
        <w:ind w:left="1440" w:hanging="360"/>
      </w:pPr>
    </w:lvl>
    <w:lvl w:ilvl="2" w:tplc="FF4A5368">
      <w:start w:val="1"/>
      <w:numFmt w:val="lowerRoman"/>
      <w:lvlText w:val="%3."/>
      <w:lvlJc w:val="right"/>
      <w:pPr>
        <w:ind w:left="2160" w:hanging="180"/>
      </w:pPr>
    </w:lvl>
    <w:lvl w:ilvl="3" w:tplc="1D40615E">
      <w:start w:val="1"/>
      <w:numFmt w:val="decimal"/>
      <w:lvlText w:val="%4."/>
      <w:lvlJc w:val="left"/>
      <w:pPr>
        <w:ind w:left="2880" w:hanging="360"/>
      </w:pPr>
    </w:lvl>
    <w:lvl w:ilvl="4" w:tplc="EC645650">
      <w:start w:val="1"/>
      <w:numFmt w:val="lowerLetter"/>
      <w:lvlText w:val="%5."/>
      <w:lvlJc w:val="left"/>
      <w:pPr>
        <w:ind w:left="3600" w:hanging="360"/>
      </w:pPr>
    </w:lvl>
    <w:lvl w:ilvl="5" w:tplc="C90690A4">
      <w:start w:val="1"/>
      <w:numFmt w:val="lowerRoman"/>
      <w:lvlText w:val="%6."/>
      <w:lvlJc w:val="right"/>
      <w:pPr>
        <w:ind w:left="4320" w:hanging="180"/>
      </w:pPr>
    </w:lvl>
    <w:lvl w:ilvl="6" w:tplc="6B562396">
      <w:start w:val="1"/>
      <w:numFmt w:val="decimal"/>
      <w:lvlText w:val="%7."/>
      <w:lvlJc w:val="left"/>
      <w:pPr>
        <w:ind w:left="5040" w:hanging="360"/>
      </w:pPr>
    </w:lvl>
    <w:lvl w:ilvl="7" w:tplc="A3F8D064">
      <w:start w:val="1"/>
      <w:numFmt w:val="lowerLetter"/>
      <w:lvlText w:val="%8."/>
      <w:lvlJc w:val="left"/>
      <w:pPr>
        <w:ind w:left="5760" w:hanging="360"/>
      </w:pPr>
    </w:lvl>
    <w:lvl w:ilvl="8" w:tplc="0270F518">
      <w:start w:val="1"/>
      <w:numFmt w:val="lowerRoman"/>
      <w:lvlText w:val="%9."/>
      <w:lvlJc w:val="right"/>
      <w:pPr>
        <w:ind w:left="6480" w:hanging="180"/>
      </w:pPr>
    </w:lvl>
  </w:abstractNum>
  <w:abstractNum w:abstractNumId="29" w15:restartNumberingAfterBreak="0">
    <w:nsid w:val="2AA951AD"/>
    <w:multiLevelType w:val="hybridMultilevel"/>
    <w:tmpl w:val="40B0187A"/>
    <w:lvl w:ilvl="0" w:tplc="5ABC5BE0">
      <w:start w:val="1"/>
      <w:numFmt w:val="bullet"/>
      <w:lvlText w:val="–"/>
      <w:lvlJc w:val="left"/>
      <w:pPr>
        <w:ind w:left="1418" w:hanging="360"/>
      </w:pPr>
      <w:rPr>
        <w:rFonts w:ascii="Arial" w:eastAsia="Arial" w:hAnsi="Arial" w:cs="Arial" w:hint="default"/>
      </w:rPr>
    </w:lvl>
    <w:lvl w:ilvl="1" w:tplc="32D0E43A">
      <w:start w:val="1"/>
      <w:numFmt w:val="bullet"/>
      <w:lvlText w:val="o"/>
      <w:lvlJc w:val="left"/>
      <w:pPr>
        <w:ind w:left="2138" w:hanging="360"/>
      </w:pPr>
      <w:rPr>
        <w:rFonts w:ascii="Courier New" w:eastAsia="Courier New" w:hAnsi="Courier New" w:cs="Courier New" w:hint="default"/>
      </w:rPr>
    </w:lvl>
    <w:lvl w:ilvl="2" w:tplc="2AF0A630">
      <w:start w:val="1"/>
      <w:numFmt w:val="bullet"/>
      <w:lvlText w:val="§"/>
      <w:lvlJc w:val="left"/>
      <w:pPr>
        <w:ind w:left="2858" w:hanging="360"/>
      </w:pPr>
      <w:rPr>
        <w:rFonts w:ascii="Wingdings" w:eastAsia="Wingdings" w:hAnsi="Wingdings" w:cs="Wingdings" w:hint="default"/>
      </w:rPr>
    </w:lvl>
    <w:lvl w:ilvl="3" w:tplc="220C8AB4">
      <w:start w:val="1"/>
      <w:numFmt w:val="bullet"/>
      <w:lvlText w:val="·"/>
      <w:lvlJc w:val="left"/>
      <w:pPr>
        <w:ind w:left="3578" w:hanging="360"/>
      </w:pPr>
      <w:rPr>
        <w:rFonts w:ascii="Symbol" w:eastAsia="Symbol" w:hAnsi="Symbol" w:cs="Symbol" w:hint="default"/>
      </w:rPr>
    </w:lvl>
    <w:lvl w:ilvl="4" w:tplc="92983F7A">
      <w:start w:val="1"/>
      <w:numFmt w:val="bullet"/>
      <w:lvlText w:val="o"/>
      <w:lvlJc w:val="left"/>
      <w:pPr>
        <w:ind w:left="4298" w:hanging="360"/>
      </w:pPr>
      <w:rPr>
        <w:rFonts w:ascii="Courier New" w:eastAsia="Courier New" w:hAnsi="Courier New" w:cs="Courier New" w:hint="default"/>
      </w:rPr>
    </w:lvl>
    <w:lvl w:ilvl="5" w:tplc="AE90473C">
      <w:start w:val="1"/>
      <w:numFmt w:val="bullet"/>
      <w:lvlText w:val="§"/>
      <w:lvlJc w:val="left"/>
      <w:pPr>
        <w:ind w:left="5018" w:hanging="360"/>
      </w:pPr>
      <w:rPr>
        <w:rFonts w:ascii="Wingdings" w:eastAsia="Wingdings" w:hAnsi="Wingdings" w:cs="Wingdings" w:hint="default"/>
      </w:rPr>
    </w:lvl>
    <w:lvl w:ilvl="6" w:tplc="3210F134">
      <w:start w:val="1"/>
      <w:numFmt w:val="bullet"/>
      <w:lvlText w:val="·"/>
      <w:lvlJc w:val="left"/>
      <w:pPr>
        <w:ind w:left="5738" w:hanging="360"/>
      </w:pPr>
      <w:rPr>
        <w:rFonts w:ascii="Symbol" w:eastAsia="Symbol" w:hAnsi="Symbol" w:cs="Symbol" w:hint="default"/>
      </w:rPr>
    </w:lvl>
    <w:lvl w:ilvl="7" w:tplc="D8746C20">
      <w:start w:val="1"/>
      <w:numFmt w:val="bullet"/>
      <w:lvlText w:val="o"/>
      <w:lvlJc w:val="left"/>
      <w:pPr>
        <w:ind w:left="6458" w:hanging="360"/>
      </w:pPr>
      <w:rPr>
        <w:rFonts w:ascii="Courier New" w:eastAsia="Courier New" w:hAnsi="Courier New" w:cs="Courier New" w:hint="default"/>
      </w:rPr>
    </w:lvl>
    <w:lvl w:ilvl="8" w:tplc="74344808">
      <w:start w:val="1"/>
      <w:numFmt w:val="bullet"/>
      <w:lvlText w:val="§"/>
      <w:lvlJc w:val="left"/>
      <w:pPr>
        <w:ind w:left="7178" w:hanging="360"/>
      </w:pPr>
      <w:rPr>
        <w:rFonts w:ascii="Wingdings" w:eastAsia="Wingdings" w:hAnsi="Wingdings" w:cs="Wingdings" w:hint="default"/>
      </w:rPr>
    </w:lvl>
  </w:abstractNum>
  <w:abstractNum w:abstractNumId="30" w15:restartNumberingAfterBreak="0">
    <w:nsid w:val="2B0C3952"/>
    <w:multiLevelType w:val="hybridMultilevel"/>
    <w:tmpl w:val="8F9E2E8C"/>
    <w:lvl w:ilvl="0" w:tplc="F9B2C8DA">
      <w:start w:val="1"/>
      <w:numFmt w:val="decimal"/>
      <w:lvlText w:val="%1)"/>
      <w:lvlJc w:val="left"/>
      <w:pPr>
        <w:ind w:left="720" w:hanging="360"/>
      </w:pPr>
    </w:lvl>
    <w:lvl w:ilvl="1" w:tplc="D68E8F88">
      <w:start w:val="1"/>
      <w:numFmt w:val="lowerLetter"/>
      <w:lvlText w:val="%2."/>
      <w:lvlJc w:val="left"/>
      <w:pPr>
        <w:ind w:left="1440" w:hanging="360"/>
      </w:pPr>
    </w:lvl>
    <w:lvl w:ilvl="2" w:tplc="CC682AF4">
      <w:start w:val="1"/>
      <w:numFmt w:val="lowerRoman"/>
      <w:lvlText w:val="%3."/>
      <w:lvlJc w:val="right"/>
      <w:pPr>
        <w:ind w:left="2160" w:hanging="180"/>
      </w:pPr>
    </w:lvl>
    <w:lvl w:ilvl="3" w:tplc="225472C0">
      <w:start w:val="1"/>
      <w:numFmt w:val="decimal"/>
      <w:lvlText w:val="%4."/>
      <w:lvlJc w:val="left"/>
      <w:pPr>
        <w:ind w:left="2880" w:hanging="360"/>
      </w:pPr>
    </w:lvl>
    <w:lvl w:ilvl="4" w:tplc="B3C06F1A">
      <w:start w:val="1"/>
      <w:numFmt w:val="lowerLetter"/>
      <w:lvlText w:val="%5."/>
      <w:lvlJc w:val="left"/>
      <w:pPr>
        <w:ind w:left="3600" w:hanging="360"/>
      </w:pPr>
    </w:lvl>
    <w:lvl w:ilvl="5" w:tplc="AA422910">
      <w:start w:val="1"/>
      <w:numFmt w:val="lowerRoman"/>
      <w:lvlText w:val="%6."/>
      <w:lvlJc w:val="right"/>
      <w:pPr>
        <w:ind w:left="4320" w:hanging="180"/>
      </w:pPr>
    </w:lvl>
    <w:lvl w:ilvl="6" w:tplc="9BAC92C6">
      <w:start w:val="1"/>
      <w:numFmt w:val="decimal"/>
      <w:lvlText w:val="%7."/>
      <w:lvlJc w:val="left"/>
      <w:pPr>
        <w:ind w:left="5040" w:hanging="360"/>
      </w:pPr>
    </w:lvl>
    <w:lvl w:ilvl="7" w:tplc="5D60821A">
      <w:start w:val="1"/>
      <w:numFmt w:val="lowerLetter"/>
      <w:lvlText w:val="%8."/>
      <w:lvlJc w:val="left"/>
      <w:pPr>
        <w:ind w:left="5760" w:hanging="360"/>
      </w:pPr>
    </w:lvl>
    <w:lvl w:ilvl="8" w:tplc="9A9846EA">
      <w:start w:val="1"/>
      <w:numFmt w:val="lowerRoman"/>
      <w:lvlText w:val="%9."/>
      <w:lvlJc w:val="right"/>
      <w:pPr>
        <w:ind w:left="6480" w:hanging="180"/>
      </w:pPr>
    </w:lvl>
  </w:abstractNum>
  <w:abstractNum w:abstractNumId="31" w15:restartNumberingAfterBreak="0">
    <w:nsid w:val="2EB517D2"/>
    <w:multiLevelType w:val="hybridMultilevel"/>
    <w:tmpl w:val="26EEBE00"/>
    <w:lvl w:ilvl="0" w:tplc="B18CFCD8">
      <w:start w:val="1"/>
      <w:numFmt w:val="bullet"/>
      <w:lvlText w:val=""/>
      <w:lvlJc w:val="left"/>
      <w:pPr>
        <w:ind w:left="1429" w:hanging="360"/>
      </w:pPr>
      <w:rPr>
        <w:rFonts w:ascii="Symbol" w:hAnsi="Symbol" w:hint="default"/>
      </w:rPr>
    </w:lvl>
    <w:lvl w:ilvl="1" w:tplc="A68235CA">
      <w:start w:val="1"/>
      <w:numFmt w:val="bullet"/>
      <w:lvlText w:val="o"/>
      <w:lvlJc w:val="left"/>
      <w:pPr>
        <w:ind w:left="2149" w:hanging="360"/>
      </w:pPr>
      <w:rPr>
        <w:rFonts w:ascii="Courier New" w:hAnsi="Courier New" w:cs="Courier New" w:hint="default"/>
      </w:rPr>
    </w:lvl>
    <w:lvl w:ilvl="2" w:tplc="E6A4B7A8">
      <w:start w:val="1"/>
      <w:numFmt w:val="bullet"/>
      <w:lvlText w:val=""/>
      <w:lvlJc w:val="left"/>
      <w:pPr>
        <w:ind w:left="501" w:hanging="360"/>
      </w:pPr>
      <w:rPr>
        <w:rFonts w:ascii="Symbol" w:hAnsi="Symbol" w:hint="default"/>
      </w:rPr>
    </w:lvl>
    <w:lvl w:ilvl="3" w:tplc="332229BA">
      <w:start w:val="1"/>
      <w:numFmt w:val="bullet"/>
      <w:lvlText w:val=""/>
      <w:lvlJc w:val="left"/>
      <w:pPr>
        <w:ind w:left="3589" w:hanging="360"/>
      </w:pPr>
      <w:rPr>
        <w:rFonts w:ascii="Symbol" w:hAnsi="Symbol" w:hint="default"/>
      </w:rPr>
    </w:lvl>
    <w:lvl w:ilvl="4" w:tplc="2B9EAEA2">
      <w:start w:val="1"/>
      <w:numFmt w:val="bullet"/>
      <w:lvlText w:val="o"/>
      <w:lvlJc w:val="left"/>
      <w:pPr>
        <w:ind w:left="4309" w:hanging="360"/>
      </w:pPr>
      <w:rPr>
        <w:rFonts w:ascii="Courier New" w:hAnsi="Courier New" w:cs="Courier New" w:hint="default"/>
      </w:rPr>
    </w:lvl>
    <w:lvl w:ilvl="5" w:tplc="ED347C2E">
      <w:start w:val="1"/>
      <w:numFmt w:val="bullet"/>
      <w:lvlText w:val=""/>
      <w:lvlJc w:val="left"/>
      <w:pPr>
        <w:ind w:left="5029" w:hanging="360"/>
      </w:pPr>
      <w:rPr>
        <w:rFonts w:ascii="Wingdings" w:hAnsi="Wingdings" w:hint="default"/>
      </w:rPr>
    </w:lvl>
    <w:lvl w:ilvl="6" w:tplc="575E3A98">
      <w:start w:val="1"/>
      <w:numFmt w:val="bullet"/>
      <w:lvlText w:val=""/>
      <w:lvlJc w:val="left"/>
      <w:pPr>
        <w:ind w:left="5749" w:hanging="360"/>
      </w:pPr>
      <w:rPr>
        <w:rFonts w:ascii="Symbol" w:hAnsi="Symbol" w:hint="default"/>
      </w:rPr>
    </w:lvl>
    <w:lvl w:ilvl="7" w:tplc="4342C968">
      <w:start w:val="1"/>
      <w:numFmt w:val="bullet"/>
      <w:lvlText w:val="o"/>
      <w:lvlJc w:val="left"/>
      <w:pPr>
        <w:ind w:left="6469" w:hanging="360"/>
      </w:pPr>
      <w:rPr>
        <w:rFonts w:ascii="Courier New" w:hAnsi="Courier New" w:cs="Courier New" w:hint="default"/>
      </w:rPr>
    </w:lvl>
    <w:lvl w:ilvl="8" w:tplc="1A741BDE">
      <w:start w:val="1"/>
      <w:numFmt w:val="bullet"/>
      <w:lvlText w:val=""/>
      <w:lvlJc w:val="left"/>
      <w:pPr>
        <w:ind w:left="7189" w:hanging="360"/>
      </w:pPr>
      <w:rPr>
        <w:rFonts w:ascii="Wingdings" w:hAnsi="Wingdings" w:hint="default"/>
      </w:rPr>
    </w:lvl>
  </w:abstractNum>
  <w:abstractNum w:abstractNumId="32" w15:restartNumberingAfterBreak="0">
    <w:nsid w:val="315F3DA2"/>
    <w:multiLevelType w:val="hybridMultilevel"/>
    <w:tmpl w:val="7084F1E2"/>
    <w:lvl w:ilvl="0" w:tplc="354AC2EE">
      <w:start w:val="1"/>
      <w:numFmt w:val="decimal"/>
      <w:lvlText w:val="%1)"/>
      <w:lvlJc w:val="left"/>
      <w:pPr>
        <w:ind w:left="720" w:hanging="360"/>
      </w:pPr>
    </w:lvl>
    <w:lvl w:ilvl="1" w:tplc="BEC2B16E">
      <w:start w:val="1"/>
      <w:numFmt w:val="lowerLetter"/>
      <w:lvlText w:val="%2."/>
      <w:lvlJc w:val="left"/>
      <w:pPr>
        <w:ind w:left="1440" w:hanging="360"/>
      </w:pPr>
    </w:lvl>
    <w:lvl w:ilvl="2" w:tplc="554EE66E">
      <w:start w:val="1"/>
      <w:numFmt w:val="lowerRoman"/>
      <w:lvlText w:val="%3."/>
      <w:lvlJc w:val="right"/>
      <w:pPr>
        <w:ind w:left="2160" w:hanging="180"/>
      </w:pPr>
    </w:lvl>
    <w:lvl w:ilvl="3" w:tplc="8EF274E2">
      <w:start w:val="1"/>
      <w:numFmt w:val="decimal"/>
      <w:lvlText w:val="%4."/>
      <w:lvlJc w:val="left"/>
      <w:pPr>
        <w:ind w:left="2880" w:hanging="360"/>
      </w:pPr>
    </w:lvl>
    <w:lvl w:ilvl="4" w:tplc="8C2C155C">
      <w:start w:val="1"/>
      <w:numFmt w:val="lowerLetter"/>
      <w:lvlText w:val="%5."/>
      <w:lvlJc w:val="left"/>
      <w:pPr>
        <w:ind w:left="3600" w:hanging="360"/>
      </w:pPr>
    </w:lvl>
    <w:lvl w:ilvl="5" w:tplc="DFF679BE">
      <w:start w:val="1"/>
      <w:numFmt w:val="lowerRoman"/>
      <w:lvlText w:val="%6."/>
      <w:lvlJc w:val="right"/>
      <w:pPr>
        <w:ind w:left="4320" w:hanging="180"/>
      </w:pPr>
    </w:lvl>
    <w:lvl w:ilvl="6" w:tplc="D7B868A8">
      <w:start w:val="1"/>
      <w:numFmt w:val="decimal"/>
      <w:lvlText w:val="%7."/>
      <w:lvlJc w:val="left"/>
      <w:pPr>
        <w:ind w:left="5040" w:hanging="360"/>
      </w:pPr>
    </w:lvl>
    <w:lvl w:ilvl="7" w:tplc="83B067A4">
      <w:start w:val="1"/>
      <w:numFmt w:val="lowerLetter"/>
      <w:lvlText w:val="%8."/>
      <w:lvlJc w:val="left"/>
      <w:pPr>
        <w:ind w:left="5760" w:hanging="360"/>
      </w:pPr>
    </w:lvl>
    <w:lvl w:ilvl="8" w:tplc="6598F6EE">
      <w:start w:val="1"/>
      <w:numFmt w:val="lowerRoman"/>
      <w:lvlText w:val="%9."/>
      <w:lvlJc w:val="right"/>
      <w:pPr>
        <w:ind w:left="6480" w:hanging="180"/>
      </w:pPr>
    </w:lvl>
  </w:abstractNum>
  <w:abstractNum w:abstractNumId="33" w15:restartNumberingAfterBreak="0">
    <w:nsid w:val="31CF084D"/>
    <w:multiLevelType w:val="hybridMultilevel"/>
    <w:tmpl w:val="4524EF5C"/>
    <w:lvl w:ilvl="0" w:tplc="633C796E">
      <w:start w:val="1"/>
      <w:numFmt w:val="bullet"/>
      <w:lvlText w:val="–"/>
      <w:lvlJc w:val="left"/>
      <w:pPr>
        <w:ind w:left="1418" w:hanging="360"/>
      </w:pPr>
      <w:rPr>
        <w:rFonts w:ascii="Arial" w:eastAsia="Arial" w:hAnsi="Arial" w:cs="Arial" w:hint="default"/>
      </w:rPr>
    </w:lvl>
    <w:lvl w:ilvl="1" w:tplc="0F709CBE">
      <w:start w:val="1"/>
      <w:numFmt w:val="bullet"/>
      <w:lvlText w:val="o"/>
      <w:lvlJc w:val="left"/>
      <w:pPr>
        <w:ind w:left="2138" w:hanging="360"/>
      </w:pPr>
      <w:rPr>
        <w:rFonts w:ascii="Courier New" w:eastAsia="Courier New" w:hAnsi="Courier New" w:cs="Courier New" w:hint="default"/>
      </w:rPr>
    </w:lvl>
    <w:lvl w:ilvl="2" w:tplc="A5DA2B40">
      <w:start w:val="1"/>
      <w:numFmt w:val="bullet"/>
      <w:lvlText w:val="§"/>
      <w:lvlJc w:val="left"/>
      <w:pPr>
        <w:ind w:left="2858" w:hanging="360"/>
      </w:pPr>
      <w:rPr>
        <w:rFonts w:ascii="Wingdings" w:eastAsia="Wingdings" w:hAnsi="Wingdings" w:cs="Wingdings" w:hint="default"/>
      </w:rPr>
    </w:lvl>
    <w:lvl w:ilvl="3" w:tplc="ACE8E7C2">
      <w:start w:val="1"/>
      <w:numFmt w:val="bullet"/>
      <w:lvlText w:val="·"/>
      <w:lvlJc w:val="left"/>
      <w:pPr>
        <w:ind w:left="3578" w:hanging="360"/>
      </w:pPr>
      <w:rPr>
        <w:rFonts w:ascii="Symbol" w:eastAsia="Symbol" w:hAnsi="Symbol" w:cs="Symbol" w:hint="default"/>
      </w:rPr>
    </w:lvl>
    <w:lvl w:ilvl="4" w:tplc="9664FCD4">
      <w:start w:val="1"/>
      <w:numFmt w:val="bullet"/>
      <w:lvlText w:val="o"/>
      <w:lvlJc w:val="left"/>
      <w:pPr>
        <w:ind w:left="4298" w:hanging="360"/>
      </w:pPr>
      <w:rPr>
        <w:rFonts w:ascii="Courier New" w:eastAsia="Courier New" w:hAnsi="Courier New" w:cs="Courier New" w:hint="default"/>
      </w:rPr>
    </w:lvl>
    <w:lvl w:ilvl="5" w:tplc="F10293F8">
      <w:start w:val="1"/>
      <w:numFmt w:val="bullet"/>
      <w:lvlText w:val="§"/>
      <w:lvlJc w:val="left"/>
      <w:pPr>
        <w:ind w:left="5018" w:hanging="360"/>
      </w:pPr>
      <w:rPr>
        <w:rFonts w:ascii="Wingdings" w:eastAsia="Wingdings" w:hAnsi="Wingdings" w:cs="Wingdings" w:hint="default"/>
      </w:rPr>
    </w:lvl>
    <w:lvl w:ilvl="6" w:tplc="1D860870">
      <w:start w:val="1"/>
      <w:numFmt w:val="bullet"/>
      <w:lvlText w:val="·"/>
      <w:lvlJc w:val="left"/>
      <w:pPr>
        <w:ind w:left="5738" w:hanging="360"/>
      </w:pPr>
      <w:rPr>
        <w:rFonts w:ascii="Symbol" w:eastAsia="Symbol" w:hAnsi="Symbol" w:cs="Symbol" w:hint="default"/>
      </w:rPr>
    </w:lvl>
    <w:lvl w:ilvl="7" w:tplc="F498252E">
      <w:start w:val="1"/>
      <w:numFmt w:val="bullet"/>
      <w:lvlText w:val="o"/>
      <w:lvlJc w:val="left"/>
      <w:pPr>
        <w:ind w:left="6458" w:hanging="360"/>
      </w:pPr>
      <w:rPr>
        <w:rFonts w:ascii="Courier New" w:eastAsia="Courier New" w:hAnsi="Courier New" w:cs="Courier New" w:hint="default"/>
      </w:rPr>
    </w:lvl>
    <w:lvl w:ilvl="8" w:tplc="B6FC9794">
      <w:start w:val="1"/>
      <w:numFmt w:val="bullet"/>
      <w:lvlText w:val="§"/>
      <w:lvlJc w:val="left"/>
      <w:pPr>
        <w:ind w:left="7178" w:hanging="360"/>
      </w:pPr>
      <w:rPr>
        <w:rFonts w:ascii="Wingdings" w:eastAsia="Wingdings" w:hAnsi="Wingdings" w:cs="Wingdings" w:hint="default"/>
      </w:rPr>
    </w:lvl>
  </w:abstractNum>
  <w:abstractNum w:abstractNumId="34" w15:restartNumberingAfterBreak="0">
    <w:nsid w:val="34F01D96"/>
    <w:multiLevelType w:val="hybridMultilevel"/>
    <w:tmpl w:val="7E7CBC8E"/>
    <w:lvl w:ilvl="0" w:tplc="0954457E">
      <w:start w:val="1"/>
      <w:numFmt w:val="decimal"/>
      <w:lvlText w:val="%1."/>
      <w:lvlJc w:val="left"/>
      <w:pPr>
        <w:ind w:left="709" w:hanging="360"/>
      </w:pPr>
    </w:lvl>
    <w:lvl w:ilvl="1" w:tplc="617E834E">
      <w:start w:val="1"/>
      <w:numFmt w:val="lowerLetter"/>
      <w:lvlText w:val="%2."/>
      <w:lvlJc w:val="left"/>
      <w:pPr>
        <w:ind w:left="1429" w:hanging="360"/>
      </w:pPr>
    </w:lvl>
    <w:lvl w:ilvl="2" w:tplc="DFA687BE">
      <w:start w:val="1"/>
      <w:numFmt w:val="lowerRoman"/>
      <w:lvlText w:val="%3."/>
      <w:lvlJc w:val="right"/>
      <w:pPr>
        <w:ind w:left="2149" w:hanging="180"/>
      </w:pPr>
    </w:lvl>
    <w:lvl w:ilvl="3" w:tplc="250A41A8">
      <w:start w:val="1"/>
      <w:numFmt w:val="decimal"/>
      <w:lvlText w:val="%4."/>
      <w:lvlJc w:val="left"/>
      <w:pPr>
        <w:ind w:left="2869" w:hanging="360"/>
      </w:pPr>
    </w:lvl>
    <w:lvl w:ilvl="4" w:tplc="142E85B4">
      <w:start w:val="1"/>
      <w:numFmt w:val="lowerLetter"/>
      <w:lvlText w:val="%5."/>
      <w:lvlJc w:val="left"/>
      <w:pPr>
        <w:ind w:left="3589" w:hanging="360"/>
      </w:pPr>
    </w:lvl>
    <w:lvl w:ilvl="5" w:tplc="D3A4EC64">
      <w:start w:val="1"/>
      <w:numFmt w:val="lowerRoman"/>
      <w:lvlText w:val="%6."/>
      <w:lvlJc w:val="right"/>
      <w:pPr>
        <w:ind w:left="4309" w:hanging="180"/>
      </w:pPr>
    </w:lvl>
    <w:lvl w:ilvl="6" w:tplc="3FE20BE4">
      <w:start w:val="1"/>
      <w:numFmt w:val="decimal"/>
      <w:lvlText w:val="%7."/>
      <w:lvlJc w:val="left"/>
      <w:pPr>
        <w:ind w:left="5029" w:hanging="360"/>
      </w:pPr>
    </w:lvl>
    <w:lvl w:ilvl="7" w:tplc="935E14B0">
      <w:start w:val="1"/>
      <w:numFmt w:val="lowerLetter"/>
      <w:lvlText w:val="%8."/>
      <w:lvlJc w:val="left"/>
      <w:pPr>
        <w:ind w:left="5749" w:hanging="360"/>
      </w:pPr>
    </w:lvl>
    <w:lvl w:ilvl="8" w:tplc="F454DC9C">
      <w:start w:val="1"/>
      <w:numFmt w:val="lowerRoman"/>
      <w:lvlText w:val="%9."/>
      <w:lvlJc w:val="right"/>
      <w:pPr>
        <w:ind w:left="6469" w:hanging="180"/>
      </w:pPr>
    </w:lvl>
  </w:abstractNum>
  <w:abstractNum w:abstractNumId="35" w15:restartNumberingAfterBreak="0">
    <w:nsid w:val="39982ADA"/>
    <w:multiLevelType w:val="hybridMultilevel"/>
    <w:tmpl w:val="388EF610"/>
    <w:lvl w:ilvl="0" w:tplc="58506B94">
      <w:start w:val="1"/>
      <w:numFmt w:val="decimal"/>
      <w:lvlText w:val="%1."/>
      <w:lvlJc w:val="left"/>
      <w:pPr>
        <w:ind w:left="1429" w:hanging="360"/>
      </w:pPr>
    </w:lvl>
    <w:lvl w:ilvl="1" w:tplc="8CB8D484">
      <w:start w:val="1"/>
      <w:numFmt w:val="lowerLetter"/>
      <w:lvlText w:val="%2."/>
      <w:lvlJc w:val="left"/>
      <w:pPr>
        <w:ind w:left="2149" w:hanging="360"/>
      </w:pPr>
    </w:lvl>
    <w:lvl w:ilvl="2" w:tplc="4208A34E">
      <w:start w:val="1"/>
      <w:numFmt w:val="lowerRoman"/>
      <w:lvlText w:val="%3."/>
      <w:lvlJc w:val="right"/>
      <w:pPr>
        <w:ind w:left="2869" w:hanging="180"/>
      </w:pPr>
    </w:lvl>
    <w:lvl w:ilvl="3" w:tplc="5FDABE9C">
      <w:start w:val="1"/>
      <w:numFmt w:val="decimal"/>
      <w:lvlText w:val="%4."/>
      <w:lvlJc w:val="left"/>
      <w:pPr>
        <w:ind w:left="3589" w:hanging="360"/>
      </w:pPr>
    </w:lvl>
    <w:lvl w:ilvl="4" w:tplc="116224A4">
      <w:start w:val="1"/>
      <w:numFmt w:val="lowerLetter"/>
      <w:lvlText w:val="%5."/>
      <w:lvlJc w:val="left"/>
      <w:pPr>
        <w:ind w:left="4309" w:hanging="360"/>
      </w:pPr>
    </w:lvl>
    <w:lvl w:ilvl="5" w:tplc="FAB0E0DC">
      <w:start w:val="1"/>
      <w:numFmt w:val="lowerRoman"/>
      <w:lvlText w:val="%6."/>
      <w:lvlJc w:val="right"/>
      <w:pPr>
        <w:ind w:left="5029" w:hanging="180"/>
      </w:pPr>
    </w:lvl>
    <w:lvl w:ilvl="6" w:tplc="F95C08A8">
      <w:start w:val="1"/>
      <w:numFmt w:val="decimal"/>
      <w:lvlText w:val="%7."/>
      <w:lvlJc w:val="left"/>
      <w:pPr>
        <w:ind w:left="5749" w:hanging="360"/>
      </w:pPr>
    </w:lvl>
    <w:lvl w:ilvl="7" w:tplc="77B6181E">
      <w:start w:val="1"/>
      <w:numFmt w:val="lowerLetter"/>
      <w:lvlText w:val="%8."/>
      <w:lvlJc w:val="left"/>
      <w:pPr>
        <w:ind w:left="6469" w:hanging="360"/>
      </w:pPr>
    </w:lvl>
    <w:lvl w:ilvl="8" w:tplc="9F2611B0">
      <w:start w:val="1"/>
      <w:numFmt w:val="lowerRoman"/>
      <w:lvlText w:val="%9."/>
      <w:lvlJc w:val="right"/>
      <w:pPr>
        <w:ind w:left="7189" w:hanging="180"/>
      </w:pPr>
    </w:lvl>
  </w:abstractNum>
  <w:abstractNum w:abstractNumId="36" w15:restartNumberingAfterBreak="0">
    <w:nsid w:val="3A465E18"/>
    <w:multiLevelType w:val="multilevel"/>
    <w:tmpl w:val="0F4C4296"/>
    <w:lvl w:ilvl="0">
      <w:start w:val="1"/>
      <w:numFmt w:val="decimal"/>
      <w:pStyle w:val="1"/>
      <w:lvlText w:val="%1."/>
      <w:lvlJc w:val="left"/>
      <w:pPr>
        <w:ind w:left="720" w:hanging="360"/>
      </w:pPr>
      <w:rPr>
        <w:rFonts w:eastAsia="Calibri"/>
        <w:i w:val="0"/>
        <w:sz w:val="32"/>
        <w:szCs w:val="32"/>
      </w:rPr>
    </w:lvl>
    <w:lvl w:ilvl="1">
      <w:start w:val="1"/>
      <w:numFmt w:val="decimal"/>
      <w:pStyle w:val="1-2"/>
      <w:isLgl/>
      <w:lvlText w:val="%1.%2"/>
      <w:lvlJc w:val="left"/>
      <w:pPr>
        <w:ind w:left="704" w:hanging="420"/>
      </w:pPr>
      <w:rPr>
        <w:sz w:val="28"/>
      </w:r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3960" w:hanging="144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37" w15:restartNumberingAfterBreak="0">
    <w:nsid w:val="3D257423"/>
    <w:multiLevelType w:val="hybridMultilevel"/>
    <w:tmpl w:val="768A07F0"/>
    <w:lvl w:ilvl="0" w:tplc="04EAF928">
      <w:start w:val="1"/>
      <w:numFmt w:val="decimal"/>
      <w:pStyle w:val="lena1"/>
      <w:lvlText w:val="%1."/>
      <w:lvlJc w:val="left"/>
      <w:pPr>
        <w:tabs>
          <w:tab w:val="num" w:pos="360"/>
        </w:tabs>
        <w:ind w:left="360" w:hanging="360"/>
      </w:pPr>
    </w:lvl>
    <w:lvl w:ilvl="1" w:tplc="1F00CED8">
      <w:start w:val="1"/>
      <w:numFmt w:val="bullet"/>
      <w:lvlText w:val="o"/>
      <w:lvlJc w:val="left"/>
      <w:pPr>
        <w:ind w:left="1440" w:hanging="360"/>
      </w:pPr>
      <w:rPr>
        <w:rFonts w:ascii="Courier New" w:eastAsia="Courier New" w:hAnsi="Courier New" w:cs="Courier New" w:hint="default"/>
      </w:rPr>
    </w:lvl>
    <w:lvl w:ilvl="2" w:tplc="F27868F4">
      <w:start w:val="1"/>
      <w:numFmt w:val="bullet"/>
      <w:lvlText w:val="§"/>
      <w:lvlJc w:val="left"/>
      <w:pPr>
        <w:ind w:left="2160" w:hanging="360"/>
      </w:pPr>
      <w:rPr>
        <w:rFonts w:ascii="Wingdings" w:eastAsia="Wingdings" w:hAnsi="Wingdings" w:cs="Wingdings" w:hint="default"/>
      </w:rPr>
    </w:lvl>
    <w:lvl w:ilvl="3" w:tplc="E028011C">
      <w:start w:val="1"/>
      <w:numFmt w:val="bullet"/>
      <w:lvlText w:val="·"/>
      <w:lvlJc w:val="left"/>
      <w:pPr>
        <w:ind w:left="2880" w:hanging="360"/>
      </w:pPr>
      <w:rPr>
        <w:rFonts w:ascii="Symbol" w:eastAsia="Symbol" w:hAnsi="Symbol" w:cs="Symbol" w:hint="default"/>
      </w:rPr>
    </w:lvl>
    <w:lvl w:ilvl="4" w:tplc="CB0E676E">
      <w:start w:val="1"/>
      <w:numFmt w:val="bullet"/>
      <w:lvlText w:val="o"/>
      <w:lvlJc w:val="left"/>
      <w:pPr>
        <w:ind w:left="3600" w:hanging="360"/>
      </w:pPr>
      <w:rPr>
        <w:rFonts w:ascii="Courier New" w:eastAsia="Courier New" w:hAnsi="Courier New" w:cs="Courier New" w:hint="default"/>
      </w:rPr>
    </w:lvl>
    <w:lvl w:ilvl="5" w:tplc="86108D1E">
      <w:start w:val="1"/>
      <w:numFmt w:val="bullet"/>
      <w:lvlText w:val="§"/>
      <w:lvlJc w:val="left"/>
      <w:pPr>
        <w:ind w:left="4320" w:hanging="360"/>
      </w:pPr>
      <w:rPr>
        <w:rFonts w:ascii="Wingdings" w:eastAsia="Wingdings" w:hAnsi="Wingdings" w:cs="Wingdings" w:hint="default"/>
      </w:rPr>
    </w:lvl>
    <w:lvl w:ilvl="6" w:tplc="557CFAA2">
      <w:start w:val="1"/>
      <w:numFmt w:val="bullet"/>
      <w:lvlText w:val="·"/>
      <w:lvlJc w:val="left"/>
      <w:pPr>
        <w:ind w:left="5040" w:hanging="360"/>
      </w:pPr>
      <w:rPr>
        <w:rFonts w:ascii="Symbol" w:eastAsia="Symbol" w:hAnsi="Symbol" w:cs="Symbol" w:hint="default"/>
      </w:rPr>
    </w:lvl>
    <w:lvl w:ilvl="7" w:tplc="D07802EE">
      <w:start w:val="1"/>
      <w:numFmt w:val="bullet"/>
      <w:lvlText w:val="o"/>
      <w:lvlJc w:val="left"/>
      <w:pPr>
        <w:ind w:left="5760" w:hanging="360"/>
      </w:pPr>
      <w:rPr>
        <w:rFonts w:ascii="Courier New" w:eastAsia="Courier New" w:hAnsi="Courier New" w:cs="Courier New" w:hint="default"/>
      </w:rPr>
    </w:lvl>
    <w:lvl w:ilvl="8" w:tplc="D1D69938">
      <w:start w:val="1"/>
      <w:numFmt w:val="bullet"/>
      <w:lvlText w:val="§"/>
      <w:lvlJc w:val="left"/>
      <w:pPr>
        <w:ind w:left="6480" w:hanging="360"/>
      </w:pPr>
      <w:rPr>
        <w:rFonts w:ascii="Wingdings" w:eastAsia="Wingdings" w:hAnsi="Wingdings" w:cs="Wingdings" w:hint="default"/>
      </w:rPr>
    </w:lvl>
  </w:abstractNum>
  <w:abstractNum w:abstractNumId="38" w15:restartNumberingAfterBreak="0">
    <w:nsid w:val="3E2422A5"/>
    <w:multiLevelType w:val="hybridMultilevel"/>
    <w:tmpl w:val="9328F3EA"/>
    <w:lvl w:ilvl="0" w:tplc="0AFCB32A">
      <w:start w:val="1"/>
      <w:numFmt w:val="bullet"/>
      <w:lvlText w:val="–"/>
      <w:lvlJc w:val="left"/>
      <w:pPr>
        <w:ind w:left="1418" w:hanging="360"/>
      </w:pPr>
      <w:rPr>
        <w:rFonts w:ascii="Arial" w:eastAsia="Arial" w:hAnsi="Arial" w:cs="Arial" w:hint="default"/>
      </w:rPr>
    </w:lvl>
    <w:lvl w:ilvl="1" w:tplc="06EA9D00">
      <w:start w:val="1"/>
      <w:numFmt w:val="bullet"/>
      <w:lvlText w:val="o"/>
      <w:lvlJc w:val="left"/>
      <w:pPr>
        <w:ind w:left="2138" w:hanging="360"/>
      </w:pPr>
      <w:rPr>
        <w:rFonts w:ascii="Courier New" w:eastAsia="Courier New" w:hAnsi="Courier New" w:cs="Courier New" w:hint="default"/>
      </w:rPr>
    </w:lvl>
    <w:lvl w:ilvl="2" w:tplc="87647B26">
      <w:start w:val="1"/>
      <w:numFmt w:val="bullet"/>
      <w:lvlText w:val="§"/>
      <w:lvlJc w:val="left"/>
      <w:pPr>
        <w:ind w:left="2858" w:hanging="360"/>
      </w:pPr>
      <w:rPr>
        <w:rFonts w:ascii="Wingdings" w:eastAsia="Wingdings" w:hAnsi="Wingdings" w:cs="Wingdings" w:hint="default"/>
      </w:rPr>
    </w:lvl>
    <w:lvl w:ilvl="3" w:tplc="E0EAFA56">
      <w:start w:val="1"/>
      <w:numFmt w:val="bullet"/>
      <w:lvlText w:val="·"/>
      <w:lvlJc w:val="left"/>
      <w:pPr>
        <w:ind w:left="3578" w:hanging="360"/>
      </w:pPr>
      <w:rPr>
        <w:rFonts w:ascii="Symbol" w:eastAsia="Symbol" w:hAnsi="Symbol" w:cs="Symbol" w:hint="default"/>
      </w:rPr>
    </w:lvl>
    <w:lvl w:ilvl="4" w:tplc="5F54ADA8">
      <w:start w:val="1"/>
      <w:numFmt w:val="bullet"/>
      <w:lvlText w:val="o"/>
      <w:lvlJc w:val="left"/>
      <w:pPr>
        <w:ind w:left="4298" w:hanging="360"/>
      </w:pPr>
      <w:rPr>
        <w:rFonts w:ascii="Courier New" w:eastAsia="Courier New" w:hAnsi="Courier New" w:cs="Courier New" w:hint="default"/>
      </w:rPr>
    </w:lvl>
    <w:lvl w:ilvl="5" w:tplc="9224FB48">
      <w:start w:val="1"/>
      <w:numFmt w:val="bullet"/>
      <w:lvlText w:val="§"/>
      <w:lvlJc w:val="left"/>
      <w:pPr>
        <w:ind w:left="5018" w:hanging="360"/>
      </w:pPr>
      <w:rPr>
        <w:rFonts w:ascii="Wingdings" w:eastAsia="Wingdings" w:hAnsi="Wingdings" w:cs="Wingdings" w:hint="default"/>
      </w:rPr>
    </w:lvl>
    <w:lvl w:ilvl="6" w:tplc="813AF03E">
      <w:start w:val="1"/>
      <w:numFmt w:val="bullet"/>
      <w:lvlText w:val="·"/>
      <w:lvlJc w:val="left"/>
      <w:pPr>
        <w:ind w:left="5738" w:hanging="360"/>
      </w:pPr>
      <w:rPr>
        <w:rFonts w:ascii="Symbol" w:eastAsia="Symbol" w:hAnsi="Symbol" w:cs="Symbol" w:hint="default"/>
      </w:rPr>
    </w:lvl>
    <w:lvl w:ilvl="7" w:tplc="0554E030">
      <w:start w:val="1"/>
      <w:numFmt w:val="bullet"/>
      <w:lvlText w:val="o"/>
      <w:lvlJc w:val="left"/>
      <w:pPr>
        <w:ind w:left="6458" w:hanging="360"/>
      </w:pPr>
      <w:rPr>
        <w:rFonts w:ascii="Courier New" w:eastAsia="Courier New" w:hAnsi="Courier New" w:cs="Courier New" w:hint="default"/>
      </w:rPr>
    </w:lvl>
    <w:lvl w:ilvl="8" w:tplc="143A5F76">
      <w:start w:val="1"/>
      <w:numFmt w:val="bullet"/>
      <w:lvlText w:val="§"/>
      <w:lvlJc w:val="left"/>
      <w:pPr>
        <w:ind w:left="7178" w:hanging="360"/>
      </w:pPr>
      <w:rPr>
        <w:rFonts w:ascii="Wingdings" w:eastAsia="Wingdings" w:hAnsi="Wingdings" w:cs="Wingdings" w:hint="default"/>
      </w:rPr>
    </w:lvl>
  </w:abstractNum>
  <w:abstractNum w:abstractNumId="39" w15:restartNumberingAfterBreak="0">
    <w:nsid w:val="3E5174C4"/>
    <w:multiLevelType w:val="multilevel"/>
    <w:tmpl w:val="C1D221D2"/>
    <w:lvl w:ilvl="0">
      <w:start w:val="2"/>
      <w:numFmt w:val="decimal"/>
      <w:lvlText w:val="%1."/>
      <w:lvlJc w:val="left"/>
      <w:pPr>
        <w:ind w:left="792" w:hanging="360"/>
      </w:pPr>
      <w:rPr>
        <w:rFonts w:eastAsiaTheme="majorEastAsia" w:hint="default"/>
      </w:rPr>
    </w:lvl>
    <w:lvl w:ilvl="1">
      <w:start w:val="1"/>
      <w:numFmt w:val="decimal"/>
      <w:pStyle w:val="21"/>
      <w:isLgl/>
      <w:lvlText w:val="%1.%2."/>
      <w:lvlJc w:val="left"/>
      <w:pPr>
        <w:ind w:left="2869" w:hanging="720"/>
      </w:pPr>
      <w:rPr>
        <w:rFonts w:hint="default"/>
      </w:rPr>
    </w:lvl>
    <w:lvl w:ilvl="2">
      <w:start w:val="1"/>
      <w:numFmt w:val="decimal"/>
      <w:isLgl/>
      <w:lvlText w:val="%1.%2.%3."/>
      <w:lvlJc w:val="left"/>
      <w:pPr>
        <w:ind w:left="4586" w:hanging="720"/>
      </w:pPr>
      <w:rPr>
        <w:rFonts w:hint="default"/>
        <w:color w:val="auto"/>
      </w:rPr>
    </w:lvl>
    <w:lvl w:ilvl="3">
      <w:start w:val="1"/>
      <w:numFmt w:val="decimal"/>
      <w:isLgl/>
      <w:lvlText w:val="%1.%2.%3.%4."/>
      <w:lvlJc w:val="left"/>
      <w:pPr>
        <w:ind w:left="1506" w:hanging="1080"/>
      </w:pPr>
      <w:rPr>
        <w:rFonts w:hint="default"/>
        <w:b/>
        <w:i/>
      </w:rPr>
    </w:lvl>
    <w:lvl w:ilvl="4">
      <w:start w:val="1"/>
      <w:numFmt w:val="decimal"/>
      <w:isLgl/>
      <w:lvlText w:val="%1.%2.%3.%4.%5."/>
      <w:lvlJc w:val="left"/>
      <w:pPr>
        <w:ind w:left="8380" w:hanging="1080"/>
      </w:pPr>
      <w:rPr>
        <w:rFonts w:hint="default"/>
      </w:rPr>
    </w:lvl>
    <w:lvl w:ilvl="5">
      <w:start w:val="1"/>
      <w:numFmt w:val="decimal"/>
      <w:isLgl/>
      <w:lvlText w:val="%1.%2.%3.%4.%5.%6."/>
      <w:lvlJc w:val="left"/>
      <w:pPr>
        <w:ind w:left="10457" w:hanging="1440"/>
      </w:pPr>
      <w:rPr>
        <w:rFonts w:hint="default"/>
      </w:rPr>
    </w:lvl>
    <w:lvl w:ilvl="6">
      <w:start w:val="1"/>
      <w:numFmt w:val="decimal"/>
      <w:isLgl/>
      <w:lvlText w:val="%1.%2.%3.%4.%5.%6.%7."/>
      <w:lvlJc w:val="left"/>
      <w:pPr>
        <w:ind w:left="12534" w:hanging="1800"/>
      </w:pPr>
      <w:rPr>
        <w:rFonts w:hint="default"/>
      </w:rPr>
    </w:lvl>
    <w:lvl w:ilvl="7">
      <w:start w:val="1"/>
      <w:numFmt w:val="decimal"/>
      <w:isLgl/>
      <w:lvlText w:val="%1.%2.%3.%4.%5.%6.%7.%8."/>
      <w:lvlJc w:val="left"/>
      <w:pPr>
        <w:ind w:left="14251" w:hanging="1800"/>
      </w:pPr>
      <w:rPr>
        <w:rFonts w:hint="default"/>
      </w:rPr>
    </w:lvl>
    <w:lvl w:ilvl="8">
      <w:start w:val="1"/>
      <w:numFmt w:val="decimal"/>
      <w:isLgl/>
      <w:lvlText w:val="%1.%2.%3.%4.%5.%6.%7.%8.%9."/>
      <w:lvlJc w:val="left"/>
      <w:pPr>
        <w:ind w:left="16328" w:hanging="2160"/>
      </w:pPr>
      <w:rPr>
        <w:rFonts w:hint="default"/>
      </w:rPr>
    </w:lvl>
  </w:abstractNum>
  <w:abstractNum w:abstractNumId="40" w15:restartNumberingAfterBreak="0">
    <w:nsid w:val="3EBD150A"/>
    <w:multiLevelType w:val="hybridMultilevel"/>
    <w:tmpl w:val="95AA2656"/>
    <w:lvl w:ilvl="0" w:tplc="2332807E">
      <w:start w:val="1"/>
      <w:numFmt w:val="bullet"/>
      <w:lvlText w:val=""/>
      <w:lvlJc w:val="left"/>
      <w:pPr>
        <w:tabs>
          <w:tab w:val="num" w:pos="720"/>
        </w:tabs>
        <w:ind w:left="720" w:hanging="360"/>
      </w:pPr>
      <w:rPr>
        <w:rFonts w:ascii="Symbol" w:hAnsi="Symbol" w:hint="default"/>
        <w:sz w:val="20"/>
      </w:rPr>
    </w:lvl>
    <w:lvl w:ilvl="1" w:tplc="C0EEEFF4">
      <w:start w:val="1"/>
      <w:numFmt w:val="bullet"/>
      <w:lvlText w:val="o"/>
      <w:lvlJc w:val="left"/>
      <w:pPr>
        <w:tabs>
          <w:tab w:val="num" w:pos="1440"/>
        </w:tabs>
        <w:ind w:left="1440" w:hanging="360"/>
      </w:pPr>
      <w:rPr>
        <w:rFonts w:ascii="Courier New" w:hAnsi="Courier New" w:hint="default"/>
        <w:sz w:val="20"/>
      </w:rPr>
    </w:lvl>
    <w:lvl w:ilvl="2" w:tplc="1DCED3D6">
      <w:start w:val="1"/>
      <w:numFmt w:val="bullet"/>
      <w:lvlText w:val=""/>
      <w:lvlJc w:val="left"/>
      <w:pPr>
        <w:tabs>
          <w:tab w:val="num" w:pos="2160"/>
        </w:tabs>
        <w:ind w:left="2160" w:hanging="360"/>
      </w:pPr>
      <w:rPr>
        <w:rFonts w:ascii="Wingdings" w:hAnsi="Wingdings" w:hint="default"/>
        <w:sz w:val="20"/>
      </w:rPr>
    </w:lvl>
    <w:lvl w:ilvl="3" w:tplc="35DEEB92">
      <w:start w:val="1"/>
      <w:numFmt w:val="bullet"/>
      <w:lvlText w:val=""/>
      <w:lvlJc w:val="left"/>
      <w:pPr>
        <w:tabs>
          <w:tab w:val="num" w:pos="2880"/>
        </w:tabs>
        <w:ind w:left="2880" w:hanging="360"/>
      </w:pPr>
      <w:rPr>
        <w:rFonts w:ascii="Wingdings" w:hAnsi="Wingdings" w:hint="default"/>
        <w:sz w:val="20"/>
      </w:rPr>
    </w:lvl>
    <w:lvl w:ilvl="4" w:tplc="E0AA7B32">
      <w:start w:val="1"/>
      <w:numFmt w:val="bullet"/>
      <w:lvlText w:val=""/>
      <w:lvlJc w:val="left"/>
      <w:pPr>
        <w:tabs>
          <w:tab w:val="num" w:pos="3600"/>
        </w:tabs>
        <w:ind w:left="3600" w:hanging="360"/>
      </w:pPr>
      <w:rPr>
        <w:rFonts w:ascii="Wingdings" w:hAnsi="Wingdings" w:hint="default"/>
        <w:sz w:val="20"/>
      </w:rPr>
    </w:lvl>
    <w:lvl w:ilvl="5" w:tplc="A698A374">
      <w:start w:val="1"/>
      <w:numFmt w:val="bullet"/>
      <w:lvlText w:val=""/>
      <w:lvlJc w:val="left"/>
      <w:pPr>
        <w:tabs>
          <w:tab w:val="num" w:pos="4320"/>
        </w:tabs>
        <w:ind w:left="4320" w:hanging="360"/>
      </w:pPr>
      <w:rPr>
        <w:rFonts w:ascii="Wingdings" w:hAnsi="Wingdings" w:hint="default"/>
        <w:sz w:val="20"/>
      </w:rPr>
    </w:lvl>
    <w:lvl w:ilvl="6" w:tplc="1C288B2A">
      <w:start w:val="1"/>
      <w:numFmt w:val="bullet"/>
      <w:lvlText w:val=""/>
      <w:lvlJc w:val="left"/>
      <w:pPr>
        <w:tabs>
          <w:tab w:val="num" w:pos="5040"/>
        </w:tabs>
        <w:ind w:left="5040" w:hanging="360"/>
      </w:pPr>
      <w:rPr>
        <w:rFonts w:ascii="Wingdings" w:hAnsi="Wingdings" w:hint="default"/>
        <w:sz w:val="20"/>
      </w:rPr>
    </w:lvl>
    <w:lvl w:ilvl="7" w:tplc="4BB4B93E">
      <w:start w:val="1"/>
      <w:numFmt w:val="bullet"/>
      <w:lvlText w:val=""/>
      <w:lvlJc w:val="left"/>
      <w:pPr>
        <w:tabs>
          <w:tab w:val="num" w:pos="5760"/>
        </w:tabs>
        <w:ind w:left="5760" w:hanging="360"/>
      </w:pPr>
      <w:rPr>
        <w:rFonts w:ascii="Wingdings" w:hAnsi="Wingdings" w:hint="default"/>
        <w:sz w:val="20"/>
      </w:rPr>
    </w:lvl>
    <w:lvl w:ilvl="8" w:tplc="FD265B6C">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1CB3D3D"/>
    <w:multiLevelType w:val="hybridMultilevel"/>
    <w:tmpl w:val="014C2530"/>
    <w:lvl w:ilvl="0" w:tplc="1AF20C74">
      <w:start w:val="1"/>
      <w:numFmt w:val="decimal"/>
      <w:lvlText w:val="%1)"/>
      <w:lvlJc w:val="left"/>
      <w:pPr>
        <w:ind w:left="720" w:hanging="360"/>
      </w:pPr>
    </w:lvl>
    <w:lvl w:ilvl="1" w:tplc="34E6E8FA">
      <w:start w:val="1"/>
      <w:numFmt w:val="lowerLetter"/>
      <w:lvlText w:val="%2."/>
      <w:lvlJc w:val="left"/>
      <w:pPr>
        <w:ind w:left="1440" w:hanging="360"/>
      </w:pPr>
    </w:lvl>
    <w:lvl w:ilvl="2" w:tplc="418ACE1C">
      <w:start w:val="1"/>
      <w:numFmt w:val="lowerRoman"/>
      <w:lvlText w:val="%3."/>
      <w:lvlJc w:val="right"/>
      <w:pPr>
        <w:ind w:left="2160" w:hanging="180"/>
      </w:pPr>
    </w:lvl>
    <w:lvl w:ilvl="3" w:tplc="89D675DE">
      <w:start w:val="1"/>
      <w:numFmt w:val="decimal"/>
      <w:lvlText w:val="%4."/>
      <w:lvlJc w:val="left"/>
      <w:pPr>
        <w:ind w:left="2880" w:hanging="360"/>
      </w:pPr>
    </w:lvl>
    <w:lvl w:ilvl="4" w:tplc="5F5E0DEA">
      <w:start w:val="1"/>
      <w:numFmt w:val="lowerLetter"/>
      <w:lvlText w:val="%5."/>
      <w:lvlJc w:val="left"/>
      <w:pPr>
        <w:ind w:left="3600" w:hanging="360"/>
      </w:pPr>
    </w:lvl>
    <w:lvl w:ilvl="5" w:tplc="32E28BDA">
      <w:start w:val="1"/>
      <w:numFmt w:val="lowerRoman"/>
      <w:lvlText w:val="%6."/>
      <w:lvlJc w:val="right"/>
      <w:pPr>
        <w:ind w:left="4320" w:hanging="180"/>
      </w:pPr>
    </w:lvl>
    <w:lvl w:ilvl="6" w:tplc="ACD261EC">
      <w:start w:val="1"/>
      <w:numFmt w:val="decimal"/>
      <w:lvlText w:val="%7."/>
      <w:lvlJc w:val="left"/>
      <w:pPr>
        <w:ind w:left="5040" w:hanging="360"/>
      </w:pPr>
    </w:lvl>
    <w:lvl w:ilvl="7" w:tplc="3982BD46">
      <w:start w:val="1"/>
      <w:numFmt w:val="lowerLetter"/>
      <w:lvlText w:val="%8."/>
      <w:lvlJc w:val="left"/>
      <w:pPr>
        <w:ind w:left="5760" w:hanging="360"/>
      </w:pPr>
    </w:lvl>
    <w:lvl w:ilvl="8" w:tplc="DADA6D00">
      <w:start w:val="1"/>
      <w:numFmt w:val="lowerRoman"/>
      <w:lvlText w:val="%9."/>
      <w:lvlJc w:val="right"/>
      <w:pPr>
        <w:ind w:left="6480" w:hanging="180"/>
      </w:pPr>
    </w:lvl>
  </w:abstractNum>
  <w:abstractNum w:abstractNumId="42" w15:restartNumberingAfterBreak="0">
    <w:nsid w:val="421D275B"/>
    <w:multiLevelType w:val="hybridMultilevel"/>
    <w:tmpl w:val="FB6CE620"/>
    <w:styleLink w:val="10"/>
    <w:lvl w:ilvl="0" w:tplc="E5EC1984">
      <w:start w:val="1"/>
      <w:numFmt w:val="upperRoman"/>
      <w:pStyle w:val="a2"/>
      <w:lvlText w:val="%1."/>
      <w:lvlJc w:val="left"/>
      <w:pPr>
        <w:tabs>
          <w:tab w:val="num" w:pos="708"/>
        </w:tabs>
        <w:ind w:left="348" w:firstLine="12"/>
      </w:pPr>
      <w:rPr>
        <w:rFonts w:hAnsi="Arial Unicode MS"/>
        <w:caps w:val="0"/>
        <w:smallCaps w:val="0"/>
        <w:strike w:val="0"/>
        <w:color w:val="000000"/>
        <w:spacing w:val="0"/>
        <w:position w:val="0"/>
        <w:highlight w:val="none"/>
        <w:vertAlign w:val="baseline"/>
      </w:rPr>
    </w:lvl>
    <w:lvl w:ilvl="1" w:tplc="50925A3C">
      <w:start w:val="1"/>
      <w:numFmt w:val="lowerLetter"/>
      <w:lvlText w:val="%2."/>
      <w:lvlJc w:val="left"/>
      <w:pPr>
        <w:tabs>
          <w:tab w:val="num" w:pos="1004"/>
        </w:tabs>
        <w:ind w:left="644" w:firstLine="24"/>
      </w:pPr>
      <w:rPr>
        <w:rFonts w:hAnsi="Arial Unicode MS"/>
        <w:caps w:val="0"/>
        <w:smallCaps w:val="0"/>
        <w:strike w:val="0"/>
        <w:color w:val="000000"/>
        <w:spacing w:val="0"/>
        <w:position w:val="0"/>
        <w:highlight w:val="none"/>
        <w:vertAlign w:val="baseline"/>
      </w:rPr>
    </w:lvl>
    <w:lvl w:ilvl="2" w:tplc="30CC61E8">
      <w:start w:val="1"/>
      <w:numFmt w:val="lowerRoman"/>
      <w:lvlText w:val="%3."/>
      <w:lvlJc w:val="left"/>
      <w:pPr>
        <w:tabs>
          <w:tab w:val="num" w:pos="1724"/>
        </w:tabs>
        <w:ind w:left="1364" w:firstLine="76"/>
      </w:pPr>
      <w:rPr>
        <w:rFonts w:hAnsi="Arial Unicode MS"/>
        <w:caps w:val="0"/>
        <w:smallCaps w:val="0"/>
        <w:strike w:val="0"/>
        <w:color w:val="000000"/>
        <w:spacing w:val="0"/>
        <w:position w:val="0"/>
        <w:highlight w:val="none"/>
        <w:vertAlign w:val="baseline"/>
      </w:rPr>
    </w:lvl>
    <w:lvl w:ilvl="3" w:tplc="9BB4D26A">
      <w:start w:val="1"/>
      <w:numFmt w:val="decimal"/>
      <w:lvlText w:val="%4."/>
      <w:lvlJc w:val="left"/>
      <w:pPr>
        <w:tabs>
          <w:tab w:val="num" w:pos="2444"/>
        </w:tabs>
        <w:ind w:left="2084" w:firstLine="48"/>
      </w:pPr>
      <w:rPr>
        <w:rFonts w:hAnsi="Arial Unicode MS"/>
        <w:caps w:val="0"/>
        <w:smallCaps w:val="0"/>
        <w:strike w:val="0"/>
        <w:color w:val="000000"/>
        <w:spacing w:val="0"/>
        <w:position w:val="0"/>
        <w:highlight w:val="none"/>
        <w:vertAlign w:val="baseline"/>
      </w:rPr>
    </w:lvl>
    <w:lvl w:ilvl="4" w:tplc="E67CAFCC">
      <w:start w:val="1"/>
      <w:numFmt w:val="lowerLetter"/>
      <w:lvlText w:val="%5."/>
      <w:lvlJc w:val="left"/>
      <w:pPr>
        <w:tabs>
          <w:tab w:val="num" w:pos="3164"/>
        </w:tabs>
        <w:ind w:left="2804" w:firstLine="60"/>
      </w:pPr>
      <w:rPr>
        <w:rFonts w:hAnsi="Arial Unicode MS"/>
        <w:caps w:val="0"/>
        <w:smallCaps w:val="0"/>
        <w:strike w:val="0"/>
        <w:color w:val="000000"/>
        <w:spacing w:val="0"/>
        <w:position w:val="0"/>
        <w:highlight w:val="none"/>
        <w:vertAlign w:val="baseline"/>
      </w:rPr>
    </w:lvl>
    <w:lvl w:ilvl="5" w:tplc="B090319C">
      <w:start w:val="1"/>
      <w:numFmt w:val="lowerRoman"/>
      <w:lvlText w:val="%6."/>
      <w:lvlJc w:val="left"/>
      <w:pPr>
        <w:tabs>
          <w:tab w:val="num" w:pos="3884"/>
        </w:tabs>
        <w:ind w:left="3524" w:firstLine="112"/>
      </w:pPr>
      <w:rPr>
        <w:rFonts w:hAnsi="Arial Unicode MS"/>
        <w:caps w:val="0"/>
        <w:smallCaps w:val="0"/>
        <w:strike w:val="0"/>
        <w:color w:val="000000"/>
        <w:spacing w:val="0"/>
        <w:position w:val="0"/>
        <w:highlight w:val="none"/>
        <w:vertAlign w:val="baseline"/>
      </w:rPr>
    </w:lvl>
    <w:lvl w:ilvl="6" w:tplc="84F652B4">
      <w:start w:val="1"/>
      <w:numFmt w:val="decimal"/>
      <w:lvlText w:val="%7."/>
      <w:lvlJc w:val="left"/>
      <w:pPr>
        <w:tabs>
          <w:tab w:val="num" w:pos="4604"/>
        </w:tabs>
        <w:ind w:left="4244" w:firstLine="84"/>
      </w:pPr>
      <w:rPr>
        <w:rFonts w:hAnsi="Arial Unicode MS"/>
        <w:caps w:val="0"/>
        <w:smallCaps w:val="0"/>
        <w:strike w:val="0"/>
        <w:color w:val="000000"/>
        <w:spacing w:val="0"/>
        <w:position w:val="0"/>
        <w:highlight w:val="none"/>
        <w:vertAlign w:val="baseline"/>
      </w:rPr>
    </w:lvl>
    <w:lvl w:ilvl="7" w:tplc="2AC40114">
      <w:start w:val="1"/>
      <w:numFmt w:val="lowerLetter"/>
      <w:lvlText w:val="%8."/>
      <w:lvlJc w:val="left"/>
      <w:pPr>
        <w:tabs>
          <w:tab w:val="num" w:pos="5324"/>
        </w:tabs>
        <w:ind w:left="4964" w:firstLine="96"/>
      </w:pPr>
      <w:rPr>
        <w:rFonts w:hAnsi="Arial Unicode MS"/>
        <w:caps w:val="0"/>
        <w:smallCaps w:val="0"/>
        <w:strike w:val="0"/>
        <w:color w:val="000000"/>
        <w:spacing w:val="0"/>
        <w:position w:val="0"/>
        <w:highlight w:val="none"/>
        <w:vertAlign w:val="baseline"/>
      </w:rPr>
    </w:lvl>
    <w:lvl w:ilvl="8" w:tplc="AAF6383E">
      <w:start w:val="1"/>
      <w:numFmt w:val="lowerRoman"/>
      <w:suff w:val="nothing"/>
      <w:lvlText w:val="%9."/>
      <w:lvlJc w:val="left"/>
      <w:pPr>
        <w:ind w:left="5684" w:firstLine="148"/>
      </w:pPr>
      <w:rPr>
        <w:rFonts w:hAnsi="Arial Unicode MS"/>
        <w:caps w:val="0"/>
        <w:smallCaps w:val="0"/>
        <w:strike w:val="0"/>
        <w:color w:val="000000"/>
        <w:spacing w:val="0"/>
        <w:position w:val="0"/>
        <w:highlight w:val="none"/>
        <w:vertAlign w:val="baseline"/>
      </w:rPr>
    </w:lvl>
  </w:abstractNum>
  <w:abstractNum w:abstractNumId="43" w15:restartNumberingAfterBreak="0">
    <w:nsid w:val="43CE6B25"/>
    <w:multiLevelType w:val="hybridMultilevel"/>
    <w:tmpl w:val="4D4CCAC0"/>
    <w:lvl w:ilvl="0" w:tplc="CF4E65DC">
      <w:start w:val="1"/>
      <w:numFmt w:val="bullet"/>
      <w:lvlText w:val="−"/>
      <w:lvlJc w:val="left"/>
      <w:pPr>
        <w:ind w:left="1080" w:hanging="360"/>
      </w:pPr>
      <w:rPr>
        <w:rFonts w:ascii="Calibri" w:hAnsi="Calibri" w:hint="default"/>
      </w:rPr>
    </w:lvl>
    <w:lvl w:ilvl="1" w:tplc="348ADBA2">
      <w:start w:val="1"/>
      <w:numFmt w:val="bullet"/>
      <w:lvlText w:val="o"/>
      <w:lvlJc w:val="left"/>
      <w:pPr>
        <w:ind w:left="1800" w:hanging="360"/>
      </w:pPr>
      <w:rPr>
        <w:rFonts w:ascii="Courier New" w:hAnsi="Courier New" w:cs="Courier New" w:hint="default"/>
      </w:rPr>
    </w:lvl>
    <w:lvl w:ilvl="2" w:tplc="70329AD8">
      <w:start w:val="1"/>
      <w:numFmt w:val="bullet"/>
      <w:lvlText w:val=""/>
      <w:lvlJc w:val="left"/>
      <w:pPr>
        <w:ind w:left="2520" w:hanging="360"/>
      </w:pPr>
      <w:rPr>
        <w:rFonts w:ascii="Wingdings" w:hAnsi="Wingdings" w:hint="default"/>
      </w:rPr>
    </w:lvl>
    <w:lvl w:ilvl="3" w:tplc="C13C9CD4">
      <w:start w:val="1"/>
      <w:numFmt w:val="bullet"/>
      <w:lvlText w:val=""/>
      <w:lvlJc w:val="left"/>
      <w:pPr>
        <w:ind w:left="3240" w:hanging="360"/>
      </w:pPr>
      <w:rPr>
        <w:rFonts w:ascii="Symbol" w:hAnsi="Symbol" w:hint="default"/>
      </w:rPr>
    </w:lvl>
    <w:lvl w:ilvl="4" w:tplc="1C900B50">
      <w:start w:val="1"/>
      <w:numFmt w:val="bullet"/>
      <w:lvlText w:val="o"/>
      <w:lvlJc w:val="left"/>
      <w:pPr>
        <w:ind w:left="3960" w:hanging="360"/>
      </w:pPr>
      <w:rPr>
        <w:rFonts w:ascii="Courier New" w:hAnsi="Courier New" w:cs="Courier New" w:hint="default"/>
      </w:rPr>
    </w:lvl>
    <w:lvl w:ilvl="5" w:tplc="3C26CED0">
      <w:start w:val="1"/>
      <w:numFmt w:val="bullet"/>
      <w:lvlText w:val=""/>
      <w:lvlJc w:val="left"/>
      <w:pPr>
        <w:ind w:left="4680" w:hanging="360"/>
      </w:pPr>
      <w:rPr>
        <w:rFonts w:ascii="Wingdings" w:hAnsi="Wingdings" w:hint="default"/>
      </w:rPr>
    </w:lvl>
    <w:lvl w:ilvl="6" w:tplc="75D84660">
      <w:start w:val="1"/>
      <w:numFmt w:val="bullet"/>
      <w:lvlText w:val=""/>
      <w:lvlJc w:val="left"/>
      <w:pPr>
        <w:ind w:left="5400" w:hanging="360"/>
      </w:pPr>
      <w:rPr>
        <w:rFonts w:ascii="Symbol" w:hAnsi="Symbol" w:hint="default"/>
      </w:rPr>
    </w:lvl>
    <w:lvl w:ilvl="7" w:tplc="3C28307C">
      <w:start w:val="1"/>
      <w:numFmt w:val="bullet"/>
      <w:lvlText w:val="o"/>
      <w:lvlJc w:val="left"/>
      <w:pPr>
        <w:ind w:left="6120" w:hanging="360"/>
      </w:pPr>
      <w:rPr>
        <w:rFonts w:ascii="Courier New" w:hAnsi="Courier New" w:cs="Courier New" w:hint="default"/>
      </w:rPr>
    </w:lvl>
    <w:lvl w:ilvl="8" w:tplc="79621396">
      <w:start w:val="1"/>
      <w:numFmt w:val="bullet"/>
      <w:lvlText w:val=""/>
      <w:lvlJc w:val="left"/>
      <w:pPr>
        <w:ind w:left="6840" w:hanging="360"/>
      </w:pPr>
      <w:rPr>
        <w:rFonts w:ascii="Wingdings" w:hAnsi="Wingdings" w:hint="default"/>
      </w:rPr>
    </w:lvl>
  </w:abstractNum>
  <w:abstractNum w:abstractNumId="44" w15:restartNumberingAfterBreak="0">
    <w:nsid w:val="4419308F"/>
    <w:multiLevelType w:val="hybridMultilevel"/>
    <w:tmpl w:val="2BEEB57A"/>
    <w:lvl w:ilvl="0" w:tplc="840EAAC4">
      <w:start w:val="1"/>
      <w:numFmt w:val="bullet"/>
      <w:lvlText w:val="-"/>
      <w:lvlJc w:val="left"/>
      <w:pPr>
        <w:ind w:left="927" w:hanging="360"/>
      </w:pPr>
      <w:rPr>
        <w:rFonts w:ascii="Arial Narrow" w:eastAsia="Times New Roman" w:hAnsi="Arial Narrow" w:cs="Times New Roman"/>
      </w:rPr>
    </w:lvl>
    <w:lvl w:ilvl="1" w:tplc="9D6A67C8">
      <w:start w:val="1"/>
      <w:numFmt w:val="bullet"/>
      <w:lvlText w:val="o"/>
      <w:lvlJc w:val="left"/>
      <w:pPr>
        <w:ind w:left="1647" w:hanging="360"/>
      </w:pPr>
      <w:rPr>
        <w:rFonts w:ascii="Courier New" w:hAnsi="Courier New" w:cs="Courier New"/>
      </w:rPr>
    </w:lvl>
    <w:lvl w:ilvl="2" w:tplc="F5FC6F80">
      <w:start w:val="1"/>
      <w:numFmt w:val="bullet"/>
      <w:lvlText w:val=""/>
      <w:lvlJc w:val="left"/>
      <w:pPr>
        <w:ind w:left="2367" w:hanging="360"/>
      </w:pPr>
      <w:rPr>
        <w:rFonts w:ascii="Wingdings" w:hAnsi="Wingdings"/>
      </w:rPr>
    </w:lvl>
    <w:lvl w:ilvl="3" w:tplc="E65AB1EE">
      <w:start w:val="1"/>
      <w:numFmt w:val="bullet"/>
      <w:lvlText w:val=""/>
      <w:lvlJc w:val="left"/>
      <w:pPr>
        <w:ind w:left="3087" w:hanging="360"/>
      </w:pPr>
      <w:rPr>
        <w:rFonts w:ascii="Symbol" w:hAnsi="Symbol"/>
      </w:rPr>
    </w:lvl>
    <w:lvl w:ilvl="4" w:tplc="8A86E08A">
      <w:start w:val="1"/>
      <w:numFmt w:val="bullet"/>
      <w:lvlText w:val="o"/>
      <w:lvlJc w:val="left"/>
      <w:pPr>
        <w:ind w:left="3807" w:hanging="360"/>
      </w:pPr>
      <w:rPr>
        <w:rFonts w:ascii="Courier New" w:hAnsi="Courier New" w:cs="Courier New"/>
      </w:rPr>
    </w:lvl>
    <w:lvl w:ilvl="5" w:tplc="AEE86B1C">
      <w:start w:val="1"/>
      <w:numFmt w:val="bullet"/>
      <w:lvlText w:val=""/>
      <w:lvlJc w:val="left"/>
      <w:pPr>
        <w:ind w:left="4527" w:hanging="360"/>
      </w:pPr>
      <w:rPr>
        <w:rFonts w:ascii="Wingdings" w:hAnsi="Wingdings"/>
      </w:rPr>
    </w:lvl>
    <w:lvl w:ilvl="6" w:tplc="AB266B58">
      <w:start w:val="1"/>
      <w:numFmt w:val="bullet"/>
      <w:lvlText w:val=""/>
      <w:lvlJc w:val="left"/>
      <w:pPr>
        <w:ind w:left="5247" w:hanging="360"/>
      </w:pPr>
      <w:rPr>
        <w:rFonts w:ascii="Symbol" w:hAnsi="Symbol"/>
      </w:rPr>
    </w:lvl>
    <w:lvl w:ilvl="7" w:tplc="99C8285C">
      <w:start w:val="1"/>
      <w:numFmt w:val="bullet"/>
      <w:lvlText w:val="o"/>
      <w:lvlJc w:val="left"/>
      <w:pPr>
        <w:ind w:left="5967" w:hanging="360"/>
      </w:pPr>
      <w:rPr>
        <w:rFonts w:ascii="Courier New" w:hAnsi="Courier New" w:cs="Courier New"/>
      </w:rPr>
    </w:lvl>
    <w:lvl w:ilvl="8" w:tplc="D4D0B108">
      <w:start w:val="1"/>
      <w:numFmt w:val="bullet"/>
      <w:lvlText w:val=""/>
      <w:lvlJc w:val="left"/>
      <w:pPr>
        <w:ind w:left="6687" w:hanging="360"/>
      </w:pPr>
      <w:rPr>
        <w:rFonts w:ascii="Wingdings" w:hAnsi="Wingdings"/>
      </w:rPr>
    </w:lvl>
  </w:abstractNum>
  <w:abstractNum w:abstractNumId="45" w15:restartNumberingAfterBreak="0">
    <w:nsid w:val="48133CC2"/>
    <w:multiLevelType w:val="hybridMultilevel"/>
    <w:tmpl w:val="2F869E84"/>
    <w:lvl w:ilvl="0" w:tplc="B6BCEC3A">
      <w:start w:val="1"/>
      <w:numFmt w:val="decimal"/>
      <w:lvlText w:val="%1)"/>
      <w:lvlJc w:val="left"/>
      <w:pPr>
        <w:ind w:left="720" w:hanging="360"/>
      </w:pPr>
    </w:lvl>
    <w:lvl w:ilvl="1" w:tplc="3162C410">
      <w:start w:val="1"/>
      <w:numFmt w:val="lowerLetter"/>
      <w:lvlText w:val="%2."/>
      <w:lvlJc w:val="left"/>
      <w:pPr>
        <w:ind w:left="1440" w:hanging="360"/>
      </w:pPr>
    </w:lvl>
    <w:lvl w:ilvl="2" w:tplc="473679F6">
      <w:start w:val="1"/>
      <w:numFmt w:val="lowerRoman"/>
      <w:lvlText w:val="%3."/>
      <w:lvlJc w:val="right"/>
      <w:pPr>
        <w:ind w:left="2160" w:hanging="180"/>
      </w:pPr>
    </w:lvl>
    <w:lvl w:ilvl="3" w:tplc="36A48354">
      <w:start w:val="1"/>
      <w:numFmt w:val="decimal"/>
      <w:lvlText w:val="%4."/>
      <w:lvlJc w:val="left"/>
      <w:pPr>
        <w:ind w:left="2880" w:hanging="360"/>
      </w:pPr>
    </w:lvl>
    <w:lvl w:ilvl="4" w:tplc="C23E55AA">
      <w:start w:val="1"/>
      <w:numFmt w:val="lowerLetter"/>
      <w:lvlText w:val="%5."/>
      <w:lvlJc w:val="left"/>
      <w:pPr>
        <w:ind w:left="3600" w:hanging="360"/>
      </w:pPr>
    </w:lvl>
    <w:lvl w:ilvl="5" w:tplc="D88C2D6E">
      <w:start w:val="1"/>
      <w:numFmt w:val="lowerRoman"/>
      <w:lvlText w:val="%6."/>
      <w:lvlJc w:val="right"/>
      <w:pPr>
        <w:ind w:left="4320" w:hanging="180"/>
      </w:pPr>
    </w:lvl>
    <w:lvl w:ilvl="6" w:tplc="2026BAB4">
      <w:start w:val="1"/>
      <w:numFmt w:val="decimal"/>
      <w:lvlText w:val="%7."/>
      <w:lvlJc w:val="left"/>
      <w:pPr>
        <w:ind w:left="5040" w:hanging="360"/>
      </w:pPr>
    </w:lvl>
    <w:lvl w:ilvl="7" w:tplc="0EE22FFC">
      <w:start w:val="1"/>
      <w:numFmt w:val="lowerLetter"/>
      <w:lvlText w:val="%8."/>
      <w:lvlJc w:val="left"/>
      <w:pPr>
        <w:ind w:left="5760" w:hanging="360"/>
      </w:pPr>
    </w:lvl>
    <w:lvl w:ilvl="8" w:tplc="34C853D8">
      <w:start w:val="1"/>
      <w:numFmt w:val="lowerRoman"/>
      <w:lvlText w:val="%9."/>
      <w:lvlJc w:val="right"/>
      <w:pPr>
        <w:ind w:left="6480" w:hanging="180"/>
      </w:pPr>
    </w:lvl>
  </w:abstractNum>
  <w:abstractNum w:abstractNumId="46" w15:restartNumberingAfterBreak="0">
    <w:nsid w:val="48FF28E0"/>
    <w:multiLevelType w:val="hybridMultilevel"/>
    <w:tmpl w:val="B8B6A438"/>
    <w:lvl w:ilvl="0" w:tplc="A66E376C">
      <w:start w:val="1"/>
      <w:numFmt w:val="decimal"/>
      <w:lvlText w:val="%1)"/>
      <w:lvlJc w:val="left"/>
      <w:pPr>
        <w:ind w:left="720" w:hanging="360"/>
      </w:pPr>
    </w:lvl>
    <w:lvl w:ilvl="1" w:tplc="B90C8172">
      <w:start w:val="1"/>
      <w:numFmt w:val="lowerLetter"/>
      <w:lvlText w:val="%2."/>
      <w:lvlJc w:val="left"/>
      <w:pPr>
        <w:ind w:left="1440" w:hanging="360"/>
      </w:pPr>
    </w:lvl>
    <w:lvl w:ilvl="2" w:tplc="5A20F2B8">
      <w:start w:val="1"/>
      <w:numFmt w:val="lowerRoman"/>
      <w:lvlText w:val="%3."/>
      <w:lvlJc w:val="right"/>
      <w:pPr>
        <w:ind w:left="2160" w:hanging="180"/>
      </w:pPr>
    </w:lvl>
    <w:lvl w:ilvl="3" w:tplc="12E09E8A">
      <w:start w:val="1"/>
      <w:numFmt w:val="decimal"/>
      <w:lvlText w:val="%4."/>
      <w:lvlJc w:val="left"/>
      <w:pPr>
        <w:ind w:left="2880" w:hanging="360"/>
      </w:pPr>
    </w:lvl>
    <w:lvl w:ilvl="4" w:tplc="AAB8E8E2">
      <w:start w:val="1"/>
      <w:numFmt w:val="lowerLetter"/>
      <w:lvlText w:val="%5."/>
      <w:lvlJc w:val="left"/>
      <w:pPr>
        <w:ind w:left="3600" w:hanging="360"/>
      </w:pPr>
    </w:lvl>
    <w:lvl w:ilvl="5" w:tplc="AF3E6A18">
      <w:start w:val="1"/>
      <w:numFmt w:val="lowerRoman"/>
      <w:lvlText w:val="%6."/>
      <w:lvlJc w:val="right"/>
      <w:pPr>
        <w:ind w:left="4320" w:hanging="180"/>
      </w:pPr>
    </w:lvl>
    <w:lvl w:ilvl="6" w:tplc="72745208">
      <w:start w:val="1"/>
      <w:numFmt w:val="decimal"/>
      <w:lvlText w:val="%7."/>
      <w:lvlJc w:val="left"/>
      <w:pPr>
        <w:ind w:left="5040" w:hanging="360"/>
      </w:pPr>
    </w:lvl>
    <w:lvl w:ilvl="7" w:tplc="5BE62470">
      <w:start w:val="1"/>
      <w:numFmt w:val="lowerLetter"/>
      <w:lvlText w:val="%8."/>
      <w:lvlJc w:val="left"/>
      <w:pPr>
        <w:ind w:left="5760" w:hanging="360"/>
      </w:pPr>
    </w:lvl>
    <w:lvl w:ilvl="8" w:tplc="2952B064">
      <w:start w:val="1"/>
      <w:numFmt w:val="lowerRoman"/>
      <w:lvlText w:val="%9."/>
      <w:lvlJc w:val="right"/>
      <w:pPr>
        <w:ind w:left="6480" w:hanging="180"/>
      </w:pPr>
    </w:lvl>
  </w:abstractNum>
  <w:abstractNum w:abstractNumId="47" w15:restartNumberingAfterBreak="0">
    <w:nsid w:val="4BA83EB0"/>
    <w:multiLevelType w:val="hybridMultilevel"/>
    <w:tmpl w:val="57A85F56"/>
    <w:lvl w:ilvl="0" w:tplc="D0EEE16A">
      <w:start w:val="1"/>
      <w:numFmt w:val="bullet"/>
      <w:lvlText w:val="−"/>
      <w:lvlJc w:val="left"/>
      <w:pPr>
        <w:ind w:left="1429" w:hanging="360"/>
      </w:pPr>
      <w:rPr>
        <w:rFonts w:ascii="Times New Roman" w:hAnsi="Times New Roman" w:cs="Times New Roman" w:hint="default"/>
      </w:rPr>
    </w:lvl>
    <w:lvl w:ilvl="1" w:tplc="40FC788E">
      <w:start w:val="1"/>
      <w:numFmt w:val="bullet"/>
      <w:lvlText w:val="o"/>
      <w:lvlJc w:val="left"/>
      <w:pPr>
        <w:ind w:left="2149" w:hanging="360"/>
      </w:pPr>
      <w:rPr>
        <w:rFonts w:ascii="Courier New" w:hAnsi="Courier New" w:cs="Courier New" w:hint="default"/>
      </w:rPr>
    </w:lvl>
    <w:lvl w:ilvl="2" w:tplc="584E104C">
      <w:start w:val="1"/>
      <w:numFmt w:val="bullet"/>
      <w:lvlText w:val=""/>
      <w:lvlJc w:val="left"/>
      <w:pPr>
        <w:ind w:left="2869" w:hanging="360"/>
      </w:pPr>
      <w:rPr>
        <w:rFonts w:ascii="Wingdings" w:hAnsi="Wingdings" w:hint="default"/>
      </w:rPr>
    </w:lvl>
    <w:lvl w:ilvl="3" w:tplc="A76670F6">
      <w:start w:val="1"/>
      <w:numFmt w:val="bullet"/>
      <w:lvlText w:val=""/>
      <w:lvlJc w:val="left"/>
      <w:pPr>
        <w:ind w:left="3589" w:hanging="360"/>
      </w:pPr>
      <w:rPr>
        <w:rFonts w:ascii="Symbol" w:hAnsi="Symbol" w:hint="default"/>
      </w:rPr>
    </w:lvl>
    <w:lvl w:ilvl="4" w:tplc="1E74ADD8">
      <w:start w:val="1"/>
      <w:numFmt w:val="bullet"/>
      <w:lvlText w:val="o"/>
      <w:lvlJc w:val="left"/>
      <w:pPr>
        <w:ind w:left="4309" w:hanging="360"/>
      </w:pPr>
      <w:rPr>
        <w:rFonts w:ascii="Courier New" w:hAnsi="Courier New" w:cs="Courier New" w:hint="default"/>
      </w:rPr>
    </w:lvl>
    <w:lvl w:ilvl="5" w:tplc="B868EBFA">
      <w:start w:val="1"/>
      <w:numFmt w:val="bullet"/>
      <w:lvlText w:val=""/>
      <w:lvlJc w:val="left"/>
      <w:pPr>
        <w:ind w:left="5029" w:hanging="360"/>
      </w:pPr>
      <w:rPr>
        <w:rFonts w:ascii="Wingdings" w:hAnsi="Wingdings" w:hint="default"/>
      </w:rPr>
    </w:lvl>
    <w:lvl w:ilvl="6" w:tplc="9688762A">
      <w:start w:val="1"/>
      <w:numFmt w:val="bullet"/>
      <w:lvlText w:val=""/>
      <w:lvlJc w:val="left"/>
      <w:pPr>
        <w:ind w:left="5749" w:hanging="360"/>
      </w:pPr>
      <w:rPr>
        <w:rFonts w:ascii="Symbol" w:hAnsi="Symbol" w:hint="default"/>
      </w:rPr>
    </w:lvl>
    <w:lvl w:ilvl="7" w:tplc="956856FA">
      <w:start w:val="1"/>
      <w:numFmt w:val="bullet"/>
      <w:lvlText w:val="o"/>
      <w:lvlJc w:val="left"/>
      <w:pPr>
        <w:ind w:left="6469" w:hanging="360"/>
      </w:pPr>
      <w:rPr>
        <w:rFonts w:ascii="Courier New" w:hAnsi="Courier New" w:cs="Courier New" w:hint="default"/>
      </w:rPr>
    </w:lvl>
    <w:lvl w:ilvl="8" w:tplc="0ACEE734">
      <w:start w:val="1"/>
      <w:numFmt w:val="bullet"/>
      <w:lvlText w:val=""/>
      <w:lvlJc w:val="left"/>
      <w:pPr>
        <w:ind w:left="7189" w:hanging="360"/>
      </w:pPr>
      <w:rPr>
        <w:rFonts w:ascii="Wingdings" w:hAnsi="Wingdings" w:hint="default"/>
      </w:rPr>
    </w:lvl>
  </w:abstractNum>
  <w:abstractNum w:abstractNumId="48" w15:restartNumberingAfterBreak="0">
    <w:nsid w:val="4BF07CC4"/>
    <w:multiLevelType w:val="hybridMultilevel"/>
    <w:tmpl w:val="A232F630"/>
    <w:lvl w:ilvl="0" w:tplc="21FC375C">
      <w:start w:val="1"/>
      <w:numFmt w:val="bullet"/>
      <w:lvlText w:val=""/>
      <w:lvlJc w:val="left"/>
      <w:pPr>
        <w:ind w:left="7023" w:hanging="360"/>
      </w:pPr>
      <w:rPr>
        <w:rFonts w:ascii="Symbol" w:hAnsi="Symbol" w:hint="default"/>
        <w:highlight w:val="white"/>
      </w:rPr>
    </w:lvl>
    <w:lvl w:ilvl="1" w:tplc="2708A2C4">
      <w:start w:val="1"/>
      <w:numFmt w:val="bullet"/>
      <w:lvlText w:val="o"/>
      <w:lvlJc w:val="left"/>
      <w:pPr>
        <w:ind w:left="1647" w:hanging="360"/>
      </w:pPr>
      <w:rPr>
        <w:rFonts w:ascii="Courier New" w:hAnsi="Courier New" w:cs="Courier New" w:hint="default"/>
        <w:highlight w:val="white"/>
      </w:rPr>
    </w:lvl>
    <w:lvl w:ilvl="2" w:tplc="B5261346">
      <w:start w:val="1"/>
      <w:numFmt w:val="bullet"/>
      <w:lvlText w:val=""/>
      <w:lvlJc w:val="left"/>
      <w:pPr>
        <w:ind w:left="2367" w:hanging="360"/>
      </w:pPr>
      <w:rPr>
        <w:rFonts w:ascii="Wingdings" w:hAnsi="Wingdings" w:hint="default"/>
      </w:rPr>
    </w:lvl>
    <w:lvl w:ilvl="3" w:tplc="A9A24946">
      <w:start w:val="1"/>
      <w:numFmt w:val="bullet"/>
      <w:lvlText w:val=""/>
      <w:lvlJc w:val="left"/>
      <w:pPr>
        <w:ind w:left="3087" w:hanging="360"/>
      </w:pPr>
      <w:rPr>
        <w:rFonts w:ascii="Symbol" w:hAnsi="Symbol" w:hint="default"/>
      </w:rPr>
    </w:lvl>
    <w:lvl w:ilvl="4" w:tplc="8A345B92">
      <w:start w:val="1"/>
      <w:numFmt w:val="bullet"/>
      <w:lvlText w:val="o"/>
      <w:lvlJc w:val="left"/>
      <w:pPr>
        <w:ind w:left="3807" w:hanging="360"/>
      </w:pPr>
      <w:rPr>
        <w:rFonts w:ascii="Courier New" w:hAnsi="Courier New" w:cs="Courier New" w:hint="default"/>
      </w:rPr>
    </w:lvl>
    <w:lvl w:ilvl="5" w:tplc="58C6189C">
      <w:start w:val="1"/>
      <w:numFmt w:val="bullet"/>
      <w:lvlText w:val=""/>
      <w:lvlJc w:val="left"/>
      <w:pPr>
        <w:ind w:left="4527" w:hanging="360"/>
      </w:pPr>
      <w:rPr>
        <w:rFonts w:ascii="Wingdings" w:hAnsi="Wingdings" w:hint="default"/>
      </w:rPr>
    </w:lvl>
    <w:lvl w:ilvl="6" w:tplc="80FA7A7A">
      <w:start w:val="1"/>
      <w:numFmt w:val="bullet"/>
      <w:lvlText w:val=""/>
      <w:lvlJc w:val="left"/>
      <w:pPr>
        <w:ind w:left="5247" w:hanging="360"/>
      </w:pPr>
      <w:rPr>
        <w:rFonts w:ascii="Symbol" w:hAnsi="Symbol" w:hint="default"/>
      </w:rPr>
    </w:lvl>
    <w:lvl w:ilvl="7" w:tplc="1CEE2E08">
      <w:start w:val="1"/>
      <w:numFmt w:val="bullet"/>
      <w:lvlText w:val="o"/>
      <w:lvlJc w:val="left"/>
      <w:pPr>
        <w:ind w:left="5967" w:hanging="360"/>
      </w:pPr>
      <w:rPr>
        <w:rFonts w:ascii="Courier New" w:hAnsi="Courier New" w:cs="Courier New" w:hint="default"/>
      </w:rPr>
    </w:lvl>
    <w:lvl w:ilvl="8" w:tplc="37008A06">
      <w:start w:val="1"/>
      <w:numFmt w:val="bullet"/>
      <w:lvlText w:val=""/>
      <w:lvlJc w:val="left"/>
      <w:pPr>
        <w:ind w:left="6687" w:hanging="360"/>
      </w:pPr>
      <w:rPr>
        <w:rFonts w:ascii="Wingdings" w:hAnsi="Wingdings" w:hint="default"/>
      </w:rPr>
    </w:lvl>
  </w:abstractNum>
  <w:abstractNum w:abstractNumId="49" w15:restartNumberingAfterBreak="0">
    <w:nsid w:val="4D811B59"/>
    <w:multiLevelType w:val="hybridMultilevel"/>
    <w:tmpl w:val="A36CE9A2"/>
    <w:lvl w:ilvl="0" w:tplc="93C6AD1E">
      <w:start w:val="1"/>
      <w:numFmt w:val="bullet"/>
      <w:lvlText w:val="·"/>
      <w:lvlJc w:val="left"/>
      <w:pPr>
        <w:ind w:left="720" w:hanging="360"/>
      </w:pPr>
      <w:rPr>
        <w:rFonts w:ascii="Symbol" w:eastAsia="Symbol" w:hAnsi="Symbol" w:cs="Symbol"/>
      </w:rPr>
    </w:lvl>
    <w:lvl w:ilvl="1" w:tplc="EADCB9F2">
      <w:start w:val="1"/>
      <w:numFmt w:val="bullet"/>
      <w:lvlText w:val="o"/>
      <w:lvlJc w:val="left"/>
      <w:pPr>
        <w:ind w:left="1440" w:hanging="360"/>
      </w:pPr>
      <w:rPr>
        <w:rFonts w:ascii="Courier New" w:eastAsia="Courier New" w:hAnsi="Courier New" w:cs="Courier New" w:hint="default"/>
      </w:rPr>
    </w:lvl>
    <w:lvl w:ilvl="2" w:tplc="F844CB0E">
      <w:start w:val="1"/>
      <w:numFmt w:val="bullet"/>
      <w:lvlText w:val="§"/>
      <w:lvlJc w:val="left"/>
      <w:pPr>
        <w:ind w:left="2160" w:hanging="360"/>
      </w:pPr>
      <w:rPr>
        <w:rFonts w:ascii="Wingdings" w:eastAsia="Wingdings" w:hAnsi="Wingdings" w:cs="Wingdings" w:hint="default"/>
      </w:rPr>
    </w:lvl>
    <w:lvl w:ilvl="3" w:tplc="6B6EC4EA">
      <w:start w:val="1"/>
      <w:numFmt w:val="bullet"/>
      <w:lvlText w:val="·"/>
      <w:lvlJc w:val="left"/>
      <w:pPr>
        <w:ind w:left="2880" w:hanging="360"/>
      </w:pPr>
      <w:rPr>
        <w:rFonts w:ascii="Symbol" w:eastAsia="Symbol" w:hAnsi="Symbol" w:cs="Symbol" w:hint="default"/>
      </w:rPr>
    </w:lvl>
    <w:lvl w:ilvl="4" w:tplc="FCECB092">
      <w:start w:val="1"/>
      <w:numFmt w:val="bullet"/>
      <w:lvlText w:val="o"/>
      <w:lvlJc w:val="left"/>
      <w:pPr>
        <w:ind w:left="3600" w:hanging="360"/>
      </w:pPr>
      <w:rPr>
        <w:rFonts w:ascii="Courier New" w:eastAsia="Courier New" w:hAnsi="Courier New" w:cs="Courier New" w:hint="default"/>
      </w:rPr>
    </w:lvl>
    <w:lvl w:ilvl="5" w:tplc="51767A60">
      <w:start w:val="1"/>
      <w:numFmt w:val="bullet"/>
      <w:lvlText w:val="§"/>
      <w:lvlJc w:val="left"/>
      <w:pPr>
        <w:ind w:left="4320" w:hanging="360"/>
      </w:pPr>
      <w:rPr>
        <w:rFonts w:ascii="Wingdings" w:eastAsia="Wingdings" w:hAnsi="Wingdings" w:cs="Wingdings" w:hint="default"/>
      </w:rPr>
    </w:lvl>
    <w:lvl w:ilvl="6" w:tplc="2926F29A">
      <w:start w:val="1"/>
      <w:numFmt w:val="bullet"/>
      <w:lvlText w:val="·"/>
      <w:lvlJc w:val="left"/>
      <w:pPr>
        <w:ind w:left="5040" w:hanging="360"/>
      </w:pPr>
      <w:rPr>
        <w:rFonts w:ascii="Symbol" w:eastAsia="Symbol" w:hAnsi="Symbol" w:cs="Symbol" w:hint="default"/>
      </w:rPr>
    </w:lvl>
    <w:lvl w:ilvl="7" w:tplc="AA806B52">
      <w:start w:val="1"/>
      <w:numFmt w:val="bullet"/>
      <w:lvlText w:val="o"/>
      <w:lvlJc w:val="left"/>
      <w:pPr>
        <w:ind w:left="5760" w:hanging="360"/>
      </w:pPr>
      <w:rPr>
        <w:rFonts w:ascii="Courier New" w:eastAsia="Courier New" w:hAnsi="Courier New" w:cs="Courier New" w:hint="default"/>
      </w:rPr>
    </w:lvl>
    <w:lvl w:ilvl="8" w:tplc="87428CA2">
      <w:start w:val="1"/>
      <w:numFmt w:val="bullet"/>
      <w:lvlText w:val="§"/>
      <w:lvlJc w:val="left"/>
      <w:pPr>
        <w:ind w:left="6480" w:hanging="360"/>
      </w:pPr>
      <w:rPr>
        <w:rFonts w:ascii="Wingdings" w:eastAsia="Wingdings" w:hAnsi="Wingdings" w:cs="Wingdings" w:hint="default"/>
      </w:rPr>
    </w:lvl>
  </w:abstractNum>
  <w:abstractNum w:abstractNumId="50" w15:restartNumberingAfterBreak="0">
    <w:nsid w:val="4E0F63A4"/>
    <w:multiLevelType w:val="hybridMultilevel"/>
    <w:tmpl w:val="C114B0DA"/>
    <w:lvl w:ilvl="0" w:tplc="3AEE2FE0">
      <w:start w:val="1"/>
      <w:numFmt w:val="decimal"/>
      <w:lvlText w:val="%1."/>
      <w:lvlJc w:val="left"/>
      <w:pPr>
        <w:ind w:left="720" w:hanging="360"/>
      </w:pPr>
      <w:rPr>
        <w:rFonts w:hint="default"/>
      </w:rPr>
    </w:lvl>
    <w:lvl w:ilvl="1" w:tplc="FB2451B6">
      <w:start w:val="1"/>
      <w:numFmt w:val="lowerLetter"/>
      <w:lvlText w:val="%2."/>
      <w:lvlJc w:val="left"/>
      <w:pPr>
        <w:ind w:left="1440" w:hanging="360"/>
      </w:pPr>
    </w:lvl>
    <w:lvl w:ilvl="2" w:tplc="4D24E49E">
      <w:start w:val="1"/>
      <w:numFmt w:val="lowerRoman"/>
      <w:lvlText w:val="%3."/>
      <w:lvlJc w:val="right"/>
      <w:pPr>
        <w:ind w:left="2160" w:hanging="180"/>
      </w:pPr>
    </w:lvl>
    <w:lvl w:ilvl="3" w:tplc="09D6A2EC">
      <w:start w:val="1"/>
      <w:numFmt w:val="decimal"/>
      <w:lvlText w:val="%4."/>
      <w:lvlJc w:val="left"/>
      <w:pPr>
        <w:ind w:left="2880" w:hanging="360"/>
      </w:pPr>
    </w:lvl>
    <w:lvl w:ilvl="4" w:tplc="D5887494">
      <w:start w:val="1"/>
      <w:numFmt w:val="lowerLetter"/>
      <w:lvlText w:val="%5."/>
      <w:lvlJc w:val="left"/>
      <w:pPr>
        <w:ind w:left="3600" w:hanging="360"/>
      </w:pPr>
    </w:lvl>
    <w:lvl w:ilvl="5" w:tplc="EC6EE672">
      <w:start w:val="1"/>
      <w:numFmt w:val="lowerRoman"/>
      <w:lvlText w:val="%6."/>
      <w:lvlJc w:val="right"/>
      <w:pPr>
        <w:ind w:left="4320" w:hanging="180"/>
      </w:pPr>
    </w:lvl>
    <w:lvl w:ilvl="6" w:tplc="3134001E">
      <w:start w:val="1"/>
      <w:numFmt w:val="decimal"/>
      <w:lvlText w:val="%7."/>
      <w:lvlJc w:val="left"/>
      <w:pPr>
        <w:ind w:left="5040" w:hanging="360"/>
      </w:pPr>
    </w:lvl>
    <w:lvl w:ilvl="7" w:tplc="FB1E5ADE">
      <w:start w:val="1"/>
      <w:numFmt w:val="lowerLetter"/>
      <w:lvlText w:val="%8."/>
      <w:lvlJc w:val="left"/>
      <w:pPr>
        <w:ind w:left="5760" w:hanging="360"/>
      </w:pPr>
    </w:lvl>
    <w:lvl w:ilvl="8" w:tplc="8D183FDA">
      <w:start w:val="1"/>
      <w:numFmt w:val="lowerRoman"/>
      <w:lvlText w:val="%9."/>
      <w:lvlJc w:val="right"/>
      <w:pPr>
        <w:ind w:left="6480" w:hanging="180"/>
      </w:pPr>
    </w:lvl>
  </w:abstractNum>
  <w:abstractNum w:abstractNumId="51" w15:restartNumberingAfterBreak="0">
    <w:nsid w:val="4EE603B1"/>
    <w:multiLevelType w:val="hybridMultilevel"/>
    <w:tmpl w:val="B4E43084"/>
    <w:lvl w:ilvl="0" w:tplc="7DD24D38">
      <w:start w:val="1"/>
      <w:numFmt w:val="bullet"/>
      <w:lvlText w:val="–"/>
      <w:lvlJc w:val="left"/>
      <w:pPr>
        <w:ind w:left="709" w:hanging="360"/>
      </w:pPr>
      <w:rPr>
        <w:rFonts w:ascii="Arial" w:eastAsia="Arial" w:hAnsi="Arial" w:cs="Arial" w:hint="default"/>
      </w:rPr>
    </w:lvl>
    <w:lvl w:ilvl="1" w:tplc="C0F63B82">
      <w:start w:val="1"/>
      <w:numFmt w:val="bullet"/>
      <w:lvlText w:val="o"/>
      <w:lvlJc w:val="left"/>
      <w:pPr>
        <w:ind w:left="1429" w:hanging="360"/>
      </w:pPr>
      <w:rPr>
        <w:rFonts w:ascii="Courier New" w:eastAsia="Courier New" w:hAnsi="Courier New" w:cs="Courier New" w:hint="default"/>
      </w:rPr>
    </w:lvl>
    <w:lvl w:ilvl="2" w:tplc="502C3116">
      <w:start w:val="1"/>
      <w:numFmt w:val="bullet"/>
      <w:lvlText w:val="§"/>
      <w:lvlJc w:val="left"/>
      <w:pPr>
        <w:ind w:left="2149" w:hanging="360"/>
      </w:pPr>
      <w:rPr>
        <w:rFonts w:ascii="Wingdings" w:eastAsia="Wingdings" w:hAnsi="Wingdings" w:cs="Wingdings" w:hint="default"/>
      </w:rPr>
    </w:lvl>
    <w:lvl w:ilvl="3" w:tplc="757A57A6">
      <w:start w:val="1"/>
      <w:numFmt w:val="bullet"/>
      <w:lvlText w:val="·"/>
      <w:lvlJc w:val="left"/>
      <w:pPr>
        <w:ind w:left="2869" w:hanging="360"/>
      </w:pPr>
      <w:rPr>
        <w:rFonts w:ascii="Symbol" w:eastAsia="Symbol" w:hAnsi="Symbol" w:cs="Symbol" w:hint="default"/>
      </w:rPr>
    </w:lvl>
    <w:lvl w:ilvl="4" w:tplc="1624D70E">
      <w:start w:val="1"/>
      <w:numFmt w:val="bullet"/>
      <w:lvlText w:val="o"/>
      <w:lvlJc w:val="left"/>
      <w:pPr>
        <w:ind w:left="3589" w:hanging="360"/>
      </w:pPr>
      <w:rPr>
        <w:rFonts w:ascii="Courier New" w:eastAsia="Courier New" w:hAnsi="Courier New" w:cs="Courier New" w:hint="default"/>
      </w:rPr>
    </w:lvl>
    <w:lvl w:ilvl="5" w:tplc="DC483BEA">
      <w:start w:val="1"/>
      <w:numFmt w:val="bullet"/>
      <w:lvlText w:val="§"/>
      <w:lvlJc w:val="left"/>
      <w:pPr>
        <w:ind w:left="4309" w:hanging="360"/>
      </w:pPr>
      <w:rPr>
        <w:rFonts w:ascii="Wingdings" w:eastAsia="Wingdings" w:hAnsi="Wingdings" w:cs="Wingdings" w:hint="default"/>
      </w:rPr>
    </w:lvl>
    <w:lvl w:ilvl="6" w:tplc="D3B0990E">
      <w:start w:val="1"/>
      <w:numFmt w:val="bullet"/>
      <w:lvlText w:val="·"/>
      <w:lvlJc w:val="left"/>
      <w:pPr>
        <w:ind w:left="5029" w:hanging="360"/>
      </w:pPr>
      <w:rPr>
        <w:rFonts w:ascii="Symbol" w:eastAsia="Symbol" w:hAnsi="Symbol" w:cs="Symbol" w:hint="default"/>
      </w:rPr>
    </w:lvl>
    <w:lvl w:ilvl="7" w:tplc="2B1E96B0">
      <w:start w:val="1"/>
      <w:numFmt w:val="bullet"/>
      <w:lvlText w:val="o"/>
      <w:lvlJc w:val="left"/>
      <w:pPr>
        <w:ind w:left="5749" w:hanging="360"/>
      </w:pPr>
      <w:rPr>
        <w:rFonts w:ascii="Courier New" w:eastAsia="Courier New" w:hAnsi="Courier New" w:cs="Courier New" w:hint="default"/>
      </w:rPr>
    </w:lvl>
    <w:lvl w:ilvl="8" w:tplc="8B084538">
      <w:start w:val="1"/>
      <w:numFmt w:val="bullet"/>
      <w:lvlText w:val="§"/>
      <w:lvlJc w:val="left"/>
      <w:pPr>
        <w:ind w:left="6469" w:hanging="360"/>
      </w:pPr>
      <w:rPr>
        <w:rFonts w:ascii="Wingdings" w:eastAsia="Wingdings" w:hAnsi="Wingdings" w:cs="Wingdings" w:hint="default"/>
      </w:rPr>
    </w:lvl>
  </w:abstractNum>
  <w:abstractNum w:abstractNumId="52" w15:restartNumberingAfterBreak="0">
    <w:nsid w:val="4EF13AB3"/>
    <w:multiLevelType w:val="hybridMultilevel"/>
    <w:tmpl w:val="54C0DBCE"/>
    <w:lvl w:ilvl="0" w:tplc="0AE41C66">
      <w:start w:val="1"/>
      <w:numFmt w:val="bullet"/>
      <w:lvlText w:val=""/>
      <w:lvlJc w:val="left"/>
      <w:pPr>
        <w:ind w:left="1080" w:hanging="360"/>
      </w:pPr>
      <w:rPr>
        <w:rFonts w:ascii="Symbol" w:hAnsi="Symbol" w:hint="default"/>
      </w:rPr>
    </w:lvl>
    <w:lvl w:ilvl="1" w:tplc="D172AC1A">
      <w:start w:val="1"/>
      <w:numFmt w:val="bullet"/>
      <w:lvlText w:val="o"/>
      <w:lvlJc w:val="left"/>
      <w:pPr>
        <w:ind w:left="1800" w:hanging="360"/>
      </w:pPr>
      <w:rPr>
        <w:rFonts w:ascii="Courier New" w:hAnsi="Courier New" w:cs="Courier New" w:hint="default"/>
      </w:rPr>
    </w:lvl>
    <w:lvl w:ilvl="2" w:tplc="E6EA200A">
      <w:start w:val="1"/>
      <w:numFmt w:val="bullet"/>
      <w:lvlText w:val=""/>
      <w:lvlJc w:val="left"/>
      <w:pPr>
        <w:ind w:left="2520" w:hanging="360"/>
      </w:pPr>
      <w:rPr>
        <w:rFonts w:ascii="Symbol" w:hAnsi="Symbol" w:hint="default"/>
      </w:rPr>
    </w:lvl>
    <w:lvl w:ilvl="3" w:tplc="75A2410A">
      <w:start w:val="1"/>
      <w:numFmt w:val="bullet"/>
      <w:lvlText w:val=""/>
      <w:lvlJc w:val="left"/>
      <w:pPr>
        <w:ind w:left="3240" w:hanging="360"/>
      </w:pPr>
      <w:rPr>
        <w:rFonts w:ascii="Symbol" w:hAnsi="Symbol" w:hint="default"/>
      </w:rPr>
    </w:lvl>
    <w:lvl w:ilvl="4" w:tplc="6EB80AA0">
      <w:start w:val="1"/>
      <w:numFmt w:val="bullet"/>
      <w:lvlText w:val="o"/>
      <w:lvlJc w:val="left"/>
      <w:pPr>
        <w:ind w:left="3960" w:hanging="360"/>
      </w:pPr>
      <w:rPr>
        <w:rFonts w:ascii="Courier New" w:hAnsi="Courier New" w:cs="Courier New" w:hint="default"/>
      </w:rPr>
    </w:lvl>
    <w:lvl w:ilvl="5" w:tplc="03B8126A">
      <w:start w:val="1"/>
      <w:numFmt w:val="bullet"/>
      <w:lvlText w:val=""/>
      <w:lvlJc w:val="left"/>
      <w:pPr>
        <w:ind w:left="4680" w:hanging="360"/>
      </w:pPr>
      <w:rPr>
        <w:rFonts w:ascii="Wingdings" w:hAnsi="Wingdings" w:hint="default"/>
      </w:rPr>
    </w:lvl>
    <w:lvl w:ilvl="6" w:tplc="B9683DE4">
      <w:start w:val="1"/>
      <w:numFmt w:val="bullet"/>
      <w:lvlText w:val=""/>
      <w:lvlJc w:val="left"/>
      <w:pPr>
        <w:ind w:left="5400" w:hanging="360"/>
      </w:pPr>
      <w:rPr>
        <w:rFonts w:ascii="Symbol" w:hAnsi="Symbol" w:hint="default"/>
      </w:rPr>
    </w:lvl>
    <w:lvl w:ilvl="7" w:tplc="B9F2F232">
      <w:start w:val="1"/>
      <w:numFmt w:val="bullet"/>
      <w:lvlText w:val="o"/>
      <w:lvlJc w:val="left"/>
      <w:pPr>
        <w:ind w:left="6120" w:hanging="360"/>
      </w:pPr>
      <w:rPr>
        <w:rFonts w:ascii="Courier New" w:hAnsi="Courier New" w:cs="Courier New" w:hint="default"/>
      </w:rPr>
    </w:lvl>
    <w:lvl w:ilvl="8" w:tplc="FEDE4F22">
      <w:start w:val="1"/>
      <w:numFmt w:val="bullet"/>
      <w:lvlText w:val=""/>
      <w:lvlJc w:val="left"/>
      <w:pPr>
        <w:ind w:left="6840" w:hanging="360"/>
      </w:pPr>
      <w:rPr>
        <w:rFonts w:ascii="Wingdings" w:hAnsi="Wingdings" w:hint="default"/>
      </w:rPr>
    </w:lvl>
  </w:abstractNum>
  <w:abstractNum w:abstractNumId="53" w15:restartNumberingAfterBreak="0">
    <w:nsid w:val="500E6331"/>
    <w:multiLevelType w:val="hybridMultilevel"/>
    <w:tmpl w:val="49824D58"/>
    <w:lvl w:ilvl="0" w:tplc="8092D694">
      <w:start w:val="1"/>
      <w:numFmt w:val="decimal"/>
      <w:lvlText w:val="%1)"/>
      <w:lvlJc w:val="left"/>
      <w:pPr>
        <w:ind w:left="720" w:hanging="360"/>
      </w:pPr>
    </w:lvl>
    <w:lvl w:ilvl="1" w:tplc="9462194E">
      <w:start w:val="1"/>
      <w:numFmt w:val="lowerLetter"/>
      <w:lvlText w:val="%2."/>
      <w:lvlJc w:val="left"/>
      <w:pPr>
        <w:ind w:left="1440" w:hanging="360"/>
      </w:pPr>
    </w:lvl>
    <w:lvl w:ilvl="2" w:tplc="28967270">
      <w:start w:val="1"/>
      <w:numFmt w:val="lowerRoman"/>
      <w:lvlText w:val="%3."/>
      <w:lvlJc w:val="right"/>
      <w:pPr>
        <w:ind w:left="2160" w:hanging="180"/>
      </w:pPr>
    </w:lvl>
    <w:lvl w:ilvl="3" w:tplc="D4EC1742">
      <w:start w:val="1"/>
      <w:numFmt w:val="decimal"/>
      <w:lvlText w:val="%4."/>
      <w:lvlJc w:val="left"/>
      <w:pPr>
        <w:ind w:left="2880" w:hanging="360"/>
      </w:pPr>
    </w:lvl>
    <w:lvl w:ilvl="4" w:tplc="A4A8485E">
      <w:start w:val="1"/>
      <w:numFmt w:val="lowerLetter"/>
      <w:lvlText w:val="%5."/>
      <w:lvlJc w:val="left"/>
      <w:pPr>
        <w:ind w:left="3600" w:hanging="360"/>
      </w:pPr>
    </w:lvl>
    <w:lvl w:ilvl="5" w:tplc="A232D59A">
      <w:start w:val="1"/>
      <w:numFmt w:val="lowerRoman"/>
      <w:lvlText w:val="%6."/>
      <w:lvlJc w:val="right"/>
      <w:pPr>
        <w:ind w:left="4320" w:hanging="180"/>
      </w:pPr>
    </w:lvl>
    <w:lvl w:ilvl="6" w:tplc="0F22D852">
      <w:start w:val="1"/>
      <w:numFmt w:val="decimal"/>
      <w:lvlText w:val="%7."/>
      <w:lvlJc w:val="left"/>
      <w:pPr>
        <w:ind w:left="5040" w:hanging="360"/>
      </w:pPr>
    </w:lvl>
    <w:lvl w:ilvl="7" w:tplc="44746B18">
      <w:start w:val="1"/>
      <w:numFmt w:val="lowerLetter"/>
      <w:lvlText w:val="%8."/>
      <w:lvlJc w:val="left"/>
      <w:pPr>
        <w:ind w:left="5760" w:hanging="360"/>
      </w:pPr>
    </w:lvl>
    <w:lvl w:ilvl="8" w:tplc="10CE05FA">
      <w:start w:val="1"/>
      <w:numFmt w:val="lowerRoman"/>
      <w:lvlText w:val="%9."/>
      <w:lvlJc w:val="right"/>
      <w:pPr>
        <w:ind w:left="6480" w:hanging="180"/>
      </w:pPr>
    </w:lvl>
  </w:abstractNum>
  <w:abstractNum w:abstractNumId="54" w15:restartNumberingAfterBreak="0">
    <w:nsid w:val="51AC796C"/>
    <w:multiLevelType w:val="hybridMultilevel"/>
    <w:tmpl w:val="E5048552"/>
    <w:lvl w:ilvl="0" w:tplc="15EE9468">
      <w:start w:val="1"/>
      <w:numFmt w:val="bullet"/>
      <w:lvlText w:val="-"/>
      <w:lvlJc w:val="left"/>
      <w:pPr>
        <w:tabs>
          <w:tab w:val="num" w:pos="1080"/>
        </w:tabs>
        <w:ind w:left="0" w:firstLine="720"/>
      </w:pPr>
      <w:rPr>
        <w:rFonts w:hint="default"/>
      </w:rPr>
    </w:lvl>
    <w:lvl w:ilvl="1" w:tplc="CEA883EE">
      <w:start w:val="1"/>
      <w:numFmt w:val="bullet"/>
      <w:lvlText w:val="o"/>
      <w:lvlJc w:val="left"/>
      <w:pPr>
        <w:tabs>
          <w:tab w:val="num" w:pos="1440"/>
        </w:tabs>
        <w:ind w:left="1440" w:hanging="360"/>
      </w:pPr>
      <w:rPr>
        <w:rFonts w:ascii="Courier New" w:hAnsi="Courier New" w:hint="default"/>
      </w:rPr>
    </w:lvl>
    <w:lvl w:ilvl="2" w:tplc="A25A073E">
      <w:start w:val="1"/>
      <w:numFmt w:val="bullet"/>
      <w:lvlText w:val=""/>
      <w:lvlJc w:val="left"/>
      <w:pPr>
        <w:tabs>
          <w:tab w:val="num" w:pos="2160"/>
        </w:tabs>
        <w:ind w:left="2160" w:hanging="360"/>
      </w:pPr>
      <w:rPr>
        <w:rFonts w:ascii="Wingdings" w:hAnsi="Wingdings" w:hint="default"/>
      </w:rPr>
    </w:lvl>
    <w:lvl w:ilvl="3" w:tplc="2518841E">
      <w:start w:val="1"/>
      <w:numFmt w:val="bullet"/>
      <w:lvlText w:val=""/>
      <w:lvlJc w:val="left"/>
      <w:pPr>
        <w:tabs>
          <w:tab w:val="num" w:pos="2880"/>
        </w:tabs>
        <w:ind w:left="2880" w:hanging="360"/>
      </w:pPr>
      <w:rPr>
        <w:rFonts w:ascii="Symbol" w:hAnsi="Symbol" w:hint="default"/>
      </w:rPr>
    </w:lvl>
    <w:lvl w:ilvl="4" w:tplc="E8CC8EE8">
      <w:start w:val="1"/>
      <w:numFmt w:val="bullet"/>
      <w:lvlText w:val="o"/>
      <w:lvlJc w:val="left"/>
      <w:pPr>
        <w:tabs>
          <w:tab w:val="num" w:pos="3600"/>
        </w:tabs>
        <w:ind w:left="3600" w:hanging="360"/>
      </w:pPr>
      <w:rPr>
        <w:rFonts w:ascii="Courier New" w:hAnsi="Courier New" w:hint="default"/>
      </w:rPr>
    </w:lvl>
    <w:lvl w:ilvl="5" w:tplc="0624E5C6">
      <w:start w:val="1"/>
      <w:numFmt w:val="bullet"/>
      <w:lvlText w:val=""/>
      <w:lvlJc w:val="left"/>
      <w:pPr>
        <w:tabs>
          <w:tab w:val="num" w:pos="4320"/>
        </w:tabs>
        <w:ind w:left="4320" w:hanging="360"/>
      </w:pPr>
      <w:rPr>
        <w:rFonts w:ascii="Wingdings" w:hAnsi="Wingdings" w:hint="default"/>
      </w:rPr>
    </w:lvl>
    <w:lvl w:ilvl="6" w:tplc="62FAAA62">
      <w:start w:val="1"/>
      <w:numFmt w:val="bullet"/>
      <w:lvlText w:val=""/>
      <w:lvlJc w:val="left"/>
      <w:pPr>
        <w:tabs>
          <w:tab w:val="num" w:pos="5040"/>
        </w:tabs>
        <w:ind w:left="5040" w:hanging="360"/>
      </w:pPr>
      <w:rPr>
        <w:rFonts w:ascii="Symbol" w:hAnsi="Symbol" w:hint="default"/>
      </w:rPr>
    </w:lvl>
    <w:lvl w:ilvl="7" w:tplc="FC7CA868">
      <w:start w:val="1"/>
      <w:numFmt w:val="bullet"/>
      <w:lvlText w:val="o"/>
      <w:lvlJc w:val="left"/>
      <w:pPr>
        <w:tabs>
          <w:tab w:val="num" w:pos="5760"/>
        </w:tabs>
        <w:ind w:left="5760" w:hanging="360"/>
      </w:pPr>
      <w:rPr>
        <w:rFonts w:ascii="Courier New" w:hAnsi="Courier New" w:hint="default"/>
      </w:rPr>
    </w:lvl>
    <w:lvl w:ilvl="8" w:tplc="19984960">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1F74287"/>
    <w:multiLevelType w:val="hybridMultilevel"/>
    <w:tmpl w:val="EDB83210"/>
    <w:lvl w:ilvl="0" w:tplc="F864A250">
      <w:start w:val="1"/>
      <w:numFmt w:val="bullet"/>
      <w:lvlText w:val="–"/>
      <w:lvlJc w:val="left"/>
      <w:pPr>
        <w:ind w:left="1417" w:hanging="360"/>
      </w:pPr>
      <w:rPr>
        <w:rFonts w:ascii="Arial" w:eastAsia="Arial" w:hAnsi="Arial" w:cs="Arial" w:hint="default"/>
      </w:rPr>
    </w:lvl>
    <w:lvl w:ilvl="1" w:tplc="6B88A7E2">
      <w:start w:val="1"/>
      <w:numFmt w:val="bullet"/>
      <w:lvlText w:val="o"/>
      <w:lvlJc w:val="left"/>
      <w:pPr>
        <w:ind w:left="2137" w:hanging="360"/>
      </w:pPr>
      <w:rPr>
        <w:rFonts w:ascii="Courier New" w:eastAsia="Courier New" w:hAnsi="Courier New" w:cs="Courier New" w:hint="default"/>
      </w:rPr>
    </w:lvl>
    <w:lvl w:ilvl="2" w:tplc="1B9EF520">
      <w:start w:val="1"/>
      <w:numFmt w:val="bullet"/>
      <w:lvlText w:val="§"/>
      <w:lvlJc w:val="left"/>
      <w:pPr>
        <w:ind w:left="2857" w:hanging="360"/>
      </w:pPr>
      <w:rPr>
        <w:rFonts w:ascii="Wingdings" w:eastAsia="Wingdings" w:hAnsi="Wingdings" w:cs="Wingdings" w:hint="default"/>
      </w:rPr>
    </w:lvl>
    <w:lvl w:ilvl="3" w:tplc="5476AB06">
      <w:start w:val="1"/>
      <w:numFmt w:val="bullet"/>
      <w:lvlText w:val="·"/>
      <w:lvlJc w:val="left"/>
      <w:pPr>
        <w:ind w:left="3577" w:hanging="360"/>
      </w:pPr>
      <w:rPr>
        <w:rFonts w:ascii="Symbol" w:eastAsia="Symbol" w:hAnsi="Symbol" w:cs="Symbol" w:hint="default"/>
      </w:rPr>
    </w:lvl>
    <w:lvl w:ilvl="4" w:tplc="9C421D9A">
      <w:start w:val="1"/>
      <w:numFmt w:val="bullet"/>
      <w:lvlText w:val="o"/>
      <w:lvlJc w:val="left"/>
      <w:pPr>
        <w:ind w:left="4297" w:hanging="360"/>
      </w:pPr>
      <w:rPr>
        <w:rFonts w:ascii="Courier New" w:eastAsia="Courier New" w:hAnsi="Courier New" w:cs="Courier New" w:hint="default"/>
      </w:rPr>
    </w:lvl>
    <w:lvl w:ilvl="5" w:tplc="F8903DF6">
      <w:start w:val="1"/>
      <w:numFmt w:val="bullet"/>
      <w:lvlText w:val="§"/>
      <w:lvlJc w:val="left"/>
      <w:pPr>
        <w:ind w:left="5017" w:hanging="360"/>
      </w:pPr>
      <w:rPr>
        <w:rFonts w:ascii="Wingdings" w:eastAsia="Wingdings" w:hAnsi="Wingdings" w:cs="Wingdings" w:hint="default"/>
      </w:rPr>
    </w:lvl>
    <w:lvl w:ilvl="6" w:tplc="72162152">
      <w:start w:val="1"/>
      <w:numFmt w:val="bullet"/>
      <w:lvlText w:val="·"/>
      <w:lvlJc w:val="left"/>
      <w:pPr>
        <w:ind w:left="5737" w:hanging="360"/>
      </w:pPr>
      <w:rPr>
        <w:rFonts w:ascii="Symbol" w:eastAsia="Symbol" w:hAnsi="Symbol" w:cs="Symbol" w:hint="default"/>
      </w:rPr>
    </w:lvl>
    <w:lvl w:ilvl="7" w:tplc="C2AA9A06">
      <w:start w:val="1"/>
      <w:numFmt w:val="bullet"/>
      <w:lvlText w:val="o"/>
      <w:lvlJc w:val="left"/>
      <w:pPr>
        <w:ind w:left="6457" w:hanging="360"/>
      </w:pPr>
      <w:rPr>
        <w:rFonts w:ascii="Courier New" w:eastAsia="Courier New" w:hAnsi="Courier New" w:cs="Courier New" w:hint="default"/>
      </w:rPr>
    </w:lvl>
    <w:lvl w:ilvl="8" w:tplc="591C188C">
      <w:start w:val="1"/>
      <w:numFmt w:val="bullet"/>
      <w:lvlText w:val="§"/>
      <w:lvlJc w:val="left"/>
      <w:pPr>
        <w:ind w:left="7177" w:hanging="360"/>
      </w:pPr>
      <w:rPr>
        <w:rFonts w:ascii="Wingdings" w:eastAsia="Wingdings" w:hAnsi="Wingdings" w:cs="Wingdings" w:hint="default"/>
      </w:rPr>
    </w:lvl>
  </w:abstractNum>
  <w:abstractNum w:abstractNumId="56" w15:restartNumberingAfterBreak="0">
    <w:nsid w:val="53AC3398"/>
    <w:multiLevelType w:val="hybridMultilevel"/>
    <w:tmpl w:val="250A7256"/>
    <w:lvl w:ilvl="0" w:tplc="EEDC0C8C">
      <w:start w:val="1"/>
      <w:numFmt w:val="bullet"/>
      <w:lvlText w:val=""/>
      <w:lvlJc w:val="left"/>
      <w:pPr>
        <w:ind w:left="1429" w:hanging="360"/>
      </w:pPr>
      <w:rPr>
        <w:rFonts w:ascii="Symbol" w:hAnsi="Symbol" w:hint="default"/>
      </w:rPr>
    </w:lvl>
    <w:lvl w:ilvl="1" w:tplc="CF3CD2BA">
      <w:start w:val="1"/>
      <w:numFmt w:val="bullet"/>
      <w:lvlText w:val="o"/>
      <w:lvlJc w:val="left"/>
      <w:pPr>
        <w:ind w:left="2149" w:hanging="360"/>
      </w:pPr>
      <w:rPr>
        <w:rFonts w:ascii="Courier New" w:hAnsi="Courier New" w:cs="Courier New" w:hint="default"/>
      </w:rPr>
    </w:lvl>
    <w:lvl w:ilvl="2" w:tplc="B1AC7FBC">
      <w:start w:val="1"/>
      <w:numFmt w:val="bullet"/>
      <w:lvlText w:val=""/>
      <w:lvlJc w:val="left"/>
      <w:pPr>
        <w:ind w:left="2869" w:hanging="360"/>
      </w:pPr>
      <w:rPr>
        <w:rFonts w:ascii="Wingdings" w:hAnsi="Wingdings" w:hint="default"/>
      </w:rPr>
    </w:lvl>
    <w:lvl w:ilvl="3" w:tplc="B3429A7C">
      <w:start w:val="1"/>
      <w:numFmt w:val="bullet"/>
      <w:lvlText w:val=""/>
      <w:lvlJc w:val="left"/>
      <w:pPr>
        <w:ind w:left="3589" w:hanging="360"/>
      </w:pPr>
      <w:rPr>
        <w:rFonts w:ascii="Symbol" w:hAnsi="Symbol" w:hint="default"/>
      </w:rPr>
    </w:lvl>
    <w:lvl w:ilvl="4" w:tplc="200CF2B0">
      <w:start w:val="1"/>
      <w:numFmt w:val="bullet"/>
      <w:lvlText w:val="o"/>
      <w:lvlJc w:val="left"/>
      <w:pPr>
        <w:ind w:left="4309" w:hanging="360"/>
      </w:pPr>
      <w:rPr>
        <w:rFonts w:ascii="Courier New" w:hAnsi="Courier New" w:cs="Courier New" w:hint="default"/>
      </w:rPr>
    </w:lvl>
    <w:lvl w:ilvl="5" w:tplc="DAD01612">
      <w:start w:val="1"/>
      <w:numFmt w:val="bullet"/>
      <w:lvlText w:val=""/>
      <w:lvlJc w:val="left"/>
      <w:pPr>
        <w:ind w:left="5029" w:hanging="360"/>
      </w:pPr>
      <w:rPr>
        <w:rFonts w:ascii="Wingdings" w:hAnsi="Wingdings" w:hint="default"/>
      </w:rPr>
    </w:lvl>
    <w:lvl w:ilvl="6" w:tplc="2714A18E">
      <w:start w:val="1"/>
      <w:numFmt w:val="bullet"/>
      <w:lvlText w:val=""/>
      <w:lvlJc w:val="left"/>
      <w:pPr>
        <w:ind w:left="5749" w:hanging="360"/>
      </w:pPr>
      <w:rPr>
        <w:rFonts w:ascii="Symbol" w:hAnsi="Symbol" w:hint="default"/>
      </w:rPr>
    </w:lvl>
    <w:lvl w:ilvl="7" w:tplc="2B8E644E">
      <w:start w:val="1"/>
      <w:numFmt w:val="bullet"/>
      <w:lvlText w:val="o"/>
      <w:lvlJc w:val="left"/>
      <w:pPr>
        <w:ind w:left="6469" w:hanging="360"/>
      </w:pPr>
      <w:rPr>
        <w:rFonts w:ascii="Courier New" w:hAnsi="Courier New" w:cs="Courier New" w:hint="default"/>
      </w:rPr>
    </w:lvl>
    <w:lvl w:ilvl="8" w:tplc="92BCD050">
      <w:start w:val="1"/>
      <w:numFmt w:val="bullet"/>
      <w:lvlText w:val=""/>
      <w:lvlJc w:val="left"/>
      <w:pPr>
        <w:ind w:left="7189" w:hanging="360"/>
      </w:pPr>
      <w:rPr>
        <w:rFonts w:ascii="Wingdings" w:hAnsi="Wingdings" w:hint="default"/>
      </w:rPr>
    </w:lvl>
  </w:abstractNum>
  <w:abstractNum w:abstractNumId="57" w15:restartNumberingAfterBreak="0">
    <w:nsid w:val="53FF23BE"/>
    <w:multiLevelType w:val="hybridMultilevel"/>
    <w:tmpl w:val="C7AC9A50"/>
    <w:lvl w:ilvl="0" w:tplc="61F697DE">
      <w:start w:val="1"/>
      <w:numFmt w:val="bullet"/>
      <w:suff w:val="space"/>
      <w:lvlText w:val=""/>
      <w:lvlJc w:val="left"/>
      <w:pPr>
        <w:ind w:left="0" w:firstLine="709"/>
      </w:pPr>
      <w:rPr>
        <w:rFonts w:ascii="Symbol" w:hAnsi="Symbol" w:hint="default"/>
      </w:rPr>
    </w:lvl>
    <w:lvl w:ilvl="1" w:tplc="B0BED46A">
      <w:start w:val="1"/>
      <w:numFmt w:val="bullet"/>
      <w:lvlText w:val="o"/>
      <w:lvlJc w:val="left"/>
      <w:pPr>
        <w:ind w:left="2149" w:hanging="360"/>
      </w:pPr>
      <w:rPr>
        <w:rFonts w:ascii="Courier New" w:hAnsi="Courier New" w:cs="Courier New" w:hint="default"/>
      </w:rPr>
    </w:lvl>
    <w:lvl w:ilvl="2" w:tplc="85D4976E">
      <w:start w:val="1"/>
      <w:numFmt w:val="bullet"/>
      <w:lvlText w:val=""/>
      <w:lvlJc w:val="left"/>
      <w:pPr>
        <w:ind w:left="2869" w:hanging="360"/>
      </w:pPr>
      <w:rPr>
        <w:rFonts w:ascii="Wingdings" w:hAnsi="Wingdings" w:hint="default"/>
      </w:rPr>
    </w:lvl>
    <w:lvl w:ilvl="3" w:tplc="06F096D8">
      <w:start w:val="1"/>
      <w:numFmt w:val="bullet"/>
      <w:lvlText w:val=""/>
      <w:lvlJc w:val="left"/>
      <w:pPr>
        <w:ind w:left="3589" w:hanging="360"/>
      </w:pPr>
      <w:rPr>
        <w:rFonts w:ascii="Symbol" w:hAnsi="Symbol" w:hint="default"/>
      </w:rPr>
    </w:lvl>
    <w:lvl w:ilvl="4" w:tplc="5566B452">
      <w:start w:val="1"/>
      <w:numFmt w:val="bullet"/>
      <w:lvlText w:val="o"/>
      <w:lvlJc w:val="left"/>
      <w:pPr>
        <w:ind w:left="4309" w:hanging="360"/>
      </w:pPr>
      <w:rPr>
        <w:rFonts w:ascii="Courier New" w:hAnsi="Courier New" w:cs="Courier New" w:hint="default"/>
      </w:rPr>
    </w:lvl>
    <w:lvl w:ilvl="5" w:tplc="51A23668">
      <w:start w:val="1"/>
      <w:numFmt w:val="bullet"/>
      <w:lvlText w:val=""/>
      <w:lvlJc w:val="left"/>
      <w:pPr>
        <w:ind w:left="5029" w:hanging="360"/>
      </w:pPr>
      <w:rPr>
        <w:rFonts w:ascii="Wingdings" w:hAnsi="Wingdings" w:hint="default"/>
      </w:rPr>
    </w:lvl>
    <w:lvl w:ilvl="6" w:tplc="8D4E6A4C">
      <w:start w:val="1"/>
      <w:numFmt w:val="bullet"/>
      <w:lvlText w:val=""/>
      <w:lvlJc w:val="left"/>
      <w:pPr>
        <w:ind w:left="5749" w:hanging="360"/>
      </w:pPr>
      <w:rPr>
        <w:rFonts w:ascii="Symbol" w:hAnsi="Symbol" w:hint="default"/>
      </w:rPr>
    </w:lvl>
    <w:lvl w:ilvl="7" w:tplc="4CE424C6">
      <w:start w:val="1"/>
      <w:numFmt w:val="bullet"/>
      <w:lvlText w:val="o"/>
      <w:lvlJc w:val="left"/>
      <w:pPr>
        <w:ind w:left="6469" w:hanging="360"/>
      </w:pPr>
      <w:rPr>
        <w:rFonts w:ascii="Courier New" w:hAnsi="Courier New" w:cs="Courier New" w:hint="default"/>
      </w:rPr>
    </w:lvl>
    <w:lvl w:ilvl="8" w:tplc="2BCE0690">
      <w:start w:val="1"/>
      <w:numFmt w:val="bullet"/>
      <w:lvlText w:val=""/>
      <w:lvlJc w:val="left"/>
      <w:pPr>
        <w:ind w:left="7189" w:hanging="360"/>
      </w:pPr>
      <w:rPr>
        <w:rFonts w:ascii="Wingdings" w:hAnsi="Wingdings" w:hint="default"/>
      </w:rPr>
    </w:lvl>
  </w:abstractNum>
  <w:abstractNum w:abstractNumId="58" w15:restartNumberingAfterBreak="0">
    <w:nsid w:val="54104446"/>
    <w:multiLevelType w:val="hybridMultilevel"/>
    <w:tmpl w:val="D93A2C30"/>
    <w:lvl w:ilvl="0" w:tplc="8E26EDD4">
      <w:start w:val="1"/>
      <w:numFmt w:val="bullet"/>
      <w:lvlText w:val=""/>
      <w:lvlJc w:val="left"/>
      <w:pPr>
        <w:ind w:left="720" w:hanging="360"/>
      </w:pPr>
      <w:rPr>
        <w:rFonts w:ascii="Symbol" w:hAnsi="Symbol" w:hint="default"/>
      </w:rPr>
    </w:lvl>
    <w:lvl w:ilvl="1" w:tplc="88769A94">
      <w:start w:val="1"/>
      <w:numFmt w:val="lowerLetter"/>
      <w:lvlText w:val="%2."/>
      <w:lvlJc w:val="left"/>
      <w:pPr>
        <w:ind w:left="1440" w:hanging="360"/>
      </w:pPr>
    </w:lvl>
    <w:lvl w:ilvl="2" w:tplc="A9DE2788">
      <w:start w:val="1"/>
      <w:numFmt w:val="lowerRoman"/>
      <w:lvlText w:val="%3."/>
      <w:lvlJc w:val="right"/>
      <w:pPr>
        <w:ind w:left="2160" w:hanging="180"/>
      </w:pPr>
    </w:lvl>
    <w:lvl w:ilvl="3" w:tplc="0D0847B4">
      <w:start w:val="1"/>
      <w:numFmt w:val="decimal"/>
      <w:lvlText w:val="%4."/>
      <w:lvlJc w:val="left"/>
      <w:pPr>
        <w:ind w:left="2880" w:hanging="360"/>
      </w:pPr>
    </w:lvl>
    <w:lvl w:ilvl="4" w:tplc="5074CEBA">
      <w:start w:val="1"/>
      <w:numFmt w:val="lowerLetter"/>
      <w:lvlText w:val="%5."/>
      <w:lvlJc w:val="left"/>
      <w:pPr>
        <w:ind w:left="3600" w:hanging="360"/>
      </w:pPr>
    </w:lvl>
    <w:lvl w:ilvl="5" w:tplc="380CB20C">
      <w:start w:val="1"/>
      <w:numFmt w:val="lowerRoman"/>
      <w:lvlText w:val="%6."/>
      <w:lvlJc w:val="right"/>
      <w:pPr>
        <w:ind w:left="4320" w:hanging="180"/>
      </w:pPr>
    </w:lvl>
    <w:lvl w:ilvl="6" w:tplc="1ABA9AC2">
      <w:start w:val="1"/>
      <w:numFmt w:val="decimal"/>
      <w:lvlText w:val="%7."/>
      <w:lvlJc w:val="left"/>
      <w:pPr>
        <w:ind w:left="5040" w:hanging="360"/>
      </w:pPr>
    </w:lvl>
    <w:lvl w:ilvl="7" w:tplc="A2F4D33C">
      <w:start w:val="1"/>
      <w:numFmt w:val="lowerLetter"/>
      <w:lvlText w:val="%8."/>
      <w:lvlJc w:val="left"/>
      <w:pPr>
        <w:ind w:left="5760" w:hanging="360"/>
      </w:pPr>
    </w:lvl>
    <w:lvl w:ilvl="8" w:tplc="6554D526">
      <w:start w:val="1"/>
      <w:numFmt w:val="lowerRoman"/>
      <w:lvlText w:val="%9."/>
      <w:lvlJc w:val="right"/>
      <w:pPr>
        <w:ind w:left="6480" w:hanging="180"/>
      </w:pPr>
    </w:lvl>
  </w:abstractNum>
  <w:abstractNum w:abstractNumId="59" w15:restartNumberingAfterBreak="0">
    <w:nsid w:val="548D6D54"/>
    <w:multiLevelType w:val="hybridMultilevel"/>
    <w:tmpl w:val="1B7E26F6"/>
    <w:lvl w:ilvl="0" w:tplc="08227BC2">
      <w:start w:val="1"/>
      <w:numFmt w:val="bullet"/>
      <w:lvlText w:val="·"/>
      <w:lvlJc w:val="left"/>
      <w:pPr>
        <w:ind w:left="720" w:hanging="360"/>
      </w:pPr>
      <w:rPr>
        <w:rFonts w:ascii="Symbol" w:eastAsia="Symbol" w:hAnsi="Symbol" w:cs="Symbol" w:hint="default"/>
        <w:highlight w:val="none"/>
      </w:rPr>
    </w:lvl>
    <w:lvl w:ilvl="1" w:tplc="55C83174">
      <w:start w:val="1"/>
      <w:numFmt w:val="bullet"/>
      <w:lvlText w:val="o"/>
      <w:lvlJc w:val="left"/>
      <w:pPr>
        <w:ind w:left="1440" w:hanging="360"/>
      </w:pPr>
      <w:rPr>
        <w:rFonts w:ascii="Courier New" w:eastAsia="Courier New" w:hAnsi="Courier New" w:cs="Courier New" w:hint="default"/>
      </w:rPr>
    </w:lvl>
    <w:lvl w:ilvl="2" w:tplc="9946A678">
      <w:start w:val="1"/>
      <w:numFmt w:val="bullet"/>
      <w:lvlText w:val="§"/>
      <w:lvlJc w:val="left"/>
      <w:pPr>
        <w:ind w:left="2160" w:hanging="360"/>
      </w:pPr>
      <w:rPr>
        <w:rFonts w:ascii="Wingdings" w:eastAsia="Wingdings" w:hAnsi="Wingdings" w:cs="Wingdings" w:hint="default"/>
      </w:rPr>
    </w:lvl>
    <w:lvl w:ilvl="3" w:tplc="CC16000A">
      <w:start w:val="1"/>
      <w:numFmt w:val="bullet"/>
      <w:lvlText w:val="·"/>
      <w:lvlJc w:val="left"/>
      <w:pPr>
        <w:ind w:left="2880" w:hanging="360"/>
      </w:pPr>
      <w:rPr>
        <w:rFonts w:ascii="Symbol" w:eastAsia="Symbol" w:hAnsi="Symbol" w:cs="Symbol" w:hint="default"/>
      </w:rPr>
    </w:lvl>
    <w:lvl w:ilvl="4" w:tplc="B5E81F8C">
      <w:start w:val="1"/>
      <w:numFmt w:val="bullet"/>
      <w:lvlText w:val="o"/>
      <w:lvlJc w:val="left"/>
      <w:pPr>
        <w:ind w:left="3600" w:hanging="360"/>
      </w:pPr>
      <w:rPr>
        <w:rFonts w:ascii="Courier New" w:eastAsia="Courier New" w:hAnsi="Courier New" w:cs="Courier New" w:hint="default"/>
      </w:rPr>
    </w:lvl>
    <w:lvl w:ilvl="5" w:tplc="9B4AEC3E">
      <w:start w:val="1"/>
      <w:numFmt w:val="bullet"/>
      <w:lvlText w:val="§"/>
      <w:lvlJc w:val="left"/>
      <w:pPr>
        <w:ind w:left="4320" w:hanging="360"/>
      </w:pPr>
      <w:rPr>
        <w:rFonts w:ascii="Wingdings" w:eastAsia="Wingdings" w:hAnsi="Wingdings" w:cs="Wingdings" w:hint="default"/>
      </w:rPr>
    </w:lvl>
    <w:lvl w:ilvl="6" w:tplc="CE24E932">
      <w:start w:val="1"/>
      <w:numFmt w:val="bullet"/>
      <w:lvlText w:val="·"/>
      <w:lvlJc w:val="left"/>
      <w:pPr>
        <w:ind w:left="5040" w:hanging="360"/>
      </w:pPr>
      <w:rPr>
        <w:rFonts w:ascii="Symbol" w:eastAsia="Symbol" w:hAnsi="Symbol" w:cs="Symbol" w:hint="default"/>
      </w:rPr>
    </w:lvl>
    <w:lvl w:ilvl="7" w:tplc="A7DC2DC6">
      <w:start w:val="1"/>
      <w:numFmt w:val="bullet"/>
      <w:lvlText w:val="o"/>
      <w:lvlJc w:val="left"/>
      <w:pPr>
        <w:ind w:left="5760" w:hanging="360"/>
      </w:pPr>
      <w:rPr>
        <w:rFonts w:ascii="Courier New" w:eastAsia="Courier New" w:hAnsi="Courier New" w:cs="Courier New" w:hint="default"/>
      </w:rPr>
    </w:lvl>
    <w:lvl w:ilvl="8" w:tplc="79DC7794">
      <w:start w:val="1"/>
      <w:numFmt w:val="bullet"/>
      <w:lvlText w:val="§"/>
      <w:lvlJc w:val="left"/>
      <w:pPr>
        <w:ind w:left="6480" w:hanging="360"/>
      </w:pPr>
      <w:rPr>
        <w:rFonts w:ascii="Wingdings" w:eastAsia="Wingdings" w:hAnsi="Wingdings" w:cs="Wingdings" w:hint="default"/>
      </w:rPr>
    </w:lvl>
  </w:abstractNum>
  <w:abstractNum w:abstractNumId="60" w15:restartNumberingAfterBreak="0">
    <w:nsid w:val="59085FEA"/>
    <w:multiLevelType w:val="hybridMultilevel"/>
    <w:tmpl w:val="C8282EC2"/>
    <w:lvl w:ilvl="0" w:tplc="218EC0BE">
      <w:start w:val="1"/>
      <w:numFmt w:val="bullet"/>
      <w:lvlText w:val=""/>
      <w:lvlJc w:val="left"/>
      <w:pPr>
        <w:tabs>
          <w:tab w:val="num" w:pos="720"/>
        </w:tabs>
        <w:ind w:left="720" w:hanging="360"/>
      </w:pPr>
      <w:rPr>
        <w:rFonts w:ascii="Symbol" w:hAnsi="Symbol" w:hint="default"/>
        <w:sz w:val="20"/>
      </w:rPr>
    </w:lvl>
    <w:lvl w:ilvl="1" w:tplc="C5E0B190">
      <w:start w:val="1"/>
      <w:numFmt w:val="bullet"/>
      <w:lvlText w:val="o"/>
      <w:lvlJc w:val="left"/>
      <w:pPr>
        <w:tabs>
          <w:tab w:val="num" w:pos="1440"/>
        </w:tabs>
        <w:ind w:left="1440" w:hanging="360"/>
      </w:pPr>
      <w:rPr>
        <w:rFonts w:ascii="Courier New" w:hAnsi="Courier New" w:hint="default"/>
        <w:sz w:val="20"/>
      </w:rPr>
    </w:lvl>
    <w:lvl w:ilvl="2" w:tplc="79BEFA86">
      <w:start w:val="1"/>
      <w:numFmt w:val="bullet"/>
      <w:lvlText w:val=""/>
      <w:lvlJc w:val="left"/>
      <w:pPr>
        <w:tabs>
          <w:tab w:val="num" w:pos="2160"/>
        </w:tabs>
        <w:ind w:left="2160" w:hanging="360"/>
      </w:pPr>
      <w:rPr>
        <w:rFonts w:ascii="Wingdings" w:hAnsi="Wingdings" w:hint="default"/>
        <w:sz w:val="20"/>
      </w:rPr>
    </w:lvl>
    <w:lvl w:ilvl="3" w:tplc="76529C84">
      <w:start w:val="1"/>
      <w:numFmt w:val="bullet"/>
      <w:lvlText w:val=""/>
      <w:lvlJc w:val="left"/>
      <w:pPr>
        <w:tabs>
          <w:tab w:val="num" w:pos="2880"/>
        </w:tabs>
        <w:ind w:left="2880" w:hanging="360"/>
      </w:pPr>
      <w:rPr>
        <w:rFonts w:ascii="Wingdings" w:hAnsi="Wingdings" w:hint="default"/>
        <w:sz w:val="20"/>
      </w:rPr>
    </w:lvl>
    <w:lvl w:ilvl="4" w:tplc="05E8EF4A">
      <w:start w:val="1"/>
      <w:numFmt w:val="bullet"/>
      <w:lvlText w:val=""/>
      <w:lvlJc w:val="left"/>
      <w:pPr>
        <w:tabs>
          <w:tab w:val="num" w:pos="3600"/>
        </w:tabs>
        <w:ind w:left="3600" w:hanging="360"/>
      </w:pPr>
      <w:rPr>
        <w:rFonts w:ascii="Wingdings" w:hAnsi="Wingdings" w:hint="default"/>
        <w:sz w:val="20"/>
      </w:rPr>
    </w:lvl>
    <w:lvl w:ilvl="5" w:tplc="8BA0EA0E">
      <w:start w:val="1"/>
      <w:numFmt w:val="bullet"/>
      <w:lvlText w:val=""/>
      <w:lvlJc w:val="left"/>
      <w:pPr>
        <w:tabs>
          <w:tab w:val="num" w:pos="4320"/>
        </w:tabs>
        <w:ind w:left="4320" w:hanging="360"/>
      </w:pPr>
      <w:rPr>
        <w:rFonts w:ascii="Wingdings" w:hAnsi="Wingdings" w:hint="default"/>
        <w:sz w:val="20"/>
      </w:rPr>
    </w:lvl>
    <w:lvl w:ilvl="6" w:tplc="C39477D6">
      <w:start w:val="1"/>
      <w:numFmt w:val="bullet"/>
      <w:lvlText w:val=""/>
      <w:lvlJc w:val="left"/>
      <w:pPr>
        <w:tabs>
          <w:tab w:val="num" w:pos="5040"/>
        </w:tabs>
        <w:ind w:left="5040" w:hanging="360"/>
      </w:pPr>
      <w:rPr>
        <w:rFonts w:ascii="Wingdings" w:hAnsi="Wingdings" w:hint="default"/>
        <w:sz w:val="20"/>
      </w:rPr>
    </w:lvl>
    <w:lvl w:ilvl="7" w:tplc="E9E6CF7A">
      <w:start w:val="1"/>
      <w:numFmt w:val="bullet"/>
      <w:lvlText w:val=""/>
      <w:lvlJc w:val="left"/>
      <w:pPr>
        <w:tabs>
          <w:tab w:val="num" w:pos="5760"/>
        </w:tabs>
        <w:ind w:left="5760" w:hanging="360"/>
      </w:pPr>
      <w:rPr>
        <w:rFonts w:ascii="Wingdings" w:hAnsi="Wingdings" w:hint="default"/>
        <w:sz w:val="20"/>
      </w:rPr>
    </w:lvl>
    <w:lvl w:ilvl="8" w:tplc="F0C2FBD8">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A1E7FF9"/>
    <w:multiLevelType w:val="hybridMultilevel"/>
    <w:tmpl w:val="90CE913C"/>
    <w:lvl w:ilvl="0" w:tplc="385C6AD8">
      <w:start w:val="1"/>
      <w:numFmt w:val="bullet"/>
      <w:lvlText w:val="–"/>
      <w:lvlJc w:val="left"/>
      <w:pPr>
        <w:ind w:left="1418" w:hanging="360"/>
      </w:pPr>
      <w:rPr>
        <w:rFonts w:ascii="Arial" w:eastAsia="Arial" w:hAnsi="Arial" w:cs="Arial" w:hint="default"/>
      </w:rPr>
    </w:lvl>
    <w:lvl w:ilvl="1" w:tplc="7932E364">
      <w:start w:val="1"/>
      <w:numFmt w:val="bullet"/>
      <w:lvlText w:val="o"/>
      <w:lvlJc w:val="left"/>
      <w:pPr>
        <w:ind w:left="2138" w:hanging="360"/>
      </w:pPr>
      <w:rPr>
        <w:rFonts w:ascii="Courier New" w:eastAsia="Courier New" w:hAnsi="Courier New" w:cs="Courier New" w:hint="default"/>
      </w:rPr>
    </w:lvl>
    <w:lvl w:ilvl="2" w:tplc="2D06AE9E">
      <w:start w:val="1"/>
      <w:numFmt w:val="bullet"/>
      <w:lvlText w:val="§"/>
      <w:lvlJc w:val="left"/>
      <w:pPr>
        <w:ind w:left="2858" w:hanging="360"/>
      </w:pPr>
      <w:rPr>
        <w:rFonts w:ascii="Wingdings" w:eastAsia="Wingdings" w:hAnsi="Wingdings" w:cs="Wingdings" w:hint="default"/>
      </w:rPr>
    </w:lvl>
    <w:lvl w:ilvl="3" w:tplc="559A85A8">
      <w:start w:val="1"/>
      <w:numFmt w:val="bullet"/>
      <w:lvlText w:val="·"/>
      <w:lvlJc w:val="left"/>
      <w:pPr>
        <w:ind w:left="3578" w:hanging="360"/>
      </w:pPr>
      <w:rPr>
        <w:rFonts w:ascii="Symbol" w:eastAsia="Symbol" w:hAnsi="Symbol" w:cs="Symbol" w:hint="default"/>
      </w:rPr>
    </w:lvl>
    <w:lvl w:ilvl="4" w:tplc="09DED9DE">
      <w:start w:val="1"/>
      <w:numFmt w:val="bullet"/>
      <w:lvlText w:val="o"/>
      <w:lvlJc w:val="left"/>
      <w:pPr>
        <w:ind w:left="4298" w:hanging="360"/>
      </w:pPr>
      <w:rPr>
        <w:rFonts w:ascii="Courier New" w:eastAsia="Courier New" w:hAnsi="Courier New" w:cs="Courier New" w:hint="default"/>
      </w:rPr>
    </w:lvl>
    <w:lvl w:ilvl="5" w:tplc="B59A49E6">
      <w:start w:val="1"/>
      <w:numFmt w:val="bullet"/>
      <w:lvlText w:val="§"/>
      <w:lvlJc w:val="left"/>
      <w:pPr>
        <w:ind w:left="5018" w:hanging="360"/>
      </w:pPr>
      <w:rPr>
        <w:rFonts w:ascii="Wingdings" w:eastAsia="Wingdings" w:hAnsi="Wingdings" w:cs="Wingdings" w:hint="default"/>
      </w:rPr>
    </w:lvl>
    <w:lvl w:ilvl="6" w:tplc="5AD2B302">
      <w:start w:val="1"/>
      <w:numFmt w:val="bullet"/>
      <w:lvlText w:val="·"/>
      <w:lvlJc w:val="left"/>
      <w:pPr>
        <w:ind w:left="5738" w:hanging="360"/>
      </w:pPr>
      <w:rPr>
        <w:rFonts w:ascii="Symbol" w:eastAsia="Symbol" w:hAnsi="Symbol" w:cs="Symbol" w:hint="default"/>
      </w:rPr>
    </w:lvl>
    <w:lvl w:ilvl="7" w:tplc="D968FACC">
      <w:start w:val="1"/>
      <w:numFmt w:val="bullet"/>
      <w:lvlText w:val="o"/>
      <w:lvlJc w:val="left"/>
      <w:pPr>
        <w:ind w:left="6458" w:hanging="360"/>
      </w:pPr>
      <w:rPr>
        <w:rFonts w:ascii="Courier New" w:eastAsia="Courier New" w:hAnsi="Courier New" w:cs="Courier New" w:hint="default"/>
      </w:rPr>
    </w:lvl>
    <w:lvl w:ilvl="8" w:tplc="31DE58BC">
      <w:start w:val="1"/>
      <w:numFmt w:val="bullet"/>
      <w:lvlText w:val="§"/>
      <w:lvlJc w:val="left"/>
      <w:pPr>
        <w:ind w:left="7178" w:hanging="360"/>
      </w:pPr>
      <w:rPr>
        <w:rFonts w:ascii="Wingdings" w:eastAsia="Wingdings" w:hAnsi="Wingdings" w:cs="Wingdings" w:hint="default"/>
      </w:rPr>
    </w:lvl>
  </w:abstractNum>
  <w:abstractNum w:abstractNumId="62" w15:restartNumberingAfterBreak="0">
    <w:nsid w:val="5A244E87"/>
    <w:multiLevelType w:val="multilevel"/>
    <w:tmpl w:val="CACC9AFC"/>
    <w:lvl w:ilvl="0">
      <w:start w:val="5"/>
      <w:numFmt w:val="decimal"/>
      <w:lvlText w:val="%1."/>
      <w:lvlJc w:val="left"/>
      <w:pPr>
        <w:ind w:left="540" w:hanging="540"/>
      </w:pPr>
      <w:rPr>
        <w:rFonts w:hint="default"/>
      </w:rPr>
    </w:lvl>
    <w:lvl w:ilvl="1">
      <w:start w:val="3"/>
      <w:numFmt w:val="decimal"/>
      <w:lvlText w:val="%1.%2."/>
      <w:lvlJc w:val="left"/>
      <w:pPr>
        <w:ind w:left="1074" w:hanging="540"/>
      </w:pPr>
      <w:rPr>
        <w:rFonts w:hint="default"/>
      </w:rPr>
    </w:lvl>
    <w:lvl w:ilvl="2">
      <w:start w:val="1"/>
      <w:numFmt w:val="decimal"/>
      <w:pStyle w:val="2"/>
      <w:lvlText w:val="%1.%2.%3."/>
      <w:lvlJc w:val="left"/>
      <w:pPr>
        <w:ind w:left="2422" w:hanging="720"/>
      </w:pPr>
      <w:rPr>
        <w:rFonts w:hint="default"/>
        <w:color w:val="auto"/>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6072" w:hanging="1800"/>
      </w:pPr>
      <w:rPr>
        <w:rFonts w:hint="default"/>
      </w:rPr>
    </w:lvl>
  </w:abstractNum>
  <w:abstractNum w:abstractNumId="63" w15:restartNumberingAfterBreak="0">
    <w:nsid w:val="5A60673E"/>
    <w:multiLevelType w:val="hybridMultilevel"/>
    <w:tmpl w:val="F9DE6674"/>
    <w:lvl w:ilvl="0" w:tplc="EC680F0C">
      <w:start w:val="1"/>
      <w:numFmt w:val="bullet"/>
      <w:lvlText w:val="–"/>
      <w:lvlJc w:val="left"/>
      <w:pPr>
        <w:ind w:left="1418" w:hanging="360"/>
      </w:pPr>
      <w:rPr>
        <w:rFonts w:ascii="Arial" w:eastAsia="Arial" w:hAnsi="Arial" w:cs="Arial" w:hint="default"/>
      </w:rPr>
    </w:lvl>
    <w:lvl w:ilvl="1" w:tplc="94C8464A">
      <w:start w:val="1"/>
      <w:numFmt w:val="bullet"/>
      <w:lvlText w:val="o"/>
      <w:lvlJc w:val="left"/>
      <w:pPr>
        <w:ind w:left="2138" w:hanging="360"/>
      </w:pPr>
      <w:rPr>
        <w:rFonts w:ascii="Courier New" w:eastAsia="Courier New" w:hAnsi="Courier New" w:cs="Courier New" w:hint="default"/>
      </w:rPr>
    </w:lvl>
    <w:lvl w:ilvl="2" w:tplc="F21A5E3A">
      <w:start w:val="1"/>
      <w:numFmt w:val="bullet"/>
      <w:lvlText w:val="§"/>
      <w:lvlJc w:val="left"/>
      <w:pPr>
        <w:ind w:left="2858" w:hanging="360"/>
      </w:pPr>
      <w:rPr>
        <w:rFonts w:ascii="Wingdings" w:eastAsia="Wingdings" w:hAnsi="Wingdings" w:cs="Wingdings" w:hint="default"/>
      </w:rPr>
    </w:lvl>
    <w:lvl w:ilvl="3" w:tplc="57A84DDE">
      <w:start w:val="1"/>
      <w:numFmt w:val="bullet"/>
      <w:lvlText w:val="·"/>
      <w:lvlJc w:val="left"/>
      <w:pPr>
        <w:ind w:left="3578" w:hanging="360"/>
      </w:pPr>
      <w:rPr>
        <w:rFonts w:ascii="Symbol" w:eastAsia="Symbol" w:hAnsi="Symbol" w:cs="Symbol" w:hint="default"/>
      </w:rPr>
    </w:lvl>
    <w:lvl w:ilvl="4" w:tplc="CE40254A">
      <w:start w:val="1"/>
      <w:numFmt w:val="bullet"/>
      <w:lvlText w:val="o"/>
      <w:lvlJc w:val="left"/>
      <w:pPr>
        <w:ind w:left="4298" w:hanging="360"/>
      </w:pPr>
      <w:rPr>
        <w:rFonts w:ascii="Courier New" w:eastAsia="Courier New" w:hAnsi="Courier New" w:cs="Courier New" w:hint="default"/>
      </w:rPr>
    </w:lvl>
    <w:lvl w:ilvl="5" w:tplc="E51C011C">
      <w:start w:val="1"/>
      <w:numFmt w:val="bullet"/>
      <w:lvlText w:val="§"/>
      <w:lvlJc w:val="left"/>
      <w:pPr>
        <w:ind w:left="5018" w:hanging="360"/>
      </w:pPr>
      <w:rPr>
        <w:rFonts w:ascii="Wingdings" w:eastAsia="Wingdings" w:hAnsi="Wingdings" w:cs="Wingdings" w:hint="default"/>
      </w:rPr>
    </w:lvl>
    <w:lvl w:ilvl="6" w:tplc="116837F2">
      <w:start w:val="1"/>
      <w:numFmt w:val="bullet"/>
      <w:lvlText w:val="·"/>
      <w:lvlJc w:val="left"/>
      <w:pPr>
        <w:ind w:left="5738" w:hanging="360"/>
      </w:pPr>
      <w:rPr>
        <w:rFonts w:ascii="Symbol" w:eastAsia="Symbol" w:hAnsi="Symbol" w:cs="Symbol" w:hint="default"/>
      </w:rPr>
    </w:lvl>
    <w:lvl w:ilvl="7" w:tplc="9162FEE6">
      <w:start w:val="1"/>
      <w:numFmt w:val="bullet"/>
      <w:lvlText w:val="o"/>
      <w:lvlJc w:val="left"/>
      <w:pPr>
        <w:ind w:left="6458" w:hanging="360"/>
      </w:pPr>
      <w:rPr>
        <w:rFonts w:ascii="Courier New" w:eastAsia="Courier New" w:hAnsi="Courier New" w:cs="Courier New" w:hint="default"/>
      </w:rPr>
    </w:lvl>
    <w:lvl w:ilvl="8" w:tplc="4C1071A0">
      <w:start w:val="1"/>
      <w:numFmt w:val="bullet"/>
      <w:lvlText w:val="§"/>
      <w:lvlJc w:val="left"/>
      <w:pPr>
        <w:ind w:left="7178" w:hanging="360"/>
      </w:pPr>
      <w:rPr>
        <w:rFonts w:ascii="Wingdings" w:eastAsia="Wingdings" w:hAnsi="Wingdings" w:cs="Wingdings" w:hint="default"/>
      </w:rPr>
    </w:lvl>
  </w:abstractNum>
  <w:abstractNum w:abstractNumId="64" w15:restartNumberingAfterBreak="0">
    <w:nsid w:val="5B9B25FE"/>
    <w:multiLevelType w:val="hybridMultilevel"/>
    <w:tmpl w:val="8256A280"/>
    <w:lvl w:ilvl="0" w:tplc="94783A7C">
      <w:start w:val="1"/>
      <w:numFmt w:val="decimal"/>
      <w:lvlText w:val="%1)"/>
      <w:lvlJc w:val="left"/>
      <w:pPr>
        <w:ind w:left="720" w:hanging="360"/>
      </w:pPr>
    </w:lvl>
    <w:lvl w:ilvl="1" w:tplc="F24E435E">
      <w:start w:val="1"/>
      <w:numFmt w:val="lowerLetter"/>
      <w:lvlText w:val="%2."/>
      <w:lvlJc w:val="left"/>
      <w:pPr>
        <w:ind w:left="1440" w:hanging="360"/>
      </w:pPr>
    </w:lvl>
    <w:lvl w:ilvl="2" w:tplc="C27A5BA8">
      <w:start w:val="1"/>
      <w:numFmt w:val="lowerRoman"/>
      <w:lvlText w:val="%3."/>
      <w:lvlJc w:val="right"/>
      <w:pPr>
        <w:ind w:left="2160" w:hanging="180"/>
      </w:pPr>
    </w:lvl>
    <w:lvl w:ilvl="3" w:tplc="9E6AB068">
      <w:start w:val="1"/>
      <w:numFmt w:val="decimal"/>
      <w:lvlText w:val="%4."/>
      <w:lvlJc w:val="left"/>
      <w:pPr>
        <w:ind w:left="2880" w:hanging="360"/>
      </w:pPr>
    </w:lvl>
    <w:lvl w:ilvl="4" w:tplc="1FB48588">
      <w:start w:val="1"/>
      <w:numFmt w:val="lowerLetter"/>
      <w:lvlText w:val="%5."/>
      <w:lvlJc w:val="left"/>
      <w:pPr>
        <w:ind w:left="3600" w:hanging="360"/>
      </w:pPr>
    </w:lvl>
    <w:lvl w:ilvl="5" w:tplc="19CAAD86">
      <w:start w:val="1"/>
      <w:numFmt w:val="lowerRoman"/>
      <w:lvlText w:val="%6."/>
      <w:lvlJc w:val="right"/>
      <w:pPr>
        <w:ind w:left="4320" w:hanging="180"/>
      </w:pPr>
    </w:lvl>
    <w:lvl w:ilvl="6" w:tplc="A0E8727C">
      <w:start w:val="1"/>
      <w:numFmt w:val="decimal"/>
      <w:lvlText w:val="%7."/>
      <w:lvlJc w:val="left"/>
      <w:pPr>
        <w:ind w:left="5040" w:hanging="360"/>
      </w:pPr>
    </w:lvl>
    <w:lvl w:ilvl="7" w:tplc="88C214E8">
      <w:start w:val="1"/>
      <w:numFmt w:val="lowerLetter"/>
      <w:lvlText w:val="%8."/>
      <w:lvlJc w:val="left"/>
      <w:pPr>
        <w:ind w:left="5760" w:hanging="360"/>
      </w:pPr>
    </w:lvl>
    <w:lvl w:ilvl="8" w:tplc="650CF770">
      <w:start w:val="1"/>
      <w:numFmt w:val="lowerRoman"/>
      <w:lvlText w:val="%9."/>
      <w:lvlJc w:val="right"/>
      <w:pPr>
        <w:ind w:left="6480" w:hanging="180"/>
      </w:pPr>
    </w:lvl>
  </w:abstractNum>
  <w:abstractNum w:abstractNumId="65" w15:restartNumberingAfterBreak="0">
    <w:nsid w:val="5C630694"/>
    <w:multiLevelType w:val="hybridMultilevel"/>
    <w:tmpl w:val="297A8422"/>
    <w:lvl w:ilvl="0" w:tplc="98F80574">
      <w:start w:val="1"/>
      <w:numFmt w:val="decimal"/>
      <w:lvlText w:val="%1)"/>
      <w:lvlJc w:val="left"/>
      <w:pPr>
        <w:ind w:left="720" w:hanging="360"/>
      </w:pPr>
    </w:lvl>
    <w:lvl w:ilvl="1" w:tplc="97E0DD7C">
      <w:start w:val="1"/>
      <w:numFmt w:val="lowerLetter"/>
      <w:lvlText w:val="%2."/>
      <w:lvlJc w:val="left"/>
      <w:pPr>
        <w:ind w:left="1440" w:hanging="360"/>
      </w:pPr>
    </w:lvl>
    <w:lvl w:ilvl="2" w:tplc="9620E63A">
      <w:start w:val="1"/>
      <w:numFmt w:val="lowerRoman"/>
      <w:lvlText w:val="%3."/>
      <w:lvlJc w:val="right"/>
      <w:pPr>
        <w:ind w:left="2160" w:hanging="180"/>
      </w:pPr>
    </w:lvl>
    <w:lvl w:ilvl="3" w:tplc="CF2C6340">
      <w:start w:val="1"/>
      <w:numFmt w:val="decimal"/>
      <w:lvlText w:val="%4."/>
      <w:lvlJc w:val="left"/>
      <w:pPr>
        <w:ind w:left="2880" w:hanging="360"/>
      </w:pPr>
    </w:lvl>
    <w:lvl w:ilvl="4" w:tplc="291ED0D6">
      <w:start w:val="1"/>
      <w:numFmt w:val="lowerLetter"/>
      <w:lvlText w:val="%5."/>
      <w:lvlJc w:val="left"/>
      <w:pPr>
        <w:ind w:left="3600" w:hanging="360"/>
      </w:pPr>
    </w:lvl>
    <w:lvl w:ilvl="5" w:tplc="53DCB9AA">
      <w:start w:val="1"/>
      <w:numFmt w:val="lowerRoman"/>
      <w:lvlText w:val="%6."/>
      <w:lvlJc w:val="right"/>
      <w:pPr>
        <w:ind w:left="4320" w:hanging="180"/>
      </w:pPr>
    </w:lvl>
    <w:lvl w:ilvl="6" w:tplc="2040BA74">
      <w:start w:val="1"/>
      <w:numFmt w:val="decimal"/>
      <w:lvlText w:val="%7."/>
      <w:lvlJc w:val="left"/>
      <w:pPr>
        <w:ind w:left="5040" w:hanging="360"/>
      </w:pPr>
    </w:lvl>
    <w:lvl w:ilvl="7" w:tplc="9C5027F6">
      <w:start w:val="1"/>
      <w:numFmt w:val="lowerLetter"/>
      <w:lvlText w:val="%8."/>
      <w:lvlJc w:val="left"/>
      <w:pPr>
        <w:ind w:left="5760" w:hanging="360"/>
      </w:pPr>
    </w:lvl>
    <w:lvl w:ilvl="8" w:tplc="924875E4">
      <w:start w:val="1"/>
      <w:numFmt w:val="lowerRoman"/>
      <w:lvlText w:val="%9."/>
      <w:lvlJc w:val="right"/>
      <w:pPr>
        <w:ind w:left="6480" w:hanging="180"/>
      </w:pPr>
    </w:lvl>
  </w:abstractNum>
  <w:abstractNum w:abstractNumId="66" w15:restartNumberingAfterBreak="0">
    <w:nsid w:val="5F75681A"/>
    <w:multiLevelType w:val="hybridMultilevel"/>
    <w:tmpl w:val="EEF01076"/>
    <w:lvl w:ilvl="0" w:tplc="CD00F344">
      <w:start w:val="1"/>
      <w:numFmt w:val="bullet"/>
      <w:lvlText w:val="-"/>
      <w:lvlJc w:val="left"/>
      <w:pPr>
        <w:ind w:left="1069" w:hanging="360"/>
      </w:pPr>
      <w:rPr>
        <w:rFonts w:ascii="Times New Roman" w:eastAsia="Times New Roman" w:hAnsi="Times New Roman" w:cs="Times New Roman" w:hint="default"/>
        <w:color w:val="auto"/>
      </w:rPr>
    </w:lvl>
    <w:lvl w:ilvl="1" w:tplc="40EE500E">
      <w:start w:val="1"/>
      <w:numFmt w:val="bullet"/>
      <w:lvlText w:val="o"/>
      <w:lvlJc w:val="left"/>
      <w:pPr>
        <w:ind w:left="1789" w:hanging="360"/>
      </w:pPr>
      <w:rPr>
        <w:rFonts w:ascii="Courier New" w:hAnsi="Courier New" w:cs="Courier New" w:hint="default"/>
      </w:rPr>
    </w:lvl>
    <w:lvl w:ilvl="2" w:tplc="7A1C01C0">
      <w:start w:val="1"/>
      <w:numFmt w:val="bullet"/>
      <w:lvlText w:val=""/>
      <w:lvlJc w:val="left"/>
      <w:pPr>
        <w:ind w:left="2509" w:hanging="360"/>
      </w:pPr>
      <w:rPr>
        <w:rFonts w:ascii="Wingdings" w:hAnsi="Wingdings" w:hint="default"/>
      </w:rPr>
    </w:lvl>
    <w:lvl w:ilvl="3" w:tplc="60868F34">
      <w:start w:val="1"/>
      <w:numFmt w:val="bullet"/>
      <w:lvlText w:val=""/>
      <w:lvlJc w:val="left"/>
      <w:pPr>
        <w:ind w:left="3229" w:hanging="360"/>
      </w:pPr>
      <w:rPr>
        <w:rFonts w:ascii="Symbol" w:hAnsi="Symbol" w:hint="default"/>
      </w:rPr>
    </w:lvl>
    <w:lvl w:ilvl="4" w:tplc="44A6FC3C">
      <w:start w:val="1"/>
      <w:numFmt w:val="bullet"/>
      <w:lvlText w:val="o"/>
      <w:lvlJc w:val="left"/>
      <w:pPr>
        <w:ind w:left="3949" w:hanging="360"/>
      </w:pPr>
      <w:rPr>
        <w:rFonts w:ascii="Courier New" w:hAnsi="Courier New" w:cs="Courier New" w:hint="default"/>
      </w:rPr>
    </w:lvl>
    <w:lvl w:ilvl="5" w:tplc="0CE4EB8C">
      <w:start w:val="1"/>
      <w:numFmt w:val="bullet"/>
      <w:lvlText w:val=""/>
      <w:lvlJc w:val="left"/>
      <w:pPr>
        <w:ind w:left="4669" w:hanging="360"/>
      </w:pPr>
      <w:rPr>
        <w:rFonts w:ascii="Wingdings" w:hAnsi="Wingdings" w:hint="default"/>
      </w:rPr>
    </w:lvl>
    <w:lvl w:ilvl="6" w:tplc="E6B08F44">
      <w:start w:val="1"/>
      <w:numFmt w:val="bullet"/>
      <w:lvlText w:val=""/>
      <w:lvlJc w:val="left"/>
      <w:pPr>
        <w:ind w:left="5389" w:hanging="360"/>
      </w:pPr>
      <w:rPr>
        <w:rFonts w:ascii="Symbol" w:hAnsi="Symbol" w:hint="default"/>
      </w:rPr>
    </w:lvl>
    <w:lvl w:ilvl="7" w:tplc="BDA8856E">
      <w:start w:val="1"/>
      <w:numFmt w:val="bullet"/>
      <w:lvlText w:val="o"/>
      <w:lvlJc w:val="left"/>
      <w:pPr>
        <w:ind w:left="6109" w:hanging="360"/>
      </w:pPr>
      <w:rPr>
        <w:rFonts w:ascii="Courier New" w:hAnsi="Courier New" w:cs="Courier New" w:hint="default"/>
      </w:rPr>
    </w:lvl>
    <w:lvl w:ilvl="8" w:tplc="4B0699DC">
      <w:start w:val="1"/>
      <w:numFmt w:val="bullet"/>
      <w:lvlText w:val=""/>
      <w:lvlJc w:val="left"/>
      <w:pPr>
        <w:ind w:left="6829" w:hanging="360"/>
      </w:pPr>
      <w:rPr>
        <w:rFonts w:ascii="Wingdings" w:hAnsi="Wingdings" w:hint="default"/>
      </w:rPr>
    </w:lvl>
  </w:abstractNum>
  <w:abstractNum w:abstractNumId="67" w15:restartNumberingAfterBreak="0">
    <w:nsid w:val="61D43F9C"/>
    <w:multiLevelType w:val="hybridMultilevel"/>
    <w:tmpl w:val="FFF29AD8"/>
    <w:lvl w:ilvl="0" w:tplc="E550F22E">
      <w:start w:val="1"/>
      <w:numFmt w:val="bullet"/>
      <w:lvlText w:val=""/>
      <w:lvlJc w:val="left"/>
      <w:pPr>
        <w:ind w:left="1429" w:hanging="360"/>
      </w:pPr>
      <w:rPr>
        <w:rFonts w:ascii="Symbol" w:hAnsi="Symbol" w:hint="default"/>
      </w:rPr>
    </w:lvl>
    <w:lvl w:ilvl="1" w:tplc="53487A16">
      <w:start w:val="1"/>
      <w:numFmt w:val="bullet"/>
      <w:lvlText w:val="o"/>
      <w:lvlJc w:val="left"/>
      <w:pPr>
        <w:ind w:left="2149" w:hanging="360"/>
      </w:pPr>
      <w:rPr>
        <w:rFonts w:ascii="Courier New" w:hAnsi="Courier New" w:cs="Courier New" w:hint="default"/>
      </w:rPr>
    </w:lvl>
    <w:lvl w:ilvl="2" w:tplc="3BE2985A">
      <w:start w:val="1"/>
      <w:numFmt w:val="bullet"/>
      <w:lvlText w:val=""/>
      <w:lvlJc w:val="left"/>
      <w:pPr>
        <w:ind w:left="2869" w:hanging="360"/>
      </w:pPr>
      <w:rPr>
        <w:rFonts w:ascii="Wingdings" w:hAnsi="Wingdings" w:hint="default"/>
      </w:rPr>
    </w:lvl>
    <w:lvl w:ilvl="3" w:tplc="30F0C4D8">
      <w:start w:val="1"/>
      <w:numFmt w:val="bullet"/>
      <w:lvlText w:val=""/>
      <w:lvlJc w:val="left"/>
      <w:pPr>
        <w:ind w:left="3589" w:hanging="360"/>
      </w:pPr>
      <w:rPr>
        <w:rFonts w:ascii="Symbol" w:hAnsi="Symbol" w:hint="default"/>
      </w:rPr>
    </w:lvl>
    <w:lvl w:ilvl="4" w:tplc="1DE2C1FA">
      <w:start w:val="1"/>
      <w:numFmt w:val="bullet"/>
      <w:lvlText w:val="o"/>
      <w:lvlJc w:val="left"/>
      <w:pPr>
        <w:ind w:left="4309" w:hanging="360"/>
      </w:pPr>
      <w:rPr>
        <w:rFonts w:ascii="Courier New" w:hAnsi="Courier New" w:cs="Courier New" w:hint="default"/>
      </w:rPr>
    </w:lvl>
    <w:lvl w:ilvl="5" w:tplc="19D69A9C">
      <w:start w:val="1"/>
      <w:numFmt w:val="bullet"/>
      <w:lvlText w:val=""/>
      <w:lvlJc w:val="left"/>
      <w:pPr>
        <w:ind w:left="5029" w:hanging="360"/>
      </w:pPr>
      <w:rPr>
        <w:rFonts w:ascii="Wingdings" w:hAnsi="Wingdings" w:hint="default"/>
      </w:rPr>
    </w:lvl>
    <w:lvl w:ilvl="6" w:tplc="CD387B52">
      <w:start w:val="1"/>
      <w:numFmt w:val="bullet"/>
      <w:lvlText w:val=""/>
      <w:lvlJc w:val="left"/>
      <w:pPr>
        <w:ind w:left="5749" w:hanging="360"/>
      </w:pPr>
      <w:rPr>
        <w:rFonts w:ascii="Symbol" w:hAnsi="Symbol" w:hint="default"/>
      </w:rPr>
    </w:lvl>
    <w:lvl w:ilvl="7" w:tplc="9E98B148">
      <w:start w:val="1"/>
      <w:numFmt w:val="bullet"/>
      <w:lvlText w:val="o"/>
      <w:lvlJc w:val="left"/>
      <w:pPr>
        <w:ind w:left="6469" w:hanging="360"/>
      </w:pPr>
      <w:rPr>
        <w:rFonts w:ascii="Courier New" w:hAnsi="Courier New" w:cs="Courier New" w:hint="default"/>
      </w:rPr>
    </w:lvl>
    <w:lvl w:ilvl="8" w:tplc="965E04A0">
      <w:start w:val="1"/>
      <w:numFmt w:val="bullet"/>
      <w:lvlText w:val=""/>
      <w:lvlJc w:val="left"/>
      <w:pPr>
        <w:ind w:left="7189" w:hanging="360"/>
      </w:pPr>
      <w:rPr>
        <w:rFonts w:ascii="Wingdings" w:hAnsi="Wingdings" w:hint="default"/>
      </w:rPr>
    </w:lvl>
  </w:abstractNum>
  <w:abstractNum w:abstractNumId="68" w15:restartNumberingAfterBreak="0">
    <w:nsid w:val="624E0C52"/>
    <w:multiLevelType w:val="hybridMultilevel"/>
    <w:tmpl w:val="A1965F70"/>
    <w:lvl w:ilvl="0" w:tplc="C6F437AE">
      <w:start w:val="1"/>
      <w:numFmt w:val="decimal"/>
      <w:lvlText w:val="%1)"/>
      <w:lvlJc w:val="left"/>
      <w:pPr>
        <w:ind w:left="720" w:hanging="360"/>
      </w:pPr>
    </w:lvl>
    <w:lvl w:ilvl="1" w:tplc="6EF2CDC6">
      <w:start w:val="1"/>
      <w:numFmt w:val="lowerLetter"/>
      <w:lvlText w:val="%2."/>
      <w:lvlJc w:val="left"/>
      <w:pPr>
        <w:ind w:left="1440" w:hanging="360"/>
      </w:pPr>
    </w:lvl>
    <w:lvl w:ilvl="2" w:tplc="D77AF124">
      <w:start w:val="1"/>
      <w:numFmt w:val="lowerRoman"/>
      <w:lvlText w:val="%3."/>
      <w:lvlJc w:val="right"/>
      <w:pPr>
        <w:ind w:left="2160" w:hanging="180"/>
      </w:pPr>
    </w:lvl>
    <w:lvl w:ilvl="3" w:tplc="B8CAD0E2">
      <w:start w:val="1"/>
      <w:numFmt w:val="decimal"/>
      <w:lvlText w:val="%4."/>
      <w:lvlJc w:val="left"/>
      <w:pPr>
        <w:ind w:left="2880" w:hanging="360"/>
      </w:pPr>
    </w:lvl>
    <w:lvl w:ilvl="4" w:tplc="E6DC0208">
      <w:start w:val="1"/>
      <w:numFmt w:val="lowerLetter"/>
      <w:lvlText w:val="%5."/>
      <w:lvlJc w:val="left"/>
      <w:pPr>
        <w:ind w:left="3600" w:hanging="360"/>
      </w:pPr>
    </w:lvl>
    <w:lvl w:ilvl="5" w:tplc="33F4A132">
      <w:start w:val="1"/>
      <w:numFmt w:val="lowerRoman"/>
      <w:lvlText w:val="%6."/>
      <w:lvlJc w:val="right"/>
      <w:pPr>
        <w:ind w:left="4320" w:hanging="180"/>
      </w:pPr>
    </w:lvl>
    <w:lvl w:ilvl="6" w:tplc="81F0749E">
      <w:start w:val="1"/>
      <w:numFmt w:val="decimal"/>
      <w:lvlText w:val="%7."/>
      <w:lvlJc w:val="left"/>
      <w:pPr>
        <w:ind w:left="5040" w:hanging="360"/>
      </w:pPr>
    </w:lvl>
    <w:lvl w:ilvl="7" w:tplc="39D28E50">
      <w:start w:val="1"/>
      <w:numFmt w:val="lowerLetter"/>
      <w:lvlText w:val="%8."/>
      <w:lvlJc w:val="left"/>
      <w:pPr>
        <w:ind w:left="5760" w:hanging="360"/>
      </w:pPr>
    </w:lvl>
    <w:lvl w:ilvl="8" w:tplc="3D1CDEDA">
      <w:start w:val="1"/>
      <w:numFmt w:val="lowerRoman"/>
      <w:lvlText w:val="%9."/>
      <w:lvlJc w:val="right"/>
      <w:pPr>
        <w:ind w:left="6480" w:hanging="180"/>
      </w:pPr>
    </w:lvl>
  </w:abstractNum>
  <w:abstractNum w:abstractNumId="69" w15:restartNumberingAfterBreak="0">
    <w:nsid w:val="63475D47"/>
    <w:multiLevelType w:val="hybridMultilevel"/>
    <w:tmpl w:val="7E0AB206"/>
    <w:lvl w:ilvl="0" w:tplc="062AD482">
      <w:start w:val="1"/>
      <w:numFmt w:val="decimal"/>
      <w:lvlText w:val="%1."/>
      <w:lvlJc w:val="left"/>
      <w:pPr>
        <w:ind w:left="928" w:hanging="360"/>
      </w:pPr>
      <w:rPr>
        <w:rFonts w:hint="default"/>
      </w:rPr>
    </w:lvl>
    <w:lvl w:ilvl="1" w:tplc="10805770">
      <w:start w:val="1"/>
      <w:numFmt w:val="lowerLetter"/>
      <w:lvlText w:val="%2."/>
      <w:lvlJc w:val="left"/>
      <w:pPr>
        <w:ind w:left="1647" w:hanging="360"/>
      </w:pPr>
    </w:lvl>
    <w:lvl w:ilvl="2" w:tplc="F4342A88">
      <w:start w:val="1"/>
      <w:numFmt w:val="lowerRoman"/>
      <w:lvlText w:val="%3."/>
      <w:lvlJc w:val="right"/>
      <w:pPr>
        <w:ind w:left="2367" w:hanging="180"/>
      </w:pPr>
    </w:lvl>
    <w:lvl w:ilvl="3" w:tplc="32E25472">
      <w:start w:val="1"/>
      <w:numFmt w:val="decimal"/>
      <w:lvlText w:val="%4."/>
      <w:lvlJc w:val="left"/>
      <w:pPr>
        <w:ind w:left="3087" w:hanging="360"/>
      </w:pPr>
    </w:lvl>
    <w:lvl w:ilvl="4" w:tplc="07382B48">
      <w:start w:val="1"/>
      <w:numFmt w:val="lowerLetter"/>
      <w:lvlText w:val="%5."/>
      <w:lvlJc w:val="left"/>
      <w:pPr>
        <w:ind w:left="3807" w:hanging="360"/>
      </w:pPr>
    </w:lvl>
    <w:lvl w:ilvl="5" w:tplc="E32469CE">
      <w:start w:val="1"/>
      <w:numFmt w:val="lowerRoman"/>
      <w:lvlText w:val="%6."/>
      <w:lvlJc w:val="right"/>
      <w:pPr>
        <w:ind w:left="4527" w:hanging="180"/>
      </w:pPr>
    </w:lvl>
    <w:lvl w:ilvl="6" w:tplc="8438F278">
      <w:start w:val="1"/>
      <w:numFmt w:val="decimal"/>
      <w:lvlText w:val="%7."/>
      <w:lvlJc w:val="left"/>
      <w:pPr>
        <w:ind w:left="5247" w:hanging="360"/>
      </w:pPr>
    </w:lvl>
    <w:lvl w:ilvl="7" w:tplc="96608EA6">
      <w:start w:val="1"/>
      <w:numFmt w:val="lowerLetter"/>
      <w:lvlText w:val="%8."/>
      <w:lvlJc w:val="left"/>
      <w:pPr>
        <w:ind w:left="5967" w:hanging="360"/>
      </w:pPr>
    </w:lvl>
    <w:lvl w:ilvl="8" w:tplc="153E57F4">
      <w:start w:val="1"/>
      <w:numFmt w:val="lowerRoman"/>
      <w:lvlText w:val="%9."/>
      <w:lvlJc w:val="right"/>
      <w:pPr>
        <w:ind w:left="6687" w:hanging="180"/>
      </w:pPr>
    </w:lvl>
  </w:abstractNum>
  <w:abstractNum w:abstractNumId="70" w15:restartNumberingAfterBreak="0">
    <w:nsid w:val="643A402A"/>
    <w:multiLevelType w:val="hybridMultilevel"/>
    <w:tmpl w:val="77CC3724"/>
    <w:lvl w:ilvl="0" w:tplc="B27261C4">
      <w:start w:val="1"/>
      <w:numFmt w:val="bullet"/>
      <w:lvlText w:val=""/>
      <w:lvlJc w:val="left"/>
      <w:pPr>
        <w:ind w:left="1429" w:hanging="360"/>
      </w:pPr>
      <w:rPr>
        <w:rFonts w:ascii="Symbol" w:hAnsi="Symbol" w:hint="default"/>
      </w:rPr>
    </w:lvl>
    <w:lvl w:ilvl="1" w:tplc="0DE2073C">
      <w:start w:val="1"/>
      <w:numFmt w:val="bullet"/>
      <w:lvlText w:val="o"/>
      <w:lvlJc w:val="left"/>
      <w:pPr>
        <w:ind w:left="2149" w:hanging="360"/>
      </w:pPr>
      <w:rPr>
        <w:rFonts w:ascii="Courier New" w:hAnsi="Courier New" w:cs="Courier New" w:hint="default"/>
      </w:rPr>
    </w:lvl>
    <w:lvl w:ilvl="2" w:tplc="016CC606">
      <w:start w:val="1"/>
      <w:numFmt w:val="bullet"/>
      <w:lvlText w:val=""/>
      <w:lvlJc w:val="left"/>
      <w:pPr>
        <w:ind w:left="2869" w:hanging="360"/>
      </w:pPr>
      <w:rPr>
        <w:rFonts w:ascii="Wingdings" w:hAnsi="Wingdings" w:hint="default"/>
      </w:rPr>
    </w:lvl>
    <w:lvl w:ilvl="3" w:tplc="77F68FBA">
      <w:start w:val="1"/>
      <w:numFmt w:val="bullet"/>
      <w:lvlText w:val=""/>
      <w:lvlJc w:val="left"/>
      <w:pPr>
        <w:ind w:left="3589" w:hanging="360"/>
      </w:pPr>
      <w:rPr>
        <w:rFonts w:ascii="Symbol" w:hAnsi="Symbol" w:hint="default"/>
      </w:rPr>
    </w:lvl>
    <w:lvl w:ilvl="4" w:tplc="773EFFA2">
      <w:start w:val="1"/>
      <w:numFmt w:val="bullet"/>
      <w:lvlText w:val="o"/>
      <w:lvlJc w:val="left"/>
      <w:pPr>
        <w:ind w:left="4309" w:hanging="360"/>
      </w:pPr>
      <w:rPr>
        <w:rFonts w:ascii="Courier New" w:hAnsi="Courier New" w:cs="Courier New" w:hint="default"/>
      </w:rPr>
    </w:lvl>
    <w:lvl w:ilvl="5" w:tplc="A21440F4">
      <w:start w:val="1"/>
      <w:numFmt w:val="bullet"/>
      <w:lvlText w:val=""/>
      <w:lvlJc w:val="left"/>
      <w:pPr>
        <w:ind w:left="5029" w:hanging="360"/>
      </w:pPr>
      <w:rPr>
        <w:rFonts w:ascii="Wingdings" w:hAnsi="Wingdings" w:hint="default"/>
      </w:rPr>
    </w:lvl>
    <w:lvl w:ilvl="6" w:tplc="3C029D40">
      <w:start w:val="1"/>
      <w:numFmt w:val="bullet"/>
      <w:lvlText w:val=""/>
      <w:lvlJc w:val="left"/>
      <w:pPr>
        <w:ind w:left="5749" w:hanging="360"/>
      </w:pPr>
      <w:rPr>
        <w:rFonts w:ascii="Symbol" w:hAnsi="Symbol" w:hint="default"/>
      </w:rPr>
    </w:lvl>
    <w:lvl w:ilvl="7" w:tplc="2DA0A4BC">
      <w:start w:val="1"/>
      <w:numFmt w:val="bullet"/>
      <w:lvlText w:val="o"/>
      <w:lvlJc w:val="left"/>
      <w:pPr>
        <w:ind w:left="6469" w:hanging="360"/>
      </w:pPr>
      <w:rPr>
        <w:rFonts w:ascii="Courier New" w:hAnsi="Courier New" w:cs="Courier New" w:hint="default"/>
      </w:rPr>
    </w:lvl>
    <w:lvl w:ilvl="8" w:tplc="31E0E4AA">
      <w:start w:val="1"/>
      <w:numFmt w:val="bullet"/>
      <w:lvlText w:val=""/>
      <w:lvlJc w:val="left"/>
      <w:pPr>
        <w:ind w:left="7189" w:hanging="360"/>
      </w:pPr>
      <w:rPr>
        <w:rFonts w:ascii="Wingdings" w:hAnsi="Wingdings" w:hint="default"/>
      </w:rPr>
    </w:lvl>
  </w:abstractNum>
  <w:abstractNum w:abstractNumId="71" w15:restartNumberingAfterBreak="0">
    <w:nsid w:val="6459748C"/>
    <w:multiLevelType w:val="hybridMultilevel"/>
    <w:tmpl w:val="EFAAD236"/>
    <w:lvl w:ilvl="0" w:tplc="FF4CCA86">
      <w:start w:val="1"/>
      <w:numFmt w:val="bullet"/>
      <w:lvlText w:val="·"/>
      <w:lvlJc w:val="left"/>
      <w:pPr>
        <w:ind w:left="720" w:hanging="360"/>
      </w:pPr>
      <w:rPr>
        <w:rFonts w:ascii="Symbol" w:eastAsia="Symbol" w:hAnsi="Symbol" w:cs="Symbol" w:hint="default"/>
        <w:highlight w:val="none"/>
      </w:rPr>
    </w:lvl>
    <w:lvl w:ilvl="1" w:tplc="070E225A">
      <w:start w:val="1"/>
      <w:numFmt w:val="bullet"/>
      <w:lvlText w:val="o"/>
      <w:lvlJc w:val="left"/>
      <w:pPr>
        <w:ind w:left="1440" w:hanging="360"/>
      </w:pPr>
      <w:rPr>
        <w:rFonts w:ascii="Courier New" w:eastAsia="Courier New" w:hAnsi="Courier New" w:cs="Courier New" w:hint="default"/>
      </w:rPr>
    </w:lvl>
    <w:lvl w:ilvl="2" w:tplc="3BDE1C66">
      <w:start w:val="1"/>
      <w:numFmt w:val="bullet"/>
      <w:lvlText w:val="§"/>
      <w:lvlJc w:val="left"/>
      <w:pPr>
        <w:ind w:left="2160" w:hanging="360"/>
      </w:pPr>
      <w:rPr>
        <w:rFonts w:ascii="Wingdings" w:eastAsia="Wingdings" w:hAnsi="Wingdings" w:cs="Wingdings" w:hint="default"/>
      </w:rPr>
    </w:lvl>
    <w:lvl w:ilvl="3" w:tplc="D94E4736">
      <w:start w:val="1"/>
      <w:numFmt w:val="bullet"/>
      <w:lvlText w:val="·"/>
      <w:lvlJc w:val="left"/>
      <w:pPr>
        <w:ind w:left="2880" w:hanging="360"/>
      </w:pPr>
      <w:rPr>
        <w:rFonts w:ascii="Symbol" w:eastAsia="Symbol" w:hAnsi="Symbol" w:cs="Symbol" w:hint="default"/>
      </w:rPr>
    </w:lvl>
    <w:lvl w:ilvl="4" w:tplc="66868EF0">
      <w:start w:val="1"/>
      <w:numFmt w:val="bullet"/>
      <w:lvlText w:val="o"/>
      <w:lvlJc w:val="left"/>
      <w:pPr>
        <w:ind w:left="3600" w:hanging="360"/>
      </w:pPr>
      <w:rPr>
        <w:rFonts w:ascii="Courier New" w:eastAsia="Courier New" w:hAnsi="Courier New" w:cs="Courier New" w:hint="default"/>
      </w:rPr>
    </w:lvl>
    <w:lvl w:ilvl="5" w:tplc="F9889FA6">
      <w:start w:val="1"/>
      <w:numFmt w:val="bullet"/>
      <w:lvlText w:val="§"/>
      <w:lvlJc w:val="left"/>
      <w:pPr>
        <w:ind w:left="4320" w:hanging="360"/>
      </w:pPr>
      <w:rPr>
        <w:rFonts w:ascii="Wingdings" w:eastAsia="Wingdings" w:hAnsi="Wingdings" w:cs="Wingdings" w:hint="default"/>
      </w:rPr>
    </w:lvl>
    <w:lvl w:ilvl="6" w:tplc="239EBAEA">
      <w:start w:val="1"/>
      <w:numFmt w:val="bullet"/>
      <w:lvlText w:val="·"/>
      <w:lvlJc w:val="left"/>
      <w:pPr>
        <w:ind w:left="5040" w:hanging="360"/>
      </w:pPr>
      <w:rPr>
        <w:rFonts w:ascii="Symbol" w:eastAsia="Symbol" w:hAnsi="Symbol" w:cs="Symbol" w:hint="default"/>
      </w:rPr>
    </w:lvl>
    <w:lvl w:ilvl="7" w:tplc="58008C5E">
      <w:start w:val="1"/>
      <w:numFmt w:val="bullet"/>
      <w:lvlText w:val="o"/>
      <w:lvlJc w:val="left"/>
      <w:pPr>
        <w:ind w:left="5760" w:hanging="360"/>
      </w:pPr>
      <w:rPr>
        <w:rFonts w:ascii="Courier New" w:eastAsia="Courier New" w:hAnsi="Courier New" w:cs="Courier New" w:hint="default"/>
      </w:rPr>
    </w:lvl>
    <w:lvl w:ilvl="8" w:tplc="584CE210">
      <w:start w:val="1"/>
      <w:numFmt w:val="bullet"/>
      <w:lvlText w:val="§"/>
      <w:lvlJc w:val="left"/>
      <w:pPr>
        <w:ind w:left="6480" w:hanging="360"/>
      </w:pPr>
      <w:rPr>
        <w:rFonts w:ascii="Wingdings" w:eastAsia="Wingdings" w:hAnsi="Wingdings" w:cs="Wingdings" w:hint="default"/>
      </w:rPr>
    </w:lvl>
  </w:abstractNum>
  <w:abstractNum w:abstractNumId="72" w15:restartNumberingAfterBreak="0">
    <w:nsid w:val="679C1700"/>
    <w:multiLevelType w:val="multilevel"/>
    <w:tmpl w:val="5ADE490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ascii="Times New Roman" w:hAnsi="Times New Roman" w:hint="default"/>
        <w:sz w:val="24"/>
      </w:rPr>
    </w:lvl>
    <w:lvl w:ilvl="2">
      <w:start w:val="1"/>
      <w:numFmt w:val="bullet"/>
      <w:pStyle w:val="00"/>
      <w:lvlText w:val=""/>
      <w:lvlJc w:val="left"/>
      <w:pPr>
        <w:tabs>
          <w:tab w:val="num" w:pos="360"/>
        </w:tabs>
        <w:ind w:left="360" w:hanging="360"/>
      </w:pPr>
      <w:rPr>
        <w:rFonts w:ascii="Wingdings" w:hAnsi="Wingding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68F53A76"/>
    <w:multiLevelType w:val="hybridMultilevel"/>
    <w:tmpl w:val="0C34A862"/>
    <w:lvl w:ilvl="0" w:tplc="456CA8F2">
      <w:start w:val="1"/>
      <w:numFmt w:val="bullet"/>
      <w:lvlText w:val="–"/>
      <w:lvlJc w:val="left"/>
      <w:pPr>
        <w:ind w:left="1418" w:hanging="360"/>
      </w:pPr>
      <w:rPr>
        <w:rFonts w:ascii="Arial" w:eastAsia="Arial" w:hAnsi="Arial" w:cs="Arial" w:hint="default"/>
      </w:rPr>
    </w:lvl>
    <w:lvl w:ilvl="1" w:tplc="CEA41404">
      <w:start w:val="1"/>
      <w:numFmt w:val="bullet"/>
      <w:lvlText w:val="o"/>
      <w:lvlJc w:val="left"/>
      <w:pPr>
        <w:ind w:left="2138" w:hanging="360"/>
      </w:pPr>
      <w:rPr>
        <w:rFonts w:ascii="Courier New" w:eastAsia="Courier New" w:hAnsi="Courier New" w:cs="Courier New" w:hint="default"/>
      </w:rPr>
    </w:lvl>
    <w:lvl w:ilvl="2" w:tplc="21A6567E">
      <w:start w:val="1"/>
      <w:numFmt w:val="bullet"/>
      <w:lvlText w:val="§"/>
      <w:lvlJc w:val="left"/>
      <w:pPr>
        <w:ind w:left="2858" w:hanging="360"/>
      </w:pPr>
      <w:rPr>
        <w:rFonts w:ascii="Wingdings" w:eastAsia="Wingdings" w:hAnsi="Wingdings" w:cs="Wingdings" w:hint="default"/>
      </w:rPr>
    </w:lvl>
    <w:lvl w:ilvl="3" w:tplc="9B8A83B2">
      <w:start w:val="1"/>
      <w:numFmt w:val="bullet"/>
      <w:lvlText w:val="·"/>
      <w:lvlJc w:val="left"/>
      <w:pPr>
        <w:ind w:left="3578" w:hanging="360"/>
      </w:pPr>
      <w:rPr>
        <w:rFonts w:ascii="Symbol" w:eastAsia="Symbol" w:hAnsi="Symbol" w:cs="Symbol" w:hint="default"/>
      </w:rPr>
    </w:lvl>
    <w:lvl w:ilvl="4" w:tplc="E1865E50">
      <w:start w:val="1"/>
      <w:numFmt w:val="bullet"/>
      <w:lvlText w:val="o"/>
      <w:lvlJc w:val="left"/>
      <w:pPr>
        <w:ind w:left="4298" w:hanging="360"/>
      </w:pPr>
      <w:rPr>
        <w:rFonts w:ascii="Courier New" w:eastAsia="Courier New" w:hAnsi="Courier New" w:cs="Courier New" w:hint="default"/>
      </w:rPr>
    </w:lvl>
    <w:lvl w:ilvl="5" w:tplc="90964326">
      <w:start w:val="1"/>
      <w:numFmt w:val="bullet"/>
      <w:lvlText w:val="§"/>
      <w:lvlJc w:val="left"/>
      <w:pPr>
        <w:ind w:left="5018" w:hanging="360"/>
      </w:pPr>
      <w:rPr>
        <w:rFonts w:ascii="Wingdings" w:eastAsia="Wingdings" w:hAnsi="Wingdings" w:cs="Wingdings" w:hint="default"/>
      </w:rPr>
    </w:lvl>
    <w:lvl w:ilvl="6" w:tplc="5DF63F0E">
      <w:start w:val="1"/>
      <w:numFmt w:val="bullet"/>
      <w:lvlText w:val="·"/>
      <w:lvlJc w:val="left"/>
      <w:pPr>
        <w:ind w:left="5738" w:hanging="360"/>
      </w:pPr>
      <w:rPr>
        <w:rFonts w:ascii="Symbol" w:eastAsia="Symbol" w:hAnsi="Symbol" w:cs="Symbol" w:hint="default"/>
      </w:rPr>
    </w:lvl>
    <w:lvl w:ilvl="7" w:tplc="709C8036">
      <w:start w:val="1"/>
      <w:numFmt w:val="bullet"/>
      <w:lvlText w:val="o"/>
      <w:lvlJc w:val="left"/>
      <w:pPr>
        <w:ind w:left="6458" w:hanging="360"/>
      </w:pPr>
      <w:rPr>
        <w:rFonts w:ascii="Courier New" w:eastAsia="Courier New" w:hAnsi="Courier New" w:cs="Courier New" w:hint="default"/>
      </w:rPr>
    </w:lvl>
    <w:lvl w:ilvl="8" w:tplc="FD22B64E">
      <w:start w:val="1"/>
      <w:numFmt w:val="bullet"/>
      <w:lvlText w:val="§"/>
      <w:lvlJc w:val="left"/>
      <w:pPr>
        <w:ind w:left="7178" w:hanging="360"/>
      </w:pPr>
      <w:rPr>
        <w:rFonts w:ascii="Wingdings" w:eastAsia="Wingdings" w:hAnsi="Wingdings" w:cs="Wingdings" w:hint="default"/>
      </w:rPr>
    </w:lvl>
  </w:abstractNum>
  <w:abstractNum w:abstractNumId="74" w15:restartNumberingAfterBreak="0">
    <w:nsid w:val="69116BF3"/>
    <w:multiLevelType w:val="hybridMultilevel"/>
    <w:tmpl w:val="1AD49020"/>
    <w:lvl w:ilvl="0" w:tplc="993C07BE">
      <w:start w:val="1"/>
      <w:numFmt w:val="bullet"/>
      <w:lvlText w:val="–"/>
      <w:lvlJc w:val="left"/>
      <w:pPr>
        <w:ind w:left="1418" w:hanging="360"/>
      </w:pPr>
      <w:rPr>
        <w:rFonts w:ascii="Arial" w:eastAsia="Arial" w:hAnsi="Arial" w:cs="Arial" w:hint="default"/>
      </w:rPr>
    </w:lvl>
    <w:lvl w:ilvl="1" w:tplc="76A64868">
      <w:start w:val="1"/>
      <w:numFmt w:val="bullet"/>
      <w:lvlText w:val="o"/>
      <w:lvlJc w:val="left"/>
      <w:pPr>
        <w:ind w:left="2138" w:hanging="360"/>
      </w:pPr>
      <w:rPr>
        <w:rFonts w:ascii="Courier New" w:eastAsia="Courier New" w:hAnsi="Courier New" w:cs="Courier New" w:hint="default"/>
      </w:rPr>
    </w:lvl>
    <w:lvl w:ilvl="2" w:tplc="3236B5C8">
      <w:start w:val="1"/>
      <w:numFmt w:val="bullet"/>
      <w:lvlText w:val="§"/>
      <w:lvlJc w:val="left"/>
      <w:pPr>
        <w:ind w:left="2858" w:hanging="360"/>
      </w:pPr>
      <w:rPr>
        <w:rFonts w:ascii="Wingdings" w:eastAsia="Wingdings" w:hAnsi="Wingdings" w:cs="Wingdings" w:hint="default"/>
      </w:rPr>
    </w:lvl>
    <w:lvl w:ilvl="3" w:tplc="57667818">
      <w:start w:val="1"/>
      <w:numFmt w:val="bullet"/>
      <w:lvlText w:val="·"/>
      <w:lvlJc w:val="left"/>
      <w:pPr>
        <w:ind w:left="3578" w:hanging="360"/>
      </w:pPr>
      <w:rPr>
        <w:rFonts w:ascii="Symbol" w:eastAsia="Symbol" w:hAnsi="Symbol" w:cs="Symbol" w:hint="default"/>
      </w:rPr>
    </w:lvl>
    <w:lvl w:ilvl="4" w:tplc="CC240148">
      <w:start w:val="1"/>
      <w:numFmt w:val="bullet"/>
      <w:lvlText w:val="o"/>
      <w:lvlJc w:val="left"/>
      <w:pPr>
        <w:ind w:left="4298" w:hanging="360"/>
      </w:pPr>
      <w:rPr>
        <w:rFonts w:ascii="Courier New" w:eastAsia="Courier New" w:hAnsi="Courier New" w:cs="Courier New" w:hint="default"/>
      </w:rPr>
    </w:lvl>
    <w:lvl w:ilvl="5" w:tplc="67D01DF8">
      <w:start w:val="1"/>
      <w:numFmt w:val="bullet"/>
      <w:lvlText w:val="§"/>
      <w:lvlJc w:val="left"/>
      <w:pPr>
        <w:ind w:left="5018" w:hanging="360"/>
      </w:pPr>
      <w:rPr>
        <w:rFonts w:ascii="Wingdings" w:eastAsia="Wingdings" w:hAnsi="Wingdings" w:cs="Wingdings" w:hint="default"/>
      </w:rPr>
    </w:lvl>
    <w:lvl w:ilvl="6" w:tplc="0338BC1C">
      <w:start w:val="1"/>
      <w:numFmt w:val="bullet"/>
      <w:lvlText w:val="·"/>
      <w:lvlJc w:val="left"/>
      <w:pPr>
        <w:ind w:left="5738" w:hanging="360"/>
      </w:pPr>
      <w:rPr>
        <w:rFonts w:ascii="Symbol" w:eastAsia="Symbol" w:hAnsi="Symbol" w:cs="Symbol" w:hint="default"/>
      </w:rPr>
    </w:lvl>
    <w:lvl w:ilvl="7" w:tplc="28E2B4A2">
      <w:start w:val="1"/>
      <w:numFmt w:val="bullet"/>
      <w:lvlText w:val="o"/>
      <w:lvlJc w:val="left"/>
      <w:pPr>
        <w:ind w:left="6458" w:hanging="360"/>
      </w:pPr>
      <w:rPr>
        <w:rFonts w:ascii="Courier New" w:eastAsia="Courier New" w:hAnsi="Courier New" w:cs="Courier New" w:hint="default"/>
      </w:rPr>
    </w:lvl>
    <w:lvl w:ilvl="8" w:tplc="5AE68A68">
      <w:start w:val="1"/>
      <w:numFmt w:val="bullet"/>
      <w:lvlText w:val="§"/>
      <w:lvlJc w:val="left"/>
      <w:pPr>
        <w:ind w:left="7178" w:hanging="360"/>
      </w:pPr>
      <w:rPr>
        <w:rFonts w:ascii="Wingdings" w:eastAsia="Wingdings" w:hAnsi="Wingdings" w:cs="Wingdings" w:hint="default"/>
      </w:rPr>
    </w:lvl>
  </w:abstractNum>
  <w:abstractNum w:abstractNumId="75" w15:restartNumberingAfterBreak="0">
    <w:nsid w:val="698C72B5"/>
    <w:multiLevelType w:val="hybridMultilevel"/>
    <w:tmpl w:val="D772C10A"/>
    <w:lvl w:ilvl="0" w:tplc="298EB36A">
      <w:start w:val="1"/>
      <w:numFmt w:val="bullet"/>
      <w:lvlText w:val=""/>
      <w:lvlJc w:val="left"/>
      <w:pPr>
        <w:ind w:left="1429" w:hanging="360"/>
      </w:pPr>
      <w:rPr>
        <w:rFonts w:ascii="Symbol" w:hAnsi="Symbol" w:hint="default"/>
      </w:rPr>
    </w:lvl>
    <w:lvl w:ilvl="1" w:tplc="5DD08144">
      <w:start w:val="1"/>
      <w:numFmt w:val="bullet"/>
      <w:lvlText w:val="o"/>
      <w:lvlJc w:val="left"/>
      <w:pPr>
        <w:ind w:left="2149" w:hanging="360"/>
      </w:pPr>
      <w:rPr>
        <w:rFonts w:ascii="Courier New" w:hAnsi="Courier New" w:cs="Courier New" w:hint="default"/>
      </w:rPr>
    </w:lvl>
    <w:lvl w:ilvl="2" w:tplc="939440A4">
      <w:start w:val="1"/>
      <w:numFmt w:val="bullet"/>
      <w:lvlText w:val=""/>
      <w:lvlJc w:val="left"/>
      <w:pPr>
        <w:ind w:left="501" w:hanging="360"/>
      </w:pPr>
      <w:rPr>
        <w:rFonts w:ascii="Symbol" w:hAnsi="Symbol" w:hint="default"/>
      </w:rPr>
    </w:lvl>
    <w:lvl w:ilvl="3" w:tplc="22A2141A">
      <w:start w:val="1"/>
      <w:numFmt w:val="bullet"/>
      <w:lvlText w:val=""/>
      <w:lvlJc w:val="left"/>
      <w:pPr>
        <w:ind w:left="3589" w:hanging="360"/>
      </w:pPr>
      <w:rPr>
        <w:rFonts w:ascii="Symbol" w:hAnsi="Symbol" w:hint="default"/>
      </w:rPr>
    </w:lvl>
    <w:lvl w:ilvl="4" w:tplc="920A0B6C">
      <w:start w:val="1"/>
      <w:numFmt w:val="bullet"/>
      <w:lvlText w:val="o"/>
      <w:lvlJc w:val="left"/>
      <w:pPr>
        <w:ind w:left="4309" w:hanging="360"/>
      </w:pPr>
      <w:rPr>
        <w:rFonts w:ascii="Courier New" w:hAnsi="Courier New" w:cs="Courier New" w:hint="default"/>
      </w:rPr>
    </w:lvl>
    <w:lvl w:ilvl="5" w:tplc="A1E44A22">
      <w:start w:val="1"/>
      <w:numFmt w:val="bullet"/>
      <w:lvlText w:val=""/>
      <w:lvlJc w:val="left"/>
      <w:pPr>
        <w:ind w:left="5029" w:hanging="360"/>
      </w:pPr>
      <w:rPr>
        <w:rFonts w:ascii="Wingdings" w:hAnsi="Wingdings" w:hint="default"/>
      </w:rPr>
    </w:lvl>
    <w:lvl w:ilvl="6" w:tplc="6EB8E94A">
      <w:start w:val="1"/>
      <w:numFmt w:val="bullet"/>
      <w:lvlText w:val=""/>
      <w:lvlJc w:val="left"/>
      <w:pPr>
        <w:ind w:left="5749" w:hanging="360"/>
      </w:pPr>
      <w:rPr>
        <w:rFonts w:ascii="Symbol" w:hAnsi="Symbol" w:hint="default"/>
      </w:rPr>
    </w:lvl>
    <w:lvl w:ilvl="7" w:tplc="3CFAD19E">
      <w:start w:val="1"/>
      <w:numFmt w:val="bullet"/>
      <w:lvlText w:val="o"/>
      <w:lvlJc w:val="left"/>
      <w:pPr>
        <w:ind w:left="6469" w:hanging="360"/>
      </w:pPr>
      <w:rPr>
        <w:rFonts w:ascii="Courier New" w:hAnsi="Courier New" w:cs="Courier New" w:hint="default"/>
      </w:rPr>
    </w:lvl>
    <w:lvl w:ilvl="8" w:tplc="20326EC0">
      <w:start w:val="1"/>
      <w:numFmt w:val="bullet"/>
      <w:lvlText w:val=""/>
      <w:lvlJc w:val="left"/>
      <w:pPr>
        <w:ind w:left="7189" w:hanging="360"/>
      </w:pPr>
      <w:rPr>
        <w:rFonts w:ascii="Wingdings" w:hAnsi="Wingdings" w:hint="default"/>
      </w:rPr>
    </w:lvl>
  </w:abstractNum>
  <w:abstractNum w:abstractNumId="76" w15:restartNumberingAfterBreak="0">
    <w:nsid w:val="6A7C6873"/>
    <w:multiLevelType w:val="hybridMultilevel"/>
    <w:tmpl w:val="A3CA2110"/>
    <w:lvl w:ilvl="0" w:tplc="E0E8D778">
      <w:start w:val="1"/>
      <w:numFmt w:val="decimal"/>
      <w:lvlText w:val="%1)"/>
      <w:lvlJc w:val="left"/>
      <w:pPr>
        <w:ind w:left="720" w:hanging="360"/>
      </w:pPr>
    </w:lvl>
    <w:lvl w:ilvl="1" w:tplc="ACBEAAFC">
      <w:start w:val="1"/>
      <w:numFmt w:val="lowerLetter"/>
      <w:lvlText w:val="%2."/>
      <w:lvlJc w:val="left"/>
      <w:pPr>
        <w:ind w:left="1440" w:hanging="360"/>
      </w:pPr>
    </w:lvl>
    <w:lvl w:ilvl="2" w:tplc="23408F50">
      <w:start w:val="1"/>
      <w:numFmt w:val="lowerRoman"/>
      <w:lvlText w:val="%3."/>
      <w:lvlJc w:val="right"/>
      <w:pPr>
        <w:ind w:left="2160" w:hanging="180"/>
      </w:pPr>
    </w:lvl>
    <w:lvl w:ilvl="3" w:tplc="780ABCEE">
      <w:start w:val="1"/>
      <w:numFmt w:val="decimal"/>
      <w:lvlText w:val="%4."/>
      <w:lvlJc w:val="left"/>
      <w:pPr>
        <w:ind w:left="2880" w:hanging="360"/>
      </w:pPr>
    </w:lvl>
    <w:lvl w:ilvl="4" w:tplc="A3E4D826">
      <w:start w:val="1"/>
      <w:numFmt w:val="lowerLetter"/>
      <w:lvlText w:val="%5."/>
      <w:lvlJc w:val="left"/>
      <w:pPr>
        <w:ind w:left="3600" w:hanging="360"/>
      </w:pPr>
    </w:lvl>
    <w:lvl w:ilvl="5" w:tplc="A81241CC">
      <w:start w:val="1"/>
      <w:numFmt w:val="lowerRoman"/>
      <w:lvlText w:val="%6."/>
      <w:lvlJc w:val="right"/>
      <w:pPr>
        <w:ind w:left="4320" w:hanging="180"/>
      </w:pPr>
    </w:lvl>
    <w:lvl w:ilvl="6" w:tplc="BCEC52F0">
      <w:start w:val="1"/>
      <w:numFmt w:val="decimal"/>
      <w:lvlText w:val="%7."/>
      <w:lvlJc w:val="left"/>
      <w:pPr>
        <w:ind w:left="5040" w:hanging="360"/>
      </w:pPr>
    </w:lvl>
    <w:lvl w:ilvl="7" w:tplc="15E8EE9E">
      <w:start w:val="1"/>
      <w:numFmt w:val="lowerLetter"/>
      <w:lvlText w:val="%8."/>
      <w:lvlJc w:val="left"/>
      <w:pPr>
        <w:ind w:left="5760" w:hanging="360"/>
      </w:pPr>
    </w:lvl>
    <w:lvl w:ilvl="8" w:tplc="C7F22E70">
      <w:start w:val="1"/>
      <w:numFmt w:val="lowerRoman"/>
      <w:lvlText w:val="%9."/>
      <w:lvlJc w:val="right"/>
      <w:pPr>
        <w:ind w:left="6480" w:hanging="180"/>
      </w:pPr>
    </w:lvl>
  </w:abstractNum>
  <w:abstractNum w:abstractNumId="77" w15:restartNumberingAfterBreak="0">
    <w:nsid w:val="6C7647DC"/>
    <w:multiLevelType w:val="hybridMultilevel"/>
    <w:tmpl w:val="0BF05576"/>
    <w:lvl w:ilvl="0" w:tplc="106E9A6A">
      <w:start w:val="1"/>
      <w:numFmt w:val="bullet"/>
      <w:lvlText w:val=""/>
      <w:lvlJc w:val="left"/>
      <w:pPr>
        <w:ind w:left="720" w:hanging="360"/>
      </w:pPr>
      <w:rPr>
        <w:rFonts w:ascii="Symbol" w:hAnsi="Symbol" w:hint="default"/>
      </w:rPr>
    </w:lvl>
    <w:lvl w:ilvl="1" w:tplc="5F467C06">
      <w:start w:val="1"/>
      <w:numFmt w:val="bullet"/>
      <w:lvlText w:val="o"/>
      <w:lvlJc w:val="left"/>
      <w:pPr>
        <w:ind w:left="1440" w:hanging="360"/>
      </w:pPr>
      <w:rPr>
        <w:rFonts w:ascii="Courier New" w:hAnsi="Courier New" w:cs="Courier New" w:hint="default"/>
      </w:rPr>
    </w:lvl>
    <w:lvl w:ilvl="2" w:tplc="5D1676F2">
      <w:start w:val="1"/>
      <w:numFmt w:val="bullet"/>
      <w:lvlText w:val=""/>
      <w:lvlJc w:val="left"/>
      <w:pPr>
        <w:ind w:left="2160" w:hanging="360"/>
      </w:pPr>
      <w:rPr>
        <w:rFonts w:ascii="Wingdings" w:hAnsi="Wingdings" w:hint="default"/>
      </w:rPr>
    </w:lvl>
    <w:lvl w:ilvl="3" w:tplc="87E2775E">
      <w:start w:val="1"/>
      <w:numFmt w:val="bullet"/>
      <w:lvlText w:val=""/>
      <w:lvlJc w:val="left"/>
      <w:pPr>
        <w:ind w:left="2880" w:hanging="360"/>
      </w:pPr>
      <w:rPr>
        <w:rFonts w:ascii="Symbol" w:hAnsi="Symbol" w:hint="default"/>
      </w:rPr>
    </w:lvl>
    <w:lvl w:ilvl="4" w:tplc="E3C8F63C">
      <w:start w:val="1"/>
      <w:numFmt w:val="bullet"/>
      <w:lvlText w:val="o"/>
      <w:lvlJc w:val="left"/>
      <w:pPr>
        <w:ind w:left="3600" w:hanging="360"/>
      </w:pPr>
      <w:rPr>
        <w:rFonts w:ascii="Courier New" w:hAnsi="Courier New" w:cs="Courier New" w:hint="default"/>
      </w:rPr>
    </w:lvl>
    <w:lvl w:ilvl="5" w:tplc="0DB659B0">
      <w:start w:val="1"/>
      <w:numFmt w:val="bullet"/>
      <w:lvlText w:val=""/>
      <w:lvlJc w:val="left"/>
      <w:pPr>
        <w:ind w:left="4320" w:hanging="360"/>
      </w:pPr>
      <w:rPr>
        <w:rFonts w:ascii="Wingdings" w:hAnsi="Wingdings" w:hint="default"/>
      </w:rPr>
    </w:lvl>
    <w:lvl w:ilvl="6" w:tplc="488CAA84">
      <w:start w:val="1"/>
      <w:numFmt w:val="bullet"/>
      <w:lvlText w:val=""/>
      <w:lvlJc w:val="left"/>
      <w:pPr>
        <w:ind w:left="5040" w:hanging="360"/>
      </w:pPr>
      <w:rPr>
        <w:rFonts w:ascii="Symbol" w:hAnsi="Symbol" w:hint="default"/>
      </w:rPr>
    </w:lvl>
    <w:lvl w:ilvl="7" w:tplc="3076884C">
      <w:start w:val="1"/>
      <w:numFmt w:val="bullet"/>
      <w:lvlText w:val="o"/>
      <w:lvlJc w:val="left"/>
      <w:pPr>
        <w:ind w:left="5760" w:hanging="360"/>
      </w:pPr>
      <w:rPr>
        <w:rFonts w:ascii="Courier New" w:hAnsi="Courier New" w:cs="Courier New" w:hint="default"/>
      </w:rPr>
    </w:lvl>
    <w:lvl w:ilvl="8" w:tplc="38601E8A">
      <w:start w:val="1"/>
      <w:numFmt w:val="bullet"/>
      <w:lvlText w:val=""/>
      <w:lvlJc w:val="left"/>
      <w:pPr>
        <w:ind w:left="6480" w:hanging="360"/>
      </w:pPr>
      <w:rPr>
        <w:rFonts w:ascii="Wingdings" w:hAnsi="Wingdings" w:hint="default"/>
      </w:rPr>
    </w:lvl>
  </w:abstractNum>
  <w:abstractNum w:abstractNumId="78" w15:restartNumberingAfterBreak="0">
    <w:nsid w:val="6DCF007C"/>
    <w:multiLevelType w:val="hybridMultilevel"/>
    <w:tmpl w:val="8FECF352"/>
    <w:lvl w:ilvl="0" w:tplc="18C0C894">
      <w:start w:val="1"/>
      <w:numFmt w:val="bullet"/>
      <w:lvlText w:val="–"/>
      <w:lvlJc w:val="left"/>
      <w:pPr>
        <w:ind w:left="1418" w:hanging="360"/>
      </w:pPr>
      <w:rPr>
        <w:rFonts w:ascii="Arial" w:eastAsia="Arial" w:hAnsi="Arial" w:cs="Arial" w:hint="default"/>
      </w:rPr>
    </w:lvl>
    <w:lvl w:ilvl="1" w:tplc="48B824FC">
      <w:start w:val="1"/>
      <w:numFmt w:val="bullet"/>
      <w:lvlText w:val="o"/>
      <w:lvlJc w:val="left"/>
      <w:pPr>
        <w:ind w:left="2138" w:hanging="360"/>
      </w:pPr>
      <w:rPr>
        <w:rFonts w:ascii="Courier New" w:eastAsia="Courier New" w:hAnsi="Courier New" w:cs="Courier New" w:hint="default"/>
      </w:rPr>
    </w:lvl>
    <w:lvl w:ilvl="2" w:tplc="4A3AFAAC">
      <w:start w:val="1"/>
      <w:numFmt w:val="bullet"/>
      <w:lvlText w:val="§"/>
      <w:lvlJc w:val="left"/>
      <w:pPr>
        <w:ind w:left="2858" w:hanging="360"/>
      </w:pPr>
      <w:rPr>
        <w:rFonts w:ascii="Wingdings" w:eastAsia="Wingdings" w:hAnsi="Wingdings" w:cs="Wingdings" w:hint="default"/>
      </w:rPr>
    </w:lvl>
    <w:lvl w:ilvl="3" w:tplc="1BCE2E4E">
      <w:start w:val="1"/>
      <w:numFmt w:val="bullet"/>
      <w:lvlText w:val="·"/>
      <w:lvlJc w:val="left"/>
      <w:pPr>
        <w:ind w:left="3578" w:hanging="360"/>
      </w:pPr>
      <w:rPr>
        <w:rFonts w:ascii="Symbol" w:eastAsia="Symbol" w:hAnsi="Symbol" w:cs="Symbol" w:hint="default"/>
      </w:rPr>
    </w:lvl>
    <w:lvl w:ilvl="4" w:tplc="DBF00404">
      <w:start w:val="1"/>
      <w:numFmt w:val="bullet"/>
      <w:lvlText w:val="o"/>
      <w:lvlJc w:val="left"/>
      <w:pPr>
        <w:ind w:left="4298" w:hanging="360"/>
      </w:pPr>
      <w:rPr>
        <w:rFonts w:ascii="Courier New" w:eastAsia="Courier New" w:hAnsi="Courier New" w:cs="Courier New" w:hint="default"/>
      </w:rPr>
    </w:lvl>
    <w:lvl w:ilvl="5" w:tplc="5588CC90">
      <w:start w:val="1"/>
      <w:numFmt w:val="bullet"/>
      <w:lvlText w:val="§"/>
      <w:lvlJc w:val="left"/>
      <w:pPr>
        <w:ind w:left="5018" w:hanging="360"/>
      </w:pPr>
      <w:rPr>
        <w:rFonts w:ascii="Wingdings" w:eastAsia="Wingdings" w:hAnsi="Wingdings" w:cs="Wingdings" w:hint="default"/>
      </w:rPr>
    </w:lvl>
    <w:lvl w:ilvl="6" w:tplc="2FD096A4">
      <w:start w:val="1"/>
      <w:numFmt w:val="bullet"/>
      <w:lvlText w:val="·"/>
      <w:lvlJc w:val="left"/>
      <w:pPr>
        <w:ind w:left="5738" w:hanging="360"/>
      </w:pPr>
      <w:rPr>
        <w:rFonts w:ascii="Symbol" w:eastAsia="Symbol" w:hAnsi="Symbol" w:cs="Symbol" w:hint="default"/>
      </w:rPr>
    </w:lvl>
    <w:lvl w:ilvl="7" w:tplc="A760AC08">
      <w:start w:val="1"/>
      <w:numFmt w:val="bullet"/>
      <w:lvlText w:val="o"/>
      <w:lvlJc w:val="left"/>
      <w:pPr>
        <w:ind w:left="6458" w:hanging="360"/>
      </w:pPr>
      <w:rPr>
        <w:rFonts w:ascii="Courier New" w:eastAsia="Courier New" w:hAnsi="Courier New" w:cs="Courier New" w:hint="default"/>
      </w:rPr>
    </w:lvl>
    <w:lvl w:ilvl="8" w:tplc="52BEA820">
      <w:start w:val="1"/>
      <w:numFmt w:val="bullet"/>
      <w:lvlText w:val="§"/>
      <w:lvlJc w:val="left"/>
      <w:pPr>
        <w:ind w:left="7178" w:hanging="360"/>
      </w:pPr>
      <w:rPr>
        <w:rFonts w:ascii="Wingdings" w:eastAsia="Wingdings" w:hAnsi="Wingdings" w:cs="Wingdings" w:hint="default"/>
      </w:rPr>
    </w:lvl>
  </w:abstractNum>
  <w:abstractNum w:abstractNumId="79" w15:restartNumberingAfterBreak="0">
    <w:nsid w:val="6EA73AFD"/>
    <w:multiLevelType w:val="hybridMultilevel"/>
    <w:tmpl w:val="7E00397A"/>
    <w:lvl w:ilvl="0" w:tplc="48EAAF2C">
      <w:start w:val="1"/>
      <w:numFmt w:val="decimal"/>
      <w:lvlText w:val="%1)"/>
      <w:lvlJc w:val="left"/>
      <w:pPr>
        <w:ind w:left="1069" w:hanging="360"/>
      </w:pPr>
      <w:rPr>
        <w:rFonts w:hint="default"/>
      </w:rPr>
    </w:lvl>
    <w:lvl w:ilvl="1" w:tplc="BDCCD062">
      <w:start w:val="1"/>
      <w:numFmt w:val="lowerLetter"/>
      <w:lvlText w:val="%2."/>
      <w:lvlJc w:val="left"/>
      <w:pPr>
        <w:ind w:left="1789" w:hanging="360"/>
      </w:pPr>
    </w:lvl>
    <w:lvl w:ilvl="2" w:tplc="C8F86B24">
      <w:start w:val="1"/>
      <w:numFmt w:val="lowerRoman"/>
      <w:lvlText w:val="%3."/>
      <w:lvlJc w:val="right"/>
      <w:pPr>
        <w:ind w:left="2509" w:hanging="180"/>
      </w:pPr>
    </w:lvl>
    <w:lvl w:ilvl="3" w:tplc="9EEA1ADE">
      <w:start w:val="1"/>
      <w:numFmt w:val="decimal"/>
      <w:lvlText w:val="%4."/>
      <w:lvlJc w:val="left"/>
      <w:pPr>
        <w:ind w:left="3229" w:hanging="360"/>
      </w:pPr>
    </w:lvl>
    <w:lvl w:ilvl="4" w:tplc="3A86819C">
      <w:start w:val="1"/>
      <w:numFmt w:val="lowerLetter"/>
      <w:lvlText w:val="%5."/>
      <w:lvlJc w:val="left"/>
      <w:pPr>
        <w:ind w:left="3949" w:hanging="360"/>
      </w:pPr>
    </w:lvl>
    <w:lvl w:ilvl="5" w:tplc="AD62FFE6">
      <w:start w:val="1"/>
      <w:numFmt w:val="lowerRoman"/>
      <w:lvlText w:val="%6."/>
      <w:lvlJc w:val="right"/>
      <w:pPr>
        <w:ind w:left="4669" w:hanging="180"/>
      </w:pPr>
    </w:lvl>
    <w:lvl w:ilvl="6" w:tplc="CFC07790">
      <w:start w:val="1"/>
      <w:numFmt w:val="decimal"/>
      <w:lvlText w:val="%7."/>
      <w:lvlJc w:val="left"/>
      <w:pPr>
        <w:ind w:left="5389" w:hanging="360"/>
      </w:pPr>
    </w:lvl>
    <w:lvl w:ilvl="7" w:tplc="6434996C">
      <w:start w:val="1"/>
      <w:numFmt w:val="lowerLetter"/>
      <w:lvlText w:val="%8."/>
      <w:lvlJc w:val="left"/>
      <w:pPr>
        <w:ind w:left="6109" w:hanging="360"/>
      </w:pPr>
    </w:lvl>
    <w:lvl w:ilvl="8" w:tplc="695C7A9E">
      <w:start w:val="1"/>
      <w:numFmt w:val="lowerRoman"/>
      <w:lvlText w:val="%9."/>
      <w:lvlJc w:val="right"/>
      <w:pPr>
        <w:ind w:left="6829" w:hanging="180"/>
      </w:pPr>
    </w:lvl>
  </w:abstractNum>
  <w:abstractNum w:abstractNumId="80" w15:restartNumberingAfterBreak="0">
    <w:nsid w:val="6F735199"/>
    <w:multiLevelType w:val="hybridMultilevel"/>
    <w:tmpl w:val="4E2C5FEA"/>
    <w:lvl w:ilvl="0" w:tplc="EA0A0BEC">
      <w:start w:val="1"/>
      <w:numFmt w:val="decimal"/>
      <w:lvlText w:val="%1)"/>
      <w:lvlJc w:val="left"/>
      <w:pPr>
        <w:ind w:left="720" w:hanging="360"/>
      </w:pPr>
    </w:lvl>
    <w:lvl w:ilvl="1" w:tplc="BF08127C">
      <w:start w:val="1"/>
      <w:numFmt w:val="lowerLetter"/>
      <w:lvlText w:val="%2."/>
      <w:lvlJc w:val="left"/>
      <w:pPr>
        <w:ind w:left="1440" w:hanging="360"/>
      </w:pPr>
    </w:lvl>
    <w:lvl w:ilvl="2" w:tplc="81062340">
      <w:start w:val="1"/>
      <w:numFmt w:val="lowerRoman"/>
      <w:lvlText w:val="%3."/>
      <w:lvlJc w:val="right"/>
      <w:pPr>
        <w:ind w:left="2160" w:hanging="180"/>
      </w:pPr>
    </w:lvl>
    <w:lvl w:ilvl="3" w:tplc="BC465A48">
      <w:start w:val="1"/>
      <w:numFmt w:val="decimal"/>
      <w:lvlText w:val="%4."/>
      <w:lvlJc w:val="left"/>
      <w:pPr>
        <w:ind w:left="2880" w:hanging="360"/>
      </w:pPr>
    </w:lvl>
    <w:lvl w:ilvl="4" w:tplc="F70E7F74">
      <w:start w:val="1"/>
      <w:numFmt w:val="lowerLetter"/>
      <w:lvlText w:val="%5."/>
      <w:lvlJc w:val="left"/>
      <w:pPr>
        <w:ind w:left="3600" w:hanging="360"/>
      </w:pPr>
    </w:lvl>
    <w:lvl w:ilvl="5" w:tplc="EA0A3DA2">
      <w:start w:val="1"/>
      <w:numFmt w:val="lowerRoman"/>
      <w:lvlText w:val="%6."/>
      <w:lvlJc w:val="right"/>
      <w:pPr>
        <w:ind w:left="4320" w:hanging="180"/>
      </w:pPr>
    </w:lvl>
    <w:lvl w:ilvl="6" w:tplc="C3C617B0">
      <w:start w:val="1"/>
      <w:numFmt w:val="decimal"/>
      <w:lvlText w:val="%7."/>
      <w:lvlJc w:val="left"/>
      <w:pPr>
        <w:ind w:left="5040" w:hanging="360"/>
      </w:pPr>
    </w:lvl>
    <w:lvl w:ilvl="7" w:tplc="0C9C15F0">
      <w:start w:val="1"/>
      <w:numFmt w:val="lowerLetter"/>
      <w:lvlText w:val="%8."/>
      <w:lvlJc w:val="left"/>
      <w:pPr>
        <w:ind w:left="5760" w:hanging="360"/>
      </w:pPr>
    </w:lvl>
    <w:lvl w:ilvl="8" w:tplc="F746D6EE">
      <w:start w:val="1"/>
      <w:numFmt w:val="lowerRoman"/>
      <w:lvlText w:val="%9."/>
      <w:lvlJc w:val="right"/>
      <w:pPr>
        <w:ind w:left="6480" w:hanging="180"/>
      </w:pPr>
    </w:lvl>
  </w:abstractNum>
  <w:abstractNum w:abstractNumId="81" w15:restartNumberingAfterBreak="0">
    <w:nsid w:val="7001273D"/>
    <w:multiLevelType w:val="hybridMultilevel"/>
    <w:tmpl w:val="FEE4F6F0"/>
    <w:lvl w:ilvl="0" w:tplc="EF34264A">
      <w:start w:val="1"/>
      <w:numFmt w:val="bullet"/>
      <w:lvlText w:val="–"/>
      <w:lvlJc w:val="left"/>
      <w:pPr>
        <w:ind w:left="1418" w:hanging="360"/>
      </w:pPr>
      <w:rPr>
        <w:rFonts w:ascii="Arial" w:eastAsia="Arial" w:hAnsi="Arial" w:cs="Arial" w:hint="default"/>
      </w:rPr>
    </w:lvl>
    <w:lvl w:ilvl="1" w:tplc="41EED220">
      <w:start w:val="1"/>
      <w:numFmt w:val="bullet"/>
      <w:lvlText w:val="o"/>
      <w:lvlJc w:val="left"/>
      <w:pPr>
        <w:ind w:left="2138" w:hanging="360"/>
      </w:pPr>
      <w:rPr>
        <w:rFonts w:ascii="Courier New" w:eastAsia="Courier New" w:hAnsi="Courier New" w:cs="Courier New" w:hint="default"/>
      </w:rPr>
    </w:lvl>
    <w:lvl w:ilvl="2" w:tplc="A1F026F6">
      <w:start w:val="1"/>
      <w:numFmt w:val="bullet"/>
      <w:lvlText w:val="§"/>
      <w:lvlJc w:val="left"/>
      <w:pPr>
        <w:ind w:left="2858" w:hanging="360"/>
      </w:pPr>
      <w:rPr>
        <w:rFonts w:ascii="Wingdings" w:eastAsia="Wingdings" w:hAnsi="Wingdings" w:cs="Wingdings" w:hint="default"/>
      </w:rPr>
    </w:lvl>
    <w:lvl w:ilvl="3" w:tplc="172A1D50">
      <w:start w:val="1"/>
      <w:numFmt w:val="bullet"/>
      <w:lvlText w:val="·"/>
      <w:lvlJc w:val="left"/>
      <w:pPr>
        <w:ind w:left="3578" w:hanging="360"/>
      </w:pPr>
      <w:rPr>
        <w:rFonts w:ascii="Symbol" w:eastAsia="Symbol" w:hAnsi="Symbol" w:cs="Symbol" w:hint="default"/>
      </w:rPr>
    </w:lvl>
    <w:lvl w:ilvl="4" w:tplc="D9C29BEC">
      <w:start w:val="1"/>
      <w:numFmt w:val="bullet"/>
      <w:lvlText w:val="o"/>
      <w:lvlJc w:val="left"/>
      <w:pPr>
        <w:ind w:left="4298" w:hanging="360"/>
      </w:pPr>
      <w:rPr>
        <w:rFonts w:ascii="Courier New" w:eastAsia="Courier New" w:hAnsi="Courier New" w:cs="Courier New" w:hint="default"/>
      </w:rPr>
    </w:lvl>
    <w:lvl w:ilvl="5" w:tplc="521A1A60">
      <w:start w:val="1"/>
      <w:numFmt w:val="bullet"/>
      <w:lvlText w:val="§"/>
      <w:lvlJc w:val="left"/>
      <w:pPr>
        <w:ind w:left="5018" w:hanging="360"/>
      </w:pPr>
      <w:rPr>
        <w:rFonts w:ascii="Wingdings" w:eastAsia="Wingdings" w:hAnsi="Wingdings" w:cs="Wingdings" w:hint="default"/>
      </w:rPr>
    </w:lvl>
    <w:lvl w:ilvl="6" w:tplc="21ECE0B6">
      <w:start w:val="1"/>
      <w:numFmt w:val="bullet"/>
      <w:lvlText w:val="·"/>
      <w:lvlJc w:val="left"/>
      <w:pPr>
        <w:ind w:left="5738" w:hanging="360"/>
      </w:pPr>
      <w:rPr>
        <w:rFonts w:ascii="Symbol" w:eastAsia="Symbol" w:hAnsi="Symbol" w:cs="Symbol" w:hint="default"/>
      </w:rPr>
    </w:lvl>
    <w:lvl w:ilvl="7" w:tplc="67AA564C">
      <w:start w:val="1"/>
      <w:numFmt w:val="bullet"/>
      <w:lvlText w:val="o"/>
      <w:lvlJc w:val="left"/>
      <w:pPr>
        <w:ind w:left="6458" w:hanging="360"/>
      </w:pPr>
      <w:rPr>
        <w:rFonts w:ascii="Courier New" w:eastAsia="Courier New" w:hAnsi="Courier New" w:cs="Courier New" w:hint="default"/>
      </w:rPr>
    </w:lvl>
    <w:lvl w:ilvl="8" w:tplc="235286A4">
      <w:start w:val="1"/>
      <w:numFmt w:val="bullet"/>
      <w:lvlText w:val="§"/>
      <w:lvlJc w:val="left"/>
      <w:pPr>
        <w:ind w:left="7178" w:hanging="360"/>
      </w:pPr>
      <w:rPr>
        <w:rFonts w:ascii="Wingdings" w:eastAsia="Wingdings" w:hAnsi="Wingdings" w:cs="Wingdings" w:hint="default"/>
      </w:rPr>
    </w:lvl>
  </w:abstractNum>
  <w:abstractNum w:abstractNumId="82" w15:restartNumberingAfterBreak="0">
    <w:nsid w:val="70A66E5D"/>
    <w:multiLevelType w:val="hybridMultilevel"/>
    <w:tmpl w:val="712C1514"/>
    <w:lvl w:ilvl="0" w:tplc="F54E75A2">
      <w:start w:val="1"/>
      <w:numFmt w:val="bullet"/>
      <w:lvlText w:val="–"/>
      <w:lvlJc w:val="left"/>
      <w:pPr>
        <w:ind w:left="709" w:hanging="360"/>
      </w:pPr>
      <w:rPr>
        <w:rFonts w:ascii="Arial" w:eastAsia="Arial" w:hAnsi="Arial" w:cs="Arial" w:hint="default"/>
      </w:rPr>
    </w:lvl>
    <w:lvl w:ilvl="1" w:tplc="52282ED2">
      <w:start w:val="1"/>
      <w:numFmt w:val="bullet"/>
      <w:lvlText w:val="o"/>
      <w:lvlJc w:val="left"/>
      <w:pPr>
        <w:ind w:left="1429" w:hanging="360"/>
      </w:pPr>
      <w:rPr>
        <w:rFonts w:ascii="Courier New" w:eastAsia="Courier New" w:hAnsi="Courier New" w:cs="Courier New" w:hint="default"/>
      </w:rPr>
    </w:lvl>
    <w:lvl w:ilvl="2" w:tplc="B1348CF4">
      <w:start w:val="1"/>
      <w:numFmt w:val="bullet"/>
      <w:lvlText w:val="§"/>
      <w:lvlJc w:val="left"/>
      <w:pPr>
        <w:ind w:left="2149" w:hanging="360"/>
      </w:pPr>
      <w:rPr>
        <w:rFonts w:ascii="Wingdings" w:eastAsia="Wingdings" w:hAnsi="Wingdings" w:cs="Wingdings" w:hint="default"/>
      </w:rPr>
    </w:lvl>
    <w:lvl w:ilvl="3" w:tplc="FF9A54D0">
      <w:start w:val="1"/>
      <w:numFmt w:val="bullet"/>
      <w:lvlText w:val="·"/>
      <w:lvlJc w:val="left"/>
      <w:pPr>
        <w:ind w:left="2869" w:hanging="360"/>
      </w:pPr>
      <w:rPr>
        <w:rFonts w:ascii="Symbol" w:eastAsia="Symbol" w:hAnsi="Symbol" w:cs="Symbol" w:hint="default"/>
      </w:rPr>
    </w:lvl>
    <w:lvl w:ilvl="4" w:tplc="26BC71EE">
      <w:start w:val="1"/>
      <w:numFmt w:val="bullet"/>
      <w:lvlText w:val="o"/>
      <w:lvlJc w:val="left"/>
      <w:pPr>
        <w:ind w:left="3589" w:hanging="360"/>
      </w:pPr>
      <w:rPr>
        <w:rFonts w:ascii="Courier New" w:eastAsia="Courier New" w:hAnsi="Courier New" w:cs="Courier New" w:hint="default"/>
      </w:rPr>
    </w:lvl>
    <w:lvl w:ilvl="5" w:tplc="2CC02B12">
      <w:start w:val="1"/>
      <w:numFmt w:val="bullet"/>
      <w:lvlText w:val="§"/>
      <w:lvlJc w:val="left"/>
      <w:pPr>
        <w:ind w:left="4309" w:hanging="360"/>
      </w:pPr>
      <w:rPr>
        <w:rFonts w:ascii="Wingdings" w:eastAsia="Wingdings" w:hAnsi="Wingdings" w:cs="Wingdings" w:hint="default"/>
      </w:rPr>
    </w:lvl>
    <w:lvl w:ilvl="6" w:tplc="C9A68516">
      <w:start w:val="1"/>
      <w:numFmt w:val="bullet"/>
      <w:lvlText w:val="·"/>
      <w:lvlJc w:val="left"/>
      <w:pPr>
        <w:ind w:left="5029" w:hanging="360"/>
      </w:pPr>
      <w:rPr>
        <w:rFonts w:ascii="Symbol" w:eastAsia="Symbol" w:hAnsi="Symbol" w:cs="Symbol" w:hint="default"/>
      </w:rPr>
    </w:lvl>
    <w:lvl w:ilvl="7" w:tplc="36E8BB32">
      <w:start w:val="1"/>
      <w:numFmt w:val="bullet"/>
      <w:lvlText w:val="o"/>
      <w:lvlJc w:val="left"/>
      <w:pPr>
        <w:ind w:left="5749" w:hanging="360"/>
      </w:pPr>
      <w:rPr>
        <w:rFonts w:ascii="Courier New" w:eastAsia="Courier New" w:hAnsi="Courier New" w:cs="Courier New" w:hint="default"/>
      </w:rPr>
    </w:lvl>
    <w:lvl w:ilvl="8" w:tplc="04326380">
      <w:start w:val="1"/>
      <w:numFmt w:val="bullet"/>
      <w:lvlText w:val="§"/>
      <w:lvlJc w:val="left"/>
      <w:pPr>
        <w:ind w:left="6469" w:hanging="360"/>
      </w:pPr>
      <w:rPr>
        <w:rFonts w:ascii="Wingdings" w:eastAsia="Wingdings" w:hAnsi="Wingdings" w:cs="Wingdings" w:hint="default"/>
      </w:rPr>
    </w:lvl>
  </w:abstractNum>
  <w:abstractNum w:abstractNumId="83" w15:restartNumberingAfterBreak="0">
    <w:nsid w:val="7559182C"/>
    <w:multiLevelType w:val="hybridMultilevel"/>
    <w:tmpl w:val="2E68CC7C"/>
    <w:lvl w:ilvl="0" w:tplc="62523B78">
      <w:start w:val="1"/>
      <w:numFmt w:val="bullet"/>
      <w:lvlText w:val="-"/>
      <w:lvlJc w:val="left"/>
      <w:pPr>
        <w:ind w:left="927" w:hanging="360"/>
      </w:pPr>
      <w:rPr>
        <w:rFonts w:ascii="Arial Narrow" w:eastAsia="Times New Roman" w:hAnsi="Arial Narrow" w:cs="Times New Roman"/>
      </w:rPr>
    </w:lvl>
    <w:lvl w:ilvl="1" w:tplc="F26A6800">
      <w:start w:val="1"/>
      <w:numFmt w:val="bullet"/>
      <w:lvlText w:val="o"/>
      <w:lvlJc w:val="left"/>
      <w:pPr>
        <w:ind w:left="1647" w:hanging="360"/>
      </w:pPr>
      <w:rPr>
        <w:rFonts w:ascii="Courier New" w:hAnsi="Courier New" w:cs="Courier New"/>
      </w:rPr>
    </w:lvl>
    <w:lvl w:ilvl="2" w:tplc="1E668EF0">
      <w:start w:val="1"/>
      <w:numFmt w:val="bullet"/>
      <w:lvlText w:val=""/>
      <w:lvlJc w:val="left"/>
      <w:pPr>
        <w:ind w:left="2367" w:hanging="360"/>
      </w:pPr>
      <w:rPr>
        <w:rFonts w:ascii="Wingdings" w:hAnsi="Wingdings"/>
      </w:rPr>
    </w:lvl>
    <w:lvl w:ilvl="3" w:tplc="08F87230">
      <w:start w:val="1"/>
      <w:numFmt w:val="bullet"/>
      <w:lvlText w:val=""/>
      <w:lvlJc w:val="left"/>
      <w:pPr>
        <w:ind w:left="3087" w:hanging="360"/>
      </w:pPr>
      <w:rPr>
        <w:rFonts w:ascii="Symbol" w:hAnsi="Symbol"/>
      </w:rPr>
    </w:lvl>
    <w:lvl w:ilvl="4" w:tplc="0C4C3DEA">
      <w:start w:val="1"/>
      <w:numFmt w:val="bullet"/>
      <w:lvlText w:val="o"/>
      <w:lvlJc w:val="left"/>
      <w:pPr>
        <w:ind w:left="3807" w:hanging="360"/>
      </w:pPr>
      <w:rPr>
        <w:rFonts w:ascii="Courier New" w:hAnsi="Courier New" w:cs="Courier New"/>
      </w:rPr>
    </w:lvl>
    <w:lvl w:ilvl="5" w:tplc="ABC660B0">
      <w:start w:val="1"/>
      <w:numFmt w:val="bullet"/>
      <w:lvlText w:val=""/>
      <w:lvlJc w:val="left"/>
      <w:pPr>
        <w:ind w:left="4527" w:hanging="360"/>
      </w:pPr>
      <w:rPr>
        <w:rFonts w:ascii="Wingdings" w:hAnsi="Wingdings"/>
      </w:rPr>
    </w:lvl>
    <w:lvl w:ilvl="6" w:tplc="B23C5494">
      <w:start w:val="1"/>
      <w:numFmt w:val="bullet"/>
      <w:lvlText w:val=""/>
      <w:lvlJc w:val="left"/>
      <w:pPr>
        <w:ind w:left="5247" w:hanging="360"/>
      </w:pPr>
      <w:rPr>
        <w:rFonts w:ascii="Symbol" w:hAnsi="Symbol"/>
      </w:rPr>
    </w:lvl>
    <w:lvl w:ilvl="7" w:tplc="19AA1352">
      <w:start w:val="1"/>
      <w:numFmt w:val="bullet"/>
      <w:lvlText w:val="o"/>
      <w:lvlJc w:val="left"/>
      <w:pPr>
        <w:ind w:left="5967" w:hanging="360"/>
      </w:pPr>
      <w:rPr>
        <w:rFonts w:ascii="Courier New" w:hAnsi="Courier New" w:cs="Courier New"/>
      </w:rPr>
    </w:lvl>
    <w:lvl w:ilvl="8" w:tplc="95323718">
      <w:start w:val="1"/>
      <w:numFmt w:val="bullet"/>
      <w:lvlText w:val=""/>
      <w:lvlJc w:val="left"/>
      <w:pPr>
        <w:ind w:left="6687" w:hanging="360"/>
      </w:pPr>
      <w:rPr>
        <w:rFonts w:ascii="Wingdings" w:hAnsi="Wingdings"/>
      </w:rPr>
    </w:lvl>
  </w:abstractNum>
  <w:abstractNum w:abstractNumId="84" w15:restartNumberingAfterBreak="0">
    <w:nsid w:val="755D4A40"/>
    <w:multiLevelType w:val="multilevel"/>
    <w:tmpl w:val="BAC82D16"/>
    <w:lvl w:ilvl="0">
      <w:start w:val="1"/>
      <w:numFmt w:val="decimal"/>
      <w:pStyle w:val="11"/>
      <w:lvlText w:val="%1."/>
      <w:lvlJc w:val="center"/>
      <w:pPr>
        <w:tabs>
          <w:tab w:val="num" w:pos="2977"/>
        </w:tabs>
      </w:pPr>
      <w:rPr>
        <w:rFonts w:cs="Times New Roman" w:hint="default"/>
        <w:bCs w:val="0"/>
        <w:iCs w:val="0"/>
        <w:caps w:val="0"/>
        <w:strike w:val="0"/>
        <w:vanish w:val="0"/>
        <w:color w:val="000000"/>
        <w:spacing w:val="0"/>
        <w:position w:val="0"/>
        <w:u w:val="none"/>
        <w:vertAlign w:val="baseline"/>
      </w:rPr>
    </w:lvl>
    <w:lvl w:ilvl="1">
      <w:start w:val="1"/>
      <w:numFmt w:val="decimal"/>
      <w:pStyle w:val="20"/>
      <w:lvlText w:val="%1.%2"/>
      <w:lvlJc w:val="left"/>
      <w:pPr>
        <w:tabs>
          <w:tab w:val="num" w:pos="1701"/>
        </w:tabs>
        <w:ind w:firstLine="567"/>
      </w:pPr>
      <w:rPr>
        <w:rFonts w:cs="Times New Roman" w:hint="default"/>
        <w:bCs/>
        <w:iCs w:val="0"/>
        <w:caps w:val="0"/>
        <w:strike w:val="0"/>
        <w:vanish w:val="0"/>
        <w:color w:val="auto"/>
        <w:spacing w:val="0"/>
        <w:position w:val="0"/>
        <w:sz w:val="28"/>
        <w:szCs w:val="28"/>
        <w:u w:val="none"/>
        <w:vertAlign w:val="baseline"/>
      </w:rPr>
    </w:lvl>
    <w:lvl w:ilvl="2">
      <w:start w:val="1"/>
      <w:numFmt w:val="decimal"/>
      <w:pStyle w:val="3"/>
      <w:lvlText w:val="%1.%2.%3"/>
      <w:lvlJc w:val="left"/>
      <w:pPr>
        <w:tabs>
          <w:tab w:val="num" w:pos="4399"/>
        </w:tabs>
        <w:ind w:firstLine="567"/>
      </w:pPr>
      <w:rPr>
        <w:rFonts w:cs="Times New Roman" w:hint="default"/>
        <w:b w:val="0"/>
        <w:bCs w:val="0"/>
        <w:i w:val="0"/>
        <w:iCs w:val="0"/>
        <w:color w:val="auto"/>
      </w:rPr>
    </w:lvl>
    <w:lvl w:ilvl="3">
      <w:start w:val="1"/>
      <w:numFmt w:val="decimal"/>
      <w:lvlText w:val="%1.%2.%3.%4"/>
      <w:lvlJc w:val="left"/>
      <w:pPr>
        <w:tabs>
          <w:tab w:val="num" w:pos="1985"/>
        </w:tabs>
        <w:ind w:firstLine="567"/>
      </w:pPr>
      <w:rPr>
        <w:rFonts w:cs="Times New Roman" w:hint="default"/>
        <w:b w:val="0"/>
        <w:bCs w:val="0"/>
        <w:i w:val="0"/>
        <w:iCs w:val="0"/>
        <w:caps w:val="0"/>
        <w:strike w:val="0"/>
        <w:vanish w:val="0"/>
        <w:color w:val="auto"/>
        <w:spacing w:val="0"/>
        <w:position w:val="0"/>
        <w:u w:val="none"/>
        <w:vertAlign w:val="baseline"/>
      </w:rPr>
    </w:lvl>
    <w:lvl w:ilvl="4">
      <w:start w:val="1"/>
      <w:numFmt w:val="russianLower"/>
      <w:pStyle w:val="5"/>
      <w:lvlText w:val="%5)"/>
      <w:lvlJc w:val="left"/>
      <w:pPr>
        <w:tabs>
          <w:tab w:val="num" w:pos="1987"/>
        </w:tabs>
        <w:ind w:firstLine="567"/>
      </w:pPr>
      <w:rPr>
        <w:rFonts w:cs="Times New Roman" w:hint="default"/>
        <w:b w:val="0"/>
        <w:bCs w:val="0"/>
        <w:i w:val="0"/>
        <w:iCs w:val="0"/>
      </w:rPr>
    </w:lvl>
    <w:lvl w:ilvl="5">
      <w:start w:val="1"/>
      <w:numFmt w:val="lowerLetter"/>
      <w:lvlText w:val="%6)"/>
      <w:lvlJc w:val="left"/>
      <w:pPr>
        <w:tabs>
          <w:tab w:val="num" w:pos="2551"/>
        </w:tabs>
        <w:ind w:left="2551" w:hanging="567"/>
      </w:pPr>
      <w:rPr>
        <w:rFonts w:cs="Times New Roman" w:hint="default"/>
      </w:rPr>
    </w:lvl>
    <w:lvl w:ilvl="6">
      <w:start w:val="1"/>
      <w:numFmt w:val="lowerRoman"/>
      <w:lvlText w:val="%7)"/>
      <w:lvlJc w:val="left"/>
      <w:pPr>
        <w:tabs>
          <w:tab w:val="num" w:pos="2268"/>
        </w:tabs>
        <w:ind w:left="2268" w:hanging="567"/>
      </w:pPr>
      <w:rPr>
        <w:rFonts w:cs="Times New Roman" w:hint="default"/>
      </w:rPr>
    </w:lvl>
    <w:lvl w:ilvl="7">
      <w:start w:val="1"/>
      <w:numFmt w:val="decimal"/>
      <w:lvlText w:val="%5.%6.%7.%8)"/>
      <w:lvlJc w:val="left"/>
      <w:pPr>
        <w:tabs>
          <w:tab w:val="num" w:pos="1448"/>
        </w:tabs>
        <w:ind w:left="1448" w:hanging="567"/>
      </w:pPr>
      <w:rPr>
        <w:rFonts w:cs="Times New Roman" w:hint="default"/>
      </w:rPr>
    </w:lvl>
    <w:lvl w:ilvl="8">
      <w:start w:val="1"/>
      <w:numFmt w:val="decimal"/>
      <w:lvlText w:val="%1.%2.%3.%4.%5.%6.%7.%8.%9."/>
      <w:lvlJc w:val="left"/>
      <w:pPr>
        <w:tabs>
          <w:tab w:val="num" w:pos="4166"/>
        </w:tabs>
        <w:ind w:left="2366" w:hanging="1440"/>
      </w:pPr>
      <w:rPr>
        <w:rFonts w:cs="Times New Roman" w:hint="default"/>
      </w:rPr>
    </w:lvl>
  </w:abstractNum>
  <w:abstractNum w:abstractNumId="85" w15:restartNumberingAfterBreak="0">
    <w:nsid w:val="75B4519E"/>
    <w:multiLevelType w:val="hybridMultilevel"/>
    <w:tmpl w:val="E5C2DAB6"/>
    <w:lvl w:ilvl="0" w:tplc="F5348F48">
      <w:start w:val="1"/>
      <w:numFmt w:val="bullet"/>
      <w:lvlText w:val="–"/>
      <w:lvlJc w:val="left"/>
      <w:pPr>
        <w:ind w:left="1418" w:hanging="360"/>
      </w:pPr>
      <w:rPr>
        <w:rFonts w:ascii="Arial" w:eastAsia="Arial" w:hAnsi="Arial" w:cs="Arial" w:hint="default"/>
      </w:rPr>
    </w:lvl>
    <w:lvl w:ilvl="1" w:tplc="4324272C">
      <w:start w:val="1"/>
      <w:numFmt w:val="bullet"/>
      <w:lvlText w:val="o"/>
      <w:lvlJc w:val="left"/>
      <w:pPr>
        <w:ind w:left="2138" w:hanging="360"/>
      </w:pPr>
      <w:rPr>
        <w:rFonts w:ascii="Courier New" w:eastAsia="Courier New" w:hAnsi="Courier New" w:cs="Courier New" w:hint="default"/>
      </w:rPr>
    </w:lvl>
    <w:lvl w:ilvl="2" w:tplc="4EE64742">
      <w:start w:val="1"/>
      <w:numFmt w:val="bullet"/>
      <w:lvlText w:val="§"/>
      <w:lvlJc w:val="left"/>
      <w:pPr>
        <w:ind w:left="2858" w:hanging="360"/>
      </w:pPr>
      <w:rPr>
        <w:rFonts w:ascii="Wingdings" w:eastAsia="Wingdings" w:hAnsi="Wingdings" w:cs="Wingdings" w:hint="default"/>
      </w:rPr>
    </w:lvl>
    <w:lvl w:ilvl="3" w:tplc="0C2C2F86">
      <w:start w:val="1"/>
      <w:numFmt w:val="bullet"/>
      <w:lvlText w:val="·"/>
      <w:lvlJc w:val="left"/>
      <w:pPr>
        <w:ind w:left="3578" w:hanging="360"/>
      </w:pPr>
      <w:rPr>
        <w:rFonts w:ascii="Symbol" w:eastAsia="Symbol" w:hAnsi="Symbol" w:cs="Symbol" w:hint="default"/>
      </w:rPr>
    </w:lvl>
    <w:lvl w:ilvl="4" w:tplc="B2ECB330">
      <w:start w:val="1"/>
      <w:numFmt w:val="bullet"/>
      <w:lvlText w:val="o"/>
      <w:lvlJc w:val="left"/>
      <w:pPr>
        <w:ind w:left="4298" w:hanging="360"/>
      </w:pPr>
      <w:rPr>
        <w:rFonts w:ascii="Courier New" w:eastAsia="Courier New" w:hAnsi="Courier New" w:cs="Courier New" w:hint="default"/>
      </w:rPr>
    </w:lvl>
    <w:lvl w:ilvl="5" w:tplc="D4426CA0">
      <w:start w:val="1"/>
      <w:numFmt w:val="bullet"/>
      <w:lvlText w:val="§"/>
      <w:lvlJc w:val="left"/>
      <w:pPr>
        <w:ind w:left="5018" w:hanging="360"/>
      </w:pPr>
      <w:rPr>
        <w:rFonts w:ascii="Wingdings" w:eastAsia="Wingdings" w:hAnsi="Wingdings" w:cs="Wingdings" w:hint="default"/>
      </w:rPr>
    </w:lvl>
    <w:lvl w:ilvl="6" w:tplc="D69CD63E">
      <w:start w:val="1"/>
      <w:numFmt w:val="bullet"/>
      <w:lvlText w:val="·"/>
      <w:lvlJc w:val="left"/>
      <w:pPr>
        <w:ind w:left="5738" w:hanging="360"/>
      </w:pPr>
      <w:rPr>
        <w:rFonts w:ascii="Symbol" w:eastAsia="Symbol" w:hAnsi="Symbol" w:cs="Symbol" w:hint="default"/>
      </w:rPr>
    </w:lvl>
    <w:lvl w:ilvl="7" w:tplc="B73AB50E">
      <w:start w:val="1"/>
      <w:numFmt w:val="bullet"/>
      <w:lvlText w:val="o"/>
      <w:lvlJc w:val="left"/>
      <w:pPr>
        <w:ind w:left="6458" w:hanging="360"/>
      </w:pPr>
      <w:rPr>
        <w:rFonts w:ascii="Courier New" w:eastAsia="Courier New" w:hAnsi="Courier New" w:cs="Courier New" w:hint="default"/>
      </w:rPr>
    </w:lvl>
    <w:lvl w:ilvl="8" w:tplc="616CD81E">
      <w:start w:val="1"/>
      <w:numFmt w:val="bullet"/>
      <w:lvlText w:val="§"/>
      <w:lvlJc w:val="left"/>
      <w:pPr>
        <w:ind w:left="7178" w:hanging="360"/>
      </w:pPr>
      <w:rPr>
        <w:rFonts w:ascii="Wingdings" w:eastAsia="Wingdings" w:hAnsi="Wingdings" w:cs="Wingdings" w:hint="default"/>
      </w:rPr>
    </w:lvl>
  </w:abstractNum>
  <w:abstractNum w:abstractNumId="86" w15:restartNumberingAfterBreak="0">
    <w:nsid w:val="77973A65"/>
    <w:multiLevelType w:val="hybridMultilevel"/>
    <w:tmpl w:val="D1345F08"/>
    <w:lvl w:ilvl="0" w:tplc="527A95A2">
      <w:start w:val="1"/>
      <w:numFmt w:val="bullet"/>
      <w:lvlText w:val="–"/>
      <w:lvlJc w:val="left"/>
      <w:pPr>
        <w:ind w:left="1418" w:hanging="360"/>
      </w:pPr>
      <w:rPr>
        <w:rFonts w:ascii="Arial" w:eastAsia="Arial" w:hAnsi="Arial" w:cs="Arial" w:hint="default"/>
      </w:rPr>
    </w:lvl>
    <w:lvl w:ilvl="1" w:tplc="E876B70C">
      <w:start w:val="1"/>
      <w:numFmt w:val="bullet"/>
      <w:lvlText w:val="o"/>
      <w:lvlJc w:val="left"/>
      <w:pPr>
        <w:ind w:left="2138" w:hanging="360"/>
      </w:pPr>
      <w:rPr>
        <w:rFonts w:ascii="Courier New" w:eastAsia="Courier New" w:hAnsi="Courier New" w:cs="Courier New" w:hint="default"/>
      </w:rPr>
    </w:lvl>
    <w:lvl w:ilvl="2" w:tplc="FF0E4530">
      <w:start w:val="1"/>
      <w:numFmt w:val="bullet"/>
      <w:lvlText w:val="§"/>
      <w:lvlJc w:val="left"/>
      <w:pPr>
        <w:ind w:left="2858" w:hanging="360"/>
      </w:pPr>
      <w:rPr>
        <w:rFonts w:ascii="Wingdings" w:eastAsia="Wingdings" w:hAnsi="Wingdings" w:cs="Wingdings" w:hint="default"/>
      </w:rPr>
    </w:lvl>
    <w:lvl w:ilvl="3" w:tplc="99F00FFE">
      <w:start w:val="1"/>
      <w:numFmt w:val="bullet"/>
      <w:lvlText w:val="·"/>
      <w:lvlJc w:val="left"/>
      <w:pPr>
        <w:ind w:left="3578" w:hanging="360"/>
      </w:pPr>
      <w:rPr>
        <w:rFonts w:ascii="Symbol" w:eastAsia="Symbol" w:hAnsi="Symbol" w:cs="Symbol" w:hint="default"/>
      </w:rPr>
    </w:lvl>
    <w:lvl w:ilvl="4" w:tplc="CB644486">
      <w:start w:val="1"/>
      <w:numFmt w:val="bullet"/>
      <w:lvlText w:val="o"/>
      <w:lvlJc w:val="left"/>
      <w:pPr>
        <w:ind w:left="4298" w:hanging="360"/>
      </w:pPr>
      <w:rPr>
        <w:rFonts w:ascii="Courier New" w:eastAsia="Courier New" w:hAnsi="Courier New" w:cs="Courier New" w:hint="default"/>
      </w:rPr>
    </w:lvl>
    <w:lvl w:ilvl="5" w:tplc="1982FC0E">
      <w:start w:val="1"/>
      <w:numFmt w:val="bullet"/>
      <w:lvlText w:val="§"/>
      <w:lvlJc w:val="left"/>
      <w:pPr>
        <w:ind w:left="5018" w:hanging="360"/>
      </w:pPr>
      <w:rPr>
        <w:rFonts w:ascii="Wingdings" w:eastAsia="Wingdings" w:hAnsi="Wingdings" w:cs="Wingdings" w:hint="default"/>
      </w:rPr>
    </w:lvl>
    <w:lvl w:ilvl="6" w:tplc="3CF03BF6">
      <w:start w:val="1"/>
      <w:numFmt w:val="bullet"/>
      <w:lvlText w:val="·"/>
      <w:lvlJc w:val="left"/>
      <w:pPr>
        <w:ind w:left="5738" w:hanging="360"/>
      </w:pPr>
      <w:rPr>
        <w:rFonts w:ascii="Symbol" w:eastAsia="Symbol" w:hAnsi="Symbol" w:cs="Symbol" w:hint="default"/>
      </w:rPr>
    </w:lvl>
    <w:lvl w:ilvl="7" w:tplc="B8ECDE6E">
      <w:start w:val="1"/>
      <w:numFmt w:val="bullet"/>
      <w:lvlText w:val="o"/>
      <w:lvlJc w:val="left"/>
      <w:pPr>
        <w:ind w:left="6458" w:hanging="360"/>
      </w:pPr>
      <w:rPr>
        <w:rFonts w:ascii="Courier New" w:eastAsia="Courier New" w:hAnsi="Courier New" w:cs="Courier New" w:hint="default"/>
      </w:rPr>
    </w:lvl>
    <w:lvl w:ilvl="8" w:tplc="B5DAF6F6">
      <w:start w:val="1"/>
      <w:numFmt w:val="bullet"/>
      <w:lvlText w:val="§"/>
      <w:lvlJc w:val="left"/>
      <w:pPr>
        <w:ind w:left="7178" w:hanging="360"/>
      </w:pPr>
      <w:rPr>
        <w:rFonts w:ascii="Wingdings" w:eastAsia="Wingdings" w:hAnsi="Wingdings" w:cs="Wingdings" w:hint="default"/>
      </w:rPr>
    </w:lvl>
  </w:abstractNum>
  <w:abstractNum w:abstractNumId="87" w15:restartNumberingAfterBreak="0">
    <w:nsid w:val="78D71C1E"/>
    <w:multiLevelType w:val="hybridMultilevel"/>
    <w:tmpl w:val="AFDC41D0"/>
    <w:lvl w:ilvl="0" w:tplc="48401F86">
      <w:start w:val="1"/>
      <w:numFmt w:val="bullet"/>
      <w:lvlText w:val="–"/>
      <w:lvlJc w:val="left"/>
      <w:pPr>
        <w:ind w:left="720" w:hanging="360"/>
      </w:pPr>
      <w:rPr>
        <w:rFonts w:ascii="Arial" w:eastAsia="Arial" w:hAnsi="Arial" w:cs="Arial"/>
      </w:rPr>
    </w:lvl>
    <w:lvl w:ilvl="1" w:tplc="A20C57E8">
      <w:start w:val="1"/>
      <w:numFmt w:val="bullet"/>
      <w:lvlText w:val="o"/>
      <w:lvlJc w:val="left"/>
      <w:pPr>
        <w:ind w:left="1440" w:hanging="360"/>
      </w:pPr>
      <w:rPr>
        <w:rFonts w:ascii="Courier New" w:eastAsia="Courier New" w:hAnsi="Courier New" w:cs="Courier New" w:hint="default"/>
      </w:rPr>
    </w:lvl>
    <w:lvl w:ilvl="2" w:tplc="EA125490">
      <w:start w:val="1"/>
      <w:numFmt w:val="bullet"/>
      <w:lvlText w:val="§"/>
      <w:lvlJc w:val="left"/>
      <w:pPr>
        <w:ind w:left="2160" w:hanging="360"/>
      </w:pPr>
      <w:rPr>
        <w:rFonts w:ascii="Wingdings" w:eastAsia="Wingdings" w:hAnsi="Wingdings" w:cs="Wingdings" w:hint="default"/>
      </w:rPr>
    </w:lvl>
    <w:lvl w:ilvl="3" w:tplc="8368C2DE">
      <w:start w:val="1"/>
      <w:numFmt w:val="bullet"/>
      <w:lvlText w:val="·"/>
      <w:lvlJc w:val="left"/>
      <w:pPr>
        <w:ind w:left="2880" w:hanging="360"/>
      </w:pPr>
      <w:rPr>
        <w:rFonts w:ascii="Symbol" w:eastAsia="Symbol" w:hAnsi="Symbol" w:cs="Symbol" w:hint="default"/>
      </w:rPr>
    </w:lvl>
    <w:lvl w:ilvl="4" w:tplc="4390656A">
      <w:start w:val="1"/>
      <w:numFmt w:val="bullet"/>
      <w:lvlText w:val="o"/>
      <w:lvlJc w:val="left"/>
      <w:pPr>
        <w:ind w:left="3600" w:hanging="360"/>
      </w:pPr>
      <w:rPr>
        <w:rFonts w:ascii="Courier New" w:eastAsia="Courier New" w:hAnsi="Courier New" w:cs="Courier New" w:hint="default"/>
      </w:rPr>
    </w:lvl>
    <w:lvl w:ilvl="5" w:tplc="15BE6062">
      <w:start w:val="1"/>
      <w:numFmt w:val="bullet"/>
      <w:lvlText w:val="§"/>
      <w:lvlJc w:val="left"/>
      <w:pPr>
        <w:ind w:left="4320" w:hanging="360"/>
      </w:pPr>
      <w:rPr>
        <w:rFonts w:ascii="Wingdings" w:eastAsia="Wingdings" w:hAnsi="Wingdings" w:cs="Wingdings" w:hint="default"/>
      </w:rPr>
    </w:lvl>
    <w:lvl w:ilvl="6" w:tplc="0C7E8EA8">
      <w:start w:val="1"/>
      <w:numFmt w:val="bullet"/>
      <w:lvlText w:val="·"/>
      <w:lvlJc w:val="left"/>
      <w:pPr>
        <w:ind w:left="5040" w:hanging="360"/>
      </w:pPr>
      <w:rPr>
        <w:rFonts w:ascii="Symbol" w:eastAsia="Symbol" w:hAnsi="Symbol" w:cs="Symbol" w:hint="default"/>
      </w:rPr>
    </w:lvl>
    <w:lvl w:ilvl="7" w:tplc="472267CC">
      <w:start w:val="1"/>
      <w:numFmt w:val="bullet"/>
      <w:lvlText w:val="o"/>
      <w:lvlJc w:val="left"/>
      <w:pPr>
        <w:ind w:left="5760" w:hanging="360"/>
      </w:pPr>
      <w:rPr>
        <w:rFonts w:ascii="Courier New" w:eastAsia="Courier New" w:hAnsi="Courier New" w:cs="Courier New" w:hint="default"/>
      </w:rPr>
    </w:lvl>
    <w:lvl w:ilvl="8" w:tplc="5A94680A">
      <w:start w:val="1"/>
      <w:numFmt w:val="bullet"/>
      <w:lvlText w:val="§"/>
      <w:lvlJc w:val="left"/>
      <w:pPr>
        <w:ind w:left="6480" w:hanging="360"/>
      </w:pPr>
      <w:rPr>
        <w:rFonts w:ascii="Wingdings" w:eastAsia="Wingdings" w:hAnsi="Wingdings" w:cs="Wingdings" w:hint="default"/>
      </w:rPr>
    </w:lvl>
  </w:abstractNum>
  <w:abstractNum w:abstractNumId="88" w15:restartNumberingAfterBreak="0">
    <w:nsid w:val="791322B0"/>
    <w:multiLevelType w:val="hybridMultilevel"/>
    <w:tmpl w:val="FB964E28"/>
    <w:lvl w:ilvl="0" w:tplc="A7AC0B46">
      <w:start w:val="1"/>
      <w:numFmt w:val="bullet"/>
      <w:lvlText w:val=""/>
      <w:lvlJc w:val="left"/>
      <w:pPr>
        <w:ind w:left="1429" w:hanging="360"/>
      </w:pPr>
      <w:rPr>
        <w:rFonts w:ascii="Symbol" w:hAnsi="Symbol" w:hint="default"/>
      </w:rPr>
    </w:lvl>
    <w:lvl w:ilvl="1" w:tplc="CD0CEA02">
      <w:start w:val="1"/>
      <w:numFmt w:val="bullet"/>
      <w:lvlText w:val="o"/>
      <w:lvlJc w:val="left"/>
      <w:pPr>
        <w:ind w:left="2149" w:hanging="360"/>
      </w:pPr>
      <w:rPr>
        <w:rFonts w:ascii="Courier New" w:hAnsi="Courier New" w:cs="Courier New" w:hint="default"/>
      </w:rPr>
    </w:lvl>
    <w:lvl w:ilvl="2" w:tplc="EC3A090E">
      <w:start w:val="1"/>
      <w:numFmt w:val="bullet"/>
      <w:lvlText w:val=""/>
      <w:lvlJc w:val="left"/>
      <w:pPr>
        <w:ind w:left="2869" w:hanging="360"/>
      </w:pPr>
      <w:rPr>
        <w:rFonts w:ascii="Wingdings" w:hAnsi="Wingdings" w:hint="default"/>
      </w:rPr>
    </w:lvl>
    <w:lvl w:ilvl="3" w:tplc="CF80E9FC">
      <w:start w:val="1"/>
      <w:numFmt w:val="bullet"/>
      <w:lvlText w:val=""/>
      <w:lvlJc w:val="left"/>
      <w:pPr>
        <w:ind w:left="3589" w:hanging="360"/>
      </w:pPr>
      <w:rPr>
        <w:rFonts w:ascii="Symbol" w:hAnsi="Symbol" w:hint="default"/>
      </w:rPr>
    </w:lvl>
    <w:lvl w:ilvl="4" w:tplc="EB98ED04">
      <w:start w:val="1"/>
      <w:numFmt w:val="bullet"/>
      <w:lvlText w:val="o"/>
      <w:lvlJc w:val="left"/>
      <w:pPr>
        <w:ind w:left="4309" w:hanging="360"/>
      </w:pPr>
      <w:rPr>
        <w:rFonts w:ascii="Courier New" w:hAnsi="Courier New" w:cs="Courier New" w:hint="default"/>
      </w:rPr>
    </w:lvl>
    <w:lvl w:ilvl="5" w:tplc="71203F2E">
      <w:start w:val="1"/>
      <w:numFmt w:val="bullet"/>
      <w:lvlText w:val=""/>
      <w:lvlJc w:val="left"/>
      <w:pPr>
        <w:ind w:left="5029" w:hanging="360"/>
      </w:pPr>
      <w:rPr>
        <w:rFonts w:ascii="Wingdings" w:hAnsi="Wingdings" w:hint="default"/>
      </w:rPr>
    </w:lvl>
    <w:lvl w:ilvl="6" w:tplc="55F4082E">
      <w:start w:val="1"/>
      <w:numFmt w:val="bullet"/>
      <w:lvlText w:val=""/>
      <w:lvlJc w:val="left"/>
      <w:pPr>
        <w:ind w:left="5749" w:hanging="360"/>
      </w:pPr>
      <w:rPr>
        <w:rFonts w:ascii="Symbol" w:hAnsi="Symbol" w:hint="default"/>
      </w:rPr>
    </w:lvl>
    <w:lvl w:ilvl="7" w:tplc="33DAA778">
      <w:start w:val="1"/>
      <w:numFmt w:val="bullet"/>
      <w:lvlText w:val="o"/>
      <w:lvlJc w:val="left"/>
      <w:pPr>
        <w:ind w:left="6469" w:hanging="360"/>
      </w:pPr>
      <w:rPr>
        <w:rFonts w:ascii="Courier New" w:hAnsi="Courier New" w:cs="Courier New" w:hint="default"/>
      </w:rPr>
    </w:lvl>
    <w:lvl w:ilvl="8" w:tplc="15C803F6">
      <w:start w:val="1"/>
      <w:numFmt w:val="bullet"/>
      <w:lvlText w:val=""/>
      <w:lvlJc w:val="left"/>
      <w:pPr>
        <w:ind w:left="7189" w:hanging="360"/>
      </w:pPr>
      <w:rPr>
        <w:rFonts w:ascii="Wingdings" w:hAnsi="Wingdings" w:hint="default"/>
      </w:rPr>
    </w:lvl>
  </w:abstractNum>
  <w:abstractNum w:abstractNumId="89" w15:restartNumberingAfterBreak="0">
    <w:nsid w:val="792C559D"/>
    <w:multiLevelType w:val="hybridMultilevel"/>
    <w:tmpl w:val="84647650"/>
    <w:lvl w:ilvl="0" w:tplc="5518E244">
      <w:start w:val="1"/>
      <w:numFmt w:val="bullet"/>
      <w:lvlText w:val=""/>
      <w:lvlJc w:val="left"/>
      <w:pPr>
        <w:ind w:left="0" w:hanging="360"/>
      </w:pPr>
      <w:rPr>
        <w:rFonts w:ascii="Symbol" w:hAnsi="Symbol" w:hint="default"/>
      </w:rPr>
    </w:lvl>
    <w:lvl w:ilvl="1" w:tplc="C996F6B4">
      <w:start w:val="1"/>
      <w:numFmt w:val="bullet"/>
      <w:lvlText w:val="o"/>
      <w:lvlJc w:val="left"/>
      <w:pPr>
        <w:ind w:left="720" w:hanging="360"/>
      </w:pPr>
      <w:rPr>
        <w:rFonts w:ascii="Courier New" w:hAnsi="Courier New" w:cs="Courier New" w:hint="default"/>
      </w:rPr>
    </w:lvl>
    <w:lvl w:ilvl="2" w:tplc="0290C094">
      <w:start w:val="1"/>
      <w:numFmt w:val="bullet"/>
      <w:lvlText w:val=""/>
      <w:lvlJc w:val="left"/>
      <w:pPr>
        <w:ind w:left="1440" w:hanging="360"/>
      </w:pPr>
      <w:rPr>
        <w:rFonts w:ascii="Wingdings" w:hAnsi="Wingdings" w:hint="default"/>
      </w:rPr>
    </w:lvl>
    <w:lvl w:ilvl="3" w:tplc="77D6C2D2">
      <w:start w:val="1"/>
      <w:numFmt w:val="bullet"/>
      <w:lvlText w:val=""/>
      <w:lvlJc w:val="left"/>
      <w:pPr>
        <w:ind w:left="2160" w:hanging="360"/>
      </w:pPr>
      <w:rPr>
        <w:rFonts w:ascii="Symbol" w:hAnsi="Symbol" w:hint="default"/>
      </w:rPr>
    </w:lvl>
    <w:lvl w:ilvl="4" w:tplc="694606C2">
      <w:start w:val="1"/>
      <w:numFmt w:val="bullet"/>
      <w:lvlText w:val="o"/>
      <w:lvlJc w:val="left"/>
      <w:pPr>
        <w:ind w:left="2880" w:hanging="360"/>
      </w:pPr>
      <w:rPr>
        <w:rFonts w:ascii="Courier New" w:hAnsi="Courier New" w:cs="Courier New" w:hint="default"/>
      </w:rPr>
    </w:lvl>
    <w:lvl w:ilvl="5" w:tplc="BE0ED4F6">
      <w:start w:val="1"/>
      <w:numFmt w:val="bullet"/>
      <w:lvlText w:val=""/>
      <w:lvlJc w:val="left"/>
      <w:pPr>
        <w:ind w:left="3600" w:hanging="360"/>
      </w:pPr>
      <w:rPr>
        <w:rFonts w:ascii="Wingdings" w:hAnsi="Wingdings" w:hint="default"/>
      </w:rPr>
    </w:lvl>
    <w:lvl w:ilvl="6" w:tplc="6C6AAEA2">
      <w:start w:val="1"/>
      <w:numFmt w:val="bullet"/>
      <w:lvlText w:val=""/>
      <w:lvlJc w:val="left"/>
      <w:pPr>
        <w:ind w:left="4320" w:hanging="360"/>
      </w:pPr>
      <w:rPr>
        <w:rFonts w:ascii="Symbol" w:hAnsi="Symbol" w:hint="default"/>
      </w:rPr>
    </w:lvl>
    <w:lvl w:ilvl="7" w:tplc="069E5B46">
      <w:start w:val="1"/>
      <w:numFmt w:val="bullet"/>
      <w:lvlText w:val="o"/>
      <w:lvlJc w:val="left"/>
      <w:pPr>
        <w:ind w:left="5040" w:hanging="360"/>
      </w:pPr>
      <w:rPr>
        <w:rFonts w:ascii="Courier New" w:hAnsi="Courier New" w:cs="Courier New" w:hint="default"/>
      </w:rPr>
    </w:lvl>
    <w:lvl w:ilvl="8" w:tplc="23EA226C">
      <w:start w:val="1"/>
      <w:numFmt w:val="bullet"/>
      <w:lvlText w:val=""/>
      <w:lvlJc w:val="left"/>
      <w:pPr>
        <w:ind w:left="5760" w:hanging="360"/>
      </w:pPr>
      <w:rPr>
        <w:rFonts w:ascii="Wingdings" w:hAnsi="Wingdings" w:hint="default"/>
      </w:rPr>
    </w:lvl>
  </w:abstractNum>
  <w:abstractNum w:abstractNumId="90" w15:restartNumberingAfterBreak="0">
    <w:nsid w:val="79580626"/>
    <w:multiLevelType w:val="hybridMultilevel"/>
    <w:tmpl w:val="2DEE6DB6"/>
    <w:lvl w:ilvl="0" w:tplc="6F8A9250">
      <w:start w:val="1"/>
      <w:numFmt w:val="decimal"/>
      <w:lvlText w:val="%1)"/>
      <w:lvlJc w:val="left"/>
      <w:pPr>
        <w:ind w:left="720" w:hanging="360"/>
      </w:pPr>
    </w:lvl>
    <w:lvl w:ilvl="1" w:tplc="902C8EA2">
      <w:start w:val="1"/>
      <w:numFmt w:val="lowerLetter"/>
      <w:lvlText w:val="%2."/>
      <w:lvlJc w:val="left"/>
      <w:pPr>
        <w:ind w:left="1440" w:hanging="360"/>
      </w:pPr>
    </w:lvl>
    <w:lvl w:ilvl="2" w:tplc="5686B162">
      <w:start w:val="1"/>
      <w:numFmt w:val="lowerRoman"/>
      <w:lvlText w:val="%3."/>
      <w:lvlJc w:val="right"/>
      <w:pPr>
        <w:ind w:left="2160" w:hanging="180"/>
      </w:pPr>
    </w:lvl>
    <w:lvl w:ilvl="3" w:tplc="714CF9B8">
      <w:start w:val="1"/>
      <w:numFmt w:val="decimal"/>
      <w:lvlText w:val="%4."/>
      <w:lvlJc w:val="left"/>
      <w:pPr>
        <w:ind w:left="2880" w:hanging="360"/>
      </w:pPr>
    </w:lvl>
    <w:lvl w:ilvl="4" w:tplc="901CED24">
      <w:start w:val="1"/>
      <w:numFmt w:val="lowerLetter"/>
      <w:lvlText w:val="%5."/>
      <w:lvlJc w:val="left"/>
      <w:pPr>
        <w:ind w:left="3600" w:hanging="360"/>
      </w:pPr>
    </w:lvl>
    <w:lvl w:ilvl="5" w:tplc="447CBD00">
      <w:start w:val="1"/>
      <w:numFmt w:val="lowerRoman"/>
      <w:lvlText w:val="%6."/>
      <w:lvlJc w:val="right"/>
      <w:pPr>
        <w:ind w:left="4320" w:hanging="180"/>
      </w:pPr>
    </w:lvl>
    <w:lvl w:ilvl="6" w:tplc="3DFEAAB2">
      <w:start w:val="1"/>
      <w:numFmt w:val="decimal"/>
      <w:lvlText w:val="%7."/>
      <w:lvlJc w:val="left"/>
      <w:pPr>
        <w:ind w:left="5040" w:hanging="360"/>
      </w:pPr>
    </w:lvl>
    <w:lvl w:ilvl="7" w:tplc="EEBC35B6">
      <w:start w:val="1"/>
      <w:numFmt w:val="lowerLetter"/>
      <w:lvlText w:val="%8."/>
      <w:lvlJc w:val="left"/>
      <w:pPr>
        <w:ind w:left="5760" w:hanging="360"/>
      </w:pPr>
    </w:lvl>
    <w:lvl w:ilvl="8" w:tplc="169839CE">
      <w:start w:val="1"/>
      <w:numFmt w:val="lowerRoman"/>
      <w:lvlText w:val="%9."/>
      <w:lvlJc w:val="right"/>
      <w:pPr>
        <w:ind w:left="6480" w:hanging="180"/>
      </w:pPr>
    </w:lvl>
  </w:abstractNum>
  <w:abstractNum w:abstractNumId="91" w15:restartNumberingAfterBreak="0">
    <w:nsid w:val="79F16503"/>
    <w:multiLevelType w:val="hybridMultilevel"/>
    <w:tmpl w:val="ED4AEC02"/>
    <w:lvl w:ilvl="0" w:tplc="863409C2">
      <w:start w:val="1"/>
      <w:numFmt w:val="bullet"/>
      <w:pStyle w:val="12"/>
      <w:lvlText w:val=""/>
      <w:lvlJc w:val="left"/>
      <w:pPr>
        <w:tabs>
          <w:tab w:val="num" w:pos="720"/>
        </w:tabs>
        <w:ind w:left="720" w:hanging="360"/>
      </w:pPr>
      <w:rPr>
        <w:rFonts w:ascii="Wingdings" w:hAnsi="Wingdings" w:hint="default"/>
      </w:rPr>
    </w:lvl>
    <w:lvl w:ilvl="1" w:tplc="AA948D30">
      <w:start w:val="1"/>
      <w:numFmt w:val="decimal"/>
      <w:lvlText w:val="%2)"/>
      <w:lvlJc w:val="left"/>
      <w:pPr>
        <w:tabs>
          <w:tab w:val="num" w:pos="1440"/>
        </w:tabs>
        <w:ind w:left="1440" w:hanging="360"/>
      </w:pPr>
    </w:lvl>
    <w:lvl w:ilvl="2" w:tplc="EEB40A7C">
      <w:start w:val="1"/>
      <w:numFmt w:val="bullet"/>
      <w:lvlText w:val=""/>
      <w:lvlJc w:val="left"/>
      <w:pPr>
        <w:tabs>
          <w:tab w:val="num" w:pos="2160"/>
        </w:tabs>
        <w:ind w:left="2160" w:hanging="360"/>
      </w:pPr>
      <w:rPr>
        <w:rFonts w:ascii="Wingdings" w:hAnsi="Wingdings" w:hint="default"/>
      </w:rPr>
    </w:lvl>
    <w:lvl w:ilvl="3" w:tplc="77569CA4">
      <w:start w:val="1"/>
      <w:numFmt w:val="bullet"/>
      <w:lvlText w:val=""/>
      <w:lvlJc w:val="left"/>
      <w:pPr>
        <w:tabs>
          <w:tab w:val="num" w:pos="2880"/>
        </w:tabs>
        <w:ind w:left="2880" w:hanging="360"/>
      </w:pPr>
      <w:rPr>
        <w:rFonts w:ascii="Symbol" w:hAnsi="Symbol" w:hint="default"/>
      </w:rPr>
    </w:lvl>
    <w:lvl w:ilvl="4" w:tplc="D88641A2">
      <w:start w:val="1"/>
      <w:numFmt w:val="bullet"/>
      <w:lvlText w:val="o"/>
      <w:lvlJc w:val="left"/>
      <w:pPr>
        <w:tabs>
          <w:tab w:val="num" w:pos="3600"/>
        </w:tabs>
        <w:ind w:left="3600" w:hanging="360"/>
      </w:pPr>
      <w:rPr>
        <w:rFonts w:ascii="Courier New" w:hAnsi="Courier New" w:hint="default"/>
      </w:rPr>
    </w:lvl>
    <w:lvl w:ilvl="5" w:tplc="774633C6">
      <w:start w:val="1"/>
      <w:numFmt w:val="bullet"/>
      <w:lvlText w:val=""/>
      <w:lvlJc w:val="left"/>
      <w:pPr>
        <w:tabs>
          <w:tab w:val="num" w:pos="4320"/>
        </w:tabs>
        <w:ind w:left="4320" w:hanging="360"/>
      </w:pPr>
      <w:rPr>
        <w:rFonts w:ascii="Wingdings" w:hAnsi="Wingdings" w:hint="default"/>
      </w:rPr>
    </w:lvl>
    <w:lvl w:ilvl="6" w:tplc="928A528C">
      <w:start w:val="1"/>
      <w:numFmt w:val="bullet"/>
      <w:lvlText w:val=""/>
      <w:lvlJc w:val="left"/>
      <w:pPr>
        <w:tabs>
          <w:tab w:val="num" w:pos="5040"/>
        </w:tabs>
        <w:ind w:left="5040" w:hanging="360"/>
      </w:pPr>
      <w:rPr>
        <w:rFonts w:ascii="Symbol" w:hAnsi="Symbol" w:hint="default"/>
      </w:rPr>
    </w:lvl>
    <w:lvl w:ilvl="7" w:tplc="191E18FC">
      <w:start w:val="1"/>
      <w:numFmt w:val="bullet"/>
      <w:lvlText w:val="o"/>
      <w:lvlJc w:val="left"/>
      <w:pPr>
        <w:tabs>
          <w:tab w:val="num" w:pos="5760"/>
        </w:tabs>
        <w:ind w:left="5760" w:hanging="360"/>
      </w:pPr>
      <w:rPr>
        <w:rFonts w:ascii="Courier New" w:hAnsi="Courier New" w:hint="default"/>
      </w:rPr>
    </w:lvl>
    <w:lvl w:ilvl="8" w:tplc="D78CC49A">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CFD5638"/>
    <w:multiLevelType w:val="hybridMultilevel"/>
    <w:tmpl w:val="B21A2CDA"/>
    <w:styleLink w:val="30"/>
    <w:lvl w:ilvl="0" w:tplc="EFDE993C">
      <w:start w:val="1"/>
      <w:numFmt w:val="bullet"/>
      <w:pStyle w:val="30"/>
      <w:lvlText w:val="·"/>
      <w:lvlJc w:val="left"/>
      <w:pPr>
        <w:tabs>
          <w:tab w:val="num" w:pos="1416"/>
        </w:tabs>
        <w:ind w:left="1440" w:hanging="360"/>
      </w:pPr>
      <w:rPr>
        <w:rFonts w:ascii="Symbol" w:eastAsia="Symbol" w:hAnsi="Symbol" w:cs="Symbol"/>
        <w:b w:val="0"/>
        <w:bCs w:val="0"/>
        <w:i w:val="0"/>
        <w:iCs w:val="0"/>
        <w:caps w:val="0"/>
        <w:smallCaps w:val="0"/>
        <w:strike w:val="0"/>
        <w:color w:val="000000"/>
        <w:spacing w:val="0"/>
        <w:position w:val="0"/>
        <w:highlight w:val="none"/>
        <w:vertAlign w:val="baseline"/>
      </w:rPr>
    </w:lvl>
    <w:lvl w:ilvl="1" w:tplc="139CB692">
      <w:start w:val="1"/>
      <w:numFmt w:val="bullet"/>
      <w:lvlText w:val="o"/>
      <w:lvlJc w:val="left"/>
      <w:pPr>
        <w:tabs>
          <w:tab w:val="num" w:pos="2124"/>
        </w:tabs>
        <w:ind w:left="2148" w:hanging="348"/>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lvl w:ilvl="2" w:tplc="8CBEC70E">
      <w:start w:val="1"/>
      <w:numFmt w:val="bullet"/>
      <w:lvlText w:val="▪"/>
      <w:lvlJc w:val="left"/>
      <w:pPr>
        <w:tabs>
          <w:tab w:val="num" w:pos="2832"/>
        </w:tabs>
        <w:ind w:left="2856" w:hanging="336"/>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lvl w:ilvl="3" w:tplc="E1762A18">
      <w:start w:val="1"/>
      <w:numFmt w:val="bullet"/>
      <w:lvlText w:val="·"/>
      <w:lvlJc w:val="left"/>
      <w:pPr>
        <w:tabs>
          <w:tab w:val="num" w:pos="3540"/>
        </w:tabs>
        <w:ind w:left="3564" w:hanging="324"/>
      </w:pPr>
      <w:rPr>
        <w:rFonts w:ascii="Symbol" w:eastAsia="Symbol" w:hAnsi="Symbol" w:cs="Symbol"/>
        <w:b w:val="0"/>
        <w:bCs w:val="0"/>
        <w:i w:val="0"/>
        <w:iCs w:val="0"/>
        <w:caps w:val="0"/>
        <w:smallCaps w:val="0"/>
        <w:strike w:val="0"/>
        <w:color w:val="000000"/>
        <w:spacing w:val="0"/>
        <w:position w:val="0"/>
        <w:highlight w:val="none"/>
        <w:vertAlign w:val="baseline"/>
      </w:rPr>
    </w:lvl>
    <w:lvl w:ilvl="4" w:tplc="277AF516">
      <w:start w:val="1"/>
      <w:numFmt w:val="bullet"/>
      <w:lvlText w:val="o"/>
      <w:lvlJc w:val="left"/>
      <w:pPr>
        <w:tabs>
          <w:tab w:val="num" w:pos="4248"/>
        </w:tabs>
        <w:ind w:left="4272" w:hanging="312"/>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lvl w:ilvl="5" w:tplc="D1AA1FB6">
      <w:start w:val="1"/>
      <w:numFmt w:val="bullet"/>
      <w:lvlText w:val="▪"/>
      <w:lvlJc w:val="left"/>
      <w:pPr>
        <w:tabs>
          <w:tab w:val="num" w:pos="4956"/>
        </w:tabs>
        <w:ind w:left="4980" w:hanging="300"/>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lvl w:ilvl="6" w:tplc="EC10D724">
      <w:start w:val="1"/>
      <w:numFmt w:val="bullet"/>
      <w:lvlText w:val="·"/>
      <w:lvlJc w:val="left"/>
      <w:pPr>
        <w:tabs>
          <w:tab w:val="num" w:pos="5664"/>
        </w:tabs>
        <w:ind w:left="5688" w:hanging="288"/>
      </w:pPr>
      <w:rPr>
        <w:rFonts w:ascii="Symbol" w:eastAsia="Symbol" w:hAnsi="Symbol" w:cs="Symbol"/>
        <w:b w:val="0"/>
        <w:bCs w:val="0"/>
        <w:i w:val="0"/>
        <w:iCs w:val="0"/>
        <w:caps w:val="0"/>
        <w:smallCaps w:val="0"/>
        <w:strike w:val="0"/>
        <w:color w:val="000000"/>
        <w:spacing w:val="0"/>
        <w:position w:val="0"/>
        <w:highlight w:val="none"/>
        <w:vertAlign w:val="baseline"/>
      </w:rPr>
    </w:lvl>
    <w:lvl w:ilvl="7" w:tplc="FC30764C">
      <w:start w:val="1"/>
      <w:numFmt w:val="bullet"/>
      <w:lvlText w:val="o"/>
      <w:lvlJc w:val="left"/>
      <w:pPr>
        <w:tabs>
          <w:tab w:val="num" w:pos="6372"/>
        </w:tabs>
        <w:ind w:left="6396" w:hanging="276"/>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lvl w:ilvl="8" w:tplc="C68A3A46">
      <w:start w:val="1"/>
      <w:numFmt w:val="bullet"/>
      <w:lvlText w:val="▪"/>
      <w:lvlJc w:val="left"/>
      <w:pPr>
        <w:tabs>
          <w:tab w:val="num" w:pos="7080"/>
        </w:tabs>
        <w:ind w:left="7104" w:hanging="264"/>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abstractNum>
  <w:abstractNum w:abstractNumId="93" w15:restartNumberingAfterBreak="0">
    <w:nsid w:val="7D090B85"/>
    <w:multiLevelType w:val="hybridMultilevel"/>
    <w:tmpl w:val="59B87438"/>
    <w:lvl w:ilvl="0" w:tplc="2BACCAB8">
      <w:start w:val="1"/>
      <w:numFmt w:val="bullet"/>
      <w:lvlText w:val="­"/>
      <w:lvlJc w:val="left"/>
      <w:pPr>
        <w:ind w:left="1429" w:hanging="360"/>
      </w:pPr>
      <w:rPr>
        <w:rFonts w:ascii="Times New Roman" w:hAnsi="Times New Roman" w:hint="default"/>
      </w:rPr>
    </w:lvl>
    <w:lvl w:ilvl="1" w:tplc="8416C6DA">
      <w:start w:val="1"/>
      <w:numFmt w:val="bullet"/>
      <w:lvlText w:val="o"/>
      <w:lvlJc w:val="left"/>
      <w:pPr>
        <w:ind w:left="2149" w:hanging="360"/>
      </w:pPr>
      <w:rPr>
        <w:rFonts w:ascii="Courier New" w:hAnsi="Courier New" w:cs="Courier New" w:hint="default"/>
      </w:rPr>
    </w:lvl>
    <w:lvl w:ilvl="2" w:tplc="50E8671A">
      <w:start w:val="1"/>
      <w:numFmt w:val="bullet"/>
      <w:lvlText w:val=""/>
      <w:lvlJc w:val="left"/>
      <w:pPr>
        <w:ind w:left="2869" w:hanging="360"/>
      </w:pPr>
      <w:rPr>
        <w:rFonts w:ascii="Wingdings" w:hAnsi="Wingdings" w:hint="default"/>
      </w:rPr>
    </w:lvl>
    <w:lvl w:ilvl="3" w:tplc="AE081118">
      <w:start w:val="1"/>
      <w:numFmt w:val="bullet"/>
      <w:lvlText w:val=""/>
      <w:lvlJc w:val="left"/>
      <w:pPr>
        <w:ind w:left="3589" w:hanging="360"/>
      </w:pPr>
      <w:rPr>
        <w:rFonts w:ascii="Symbol" w:hAnsi="Symbol" w:hint="default"/>
      </w:rPr>
    </w:lvl>
    <w:lvl w:ilvl="4" w:tplc="3E42EF5E">
      <w:start w:val="1"/>
      <w:numFmt w:val="bullet"/>
      <w:lvlText w:val="o"/>
      <w:lvlJc w:val="left"/>
      <w:pPr>
        <w:ind w:left="4309" w:hanging="360"/>
      </w:pPr>
      <w:rPr>
        <w:rFonts w:ascii="Courier New" w:hAnsi="Courier New" w:cs="Courier New" w:hint="default"/>
      </w:rPr>
    </w:lvl>
    <w:lvl w:ilvl="5" w:tplc="A2D080D8">
      <w:start w:val="1"/>
      <w:numFmt w:val="bullet"/>
      <w:lvlText w:val=""/>
      <w:lvlJc w:val="left"/>
      <w:pPr>
        <w:ind w:left="5029" w:hanging="360"/>
      </w:pPr>
      <w:rPr>
        <w:rFonts w:ascii="Wingdings" w:hAnsi="Wingdings" w:hint="default"/>
      </w:rPr>
    </w:lvl>
    <w:lvl w:ilvl="6" w:tplc="519E7AC4">
      <w:start w:val="1"/>
      <w:numFmt w:val="bullet"/>
      <w:lvlText w:val=""/>
      <w:lvlJc w:val="left"/>
      <w:pPr>
        <w:ind w:left="5749" w:hanging="360"/>
      </w:pPr>
      <w:rPr>
        <w:rFonts w:ascii="Symbol" w:hAnsi="Symbol" w:hint="default"/>
      </w:rPr>
    </w:lvl>
    <w:lvl w:ilvl="7" w:tplc="4F9C6710">
      <w:start w:val="1"/>
      <w:numFmt w:val="bullet"/>
      <w:lvlText w:val="o"/>
      <w:lvlJc w:val="left"/>
      <w:pPr>
        <w:ind w:left="6469" w:hanging="360"/>
      </w:pPr>
      <w:rPr>
        <w:rFonts w:ascii="Courier New" w:hAnsi="Courier New" w:cs="Courier New" w:hint="default"/>
      </w:rPr>
    </w:lvl>
    <w:lvl w:ilvl="8" w:tplc="324CE0E4">
      <w:start w:val="1"/>
      <w:numFmt w:val="bullet"/>
      <w:lvlText w:val=""/>
      <w:lvlJc w:val="left"/>
      <w:pPr>
        <w:ind w:left="7189" w:hanging="360"/>
      </w:pPr>
      <w:rPr>
        <w:rFonts w:ascii="Wingdings" w:hAnsi="Wingdings" w:hint="default"/>
      </w:rPr>
    </w:lvl>
  </w:abstractNum>
  <w:abstractNum w:abstractNumId="94" w15:restartNumberingAfterBreak="0">
    <w:nsid w:val="7D592087"/>
    <w:multiLevelType w:val="hybridMultilevel"/>
    <w:tmpl w:val="1C5C4E92"/>
    <w:styleLink w:val="22"/>
    <w:lvl w:ilvl="0" w:tplc="AD5E96A2">
      <w:start w:val="1"/>
      <w:numFmt w:val="bullet"/>
      <w:pStyle w:val="22"/>
      <w:lvlText w:val="-"/>
      <w:lvlJc w:val="left"/>
      <w:pPr>
        <w:tabs>
          <w:tab w:val="num" w:pos="1134"/>
          <w:tab w:val="left" w:pos="1560"/>
        </w:tabs>
        <w:ind w:left="425" w:firstLine="284"/>
      </w:pPr>
      <w:rPr>
        <w:rFonts w:ascii="Symbol" w:eastAsia="Symbol" w:hAnsi="Symbol" w:cs="Symbol"/>
        <w:b w:val="0"/>
        <w:bCs w:val="0"/>
        <w:i w:val="0"/>
        <w:iCs w:val="0"/>
        <w:caps w:val="0"/>
        <w:smallCaps w:val="0"/>
        <w:strike w:val="0"/>
        <w:color w:val="000000"/>
        <w:spacing w:val="0"/>
        <w:position w:val="0"/>
        <w:highlight w:val="none"/>
        <w:vertAlign w:val="baseline"/>
      </w:rPr>
    </w:lvl>
    <w:lvl w:ilvl="1" w:tplc="405C6A36">
      <w:start w:val="1"/>
      <w:numFmt w:val="bullet"/>
      <w:lvlText w:val="o"/>
      <w:lvlJc w:val="left"/>
      <w:pPr>
        <w:tabs>
          <w:tab w:val="num" w:pos="1429"/>
          <w:tab w:val="left" w:pos="1560"/>
        </w:tabs>
        <w:ind w:left="720" w:firstLine="14"/>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lvl w:ilvl="2" w:tplc="158AC4CE">
      <w:start w:val="1"/>
      <w:numFmt w:val="bullet"/>
      <w:lvlText w:val="▪"/>
      <w:lvlJc w:val="left"/>
      <w:pPr>
        <w:tabs>
          <w:tab w:val="left" w:pos="1134"/>
          <w:tab w:val="left" w:pos="1560"/>
          <w:tab w:val="num" w:pos="2149"/>
        </w:tabs>
        <w:ind w:left="1440" w:firstLine="26"/>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lvl w:ilvl="3" w:tplc="CC50CA90">
      <w:start w:val="1"/>
      <w:numFmt w:val="bullet"/>
      <w:lvlText w:val="·"/>
      <w:lvlJc w:val="left"/>
      <w:pPr>
        <w:tabs>
          <w:tab w:val="left" w:pos="1134"/>
          <w:tab w:val="left" w:pos="1560"/>
          <w:tab w:val="num" w:pos="2869"/>
        </w:tabs>
        <w:ind w:left="2160" w:firstLine="38"/>
      </w:pPr>
      <w:rPr>
        <w:rFonts w:ascii="Symbol" w:eastAsia="Symbol" w:hAnsi="Symbol" w:cs="Symbol"/>
        <w:b w:val="0"/>
        <w:bCs w:val="0"/>
        <w:i w:val="0"/>
        <w:iCs w:val="0"/>
        <w:caps w:val="0"/>
        <w:smallCaps w:val="0"/>
        <w:strike w:val="0"/>
        <w:color w:val="000000"/>
        <w:spacing w:val="0"/>
        <w:position w:val="0"/>
        <w:highlight w:val="none"/>
        <w:vertAlign w:val="baseline"/>
      </w:rPr>
    </w:lvl>
    <w:lvl w:ilvl="4" w:tplc="791A56DE">
      <w:start w:val="1"/>
      <w:numFmt w:val="bullet"/>
      <w:lvlText w:val="o"/>
      <w:lvlJc w:val="left"/>
      <w:pPr>
        <w:tabs>
          <w:tab w:val="left" w:pos="1134"/>
          <w:tab w:val="left" w:pos="1560"/>
          <w:tab w:val="num" w:pos="3589"/>
        </w:tabs>
        <w:ind w:left="2880" w:firstLine="50"/>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lvl w:ilvl="5" w:tplc="FEA0D4BE">
      <w:start w:val="1"/>
      <w:numFmt w:val="bullet"/>
      <w:lvlText w:val="▪"/>
      <w:lvlJc w:val="left"/>
      <w:pPr>
        <w:tabs>
          <w:tab w:val="left" w:pos="1134"/>
          <w:tab w:val="left" w:pos="1560"/>
          <w:tab w:val="num" w:pos="4309"/>
        </w:tabs>
        <w:ind w:left="3600" w:firstLine="62"/>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lvl w:ilvl="6" w:tplc="0E0053FC">
      <w:start w:val="1"/>
      <w:numFmt w:val="bullet"/>
      <w:lvlText w:val="·"/>
      <w:lvlJc w:val="left"/>
      <w:pPr>
        <w:tabs>
          <w:tab w:val="left" w:pos="1134"/>
          <w:tab w:val="left" w:pos="1560"/>
          <w:tab w:val="num" w:pos="5029"/>
        </w:tabs>
        <w:ind w:left="4320" w:firstLine="74"/>
      </w:pPr>
      <w:rPr>
        <w:rFonts w:ascii="Symbol" w:eastAsia="Symbol" w:hAnsi="Symbol" w:cs="Symbol"/>
        <w:b w:val="0"/>
        <w:bCs w:val="0"/>
        <w:i w:val="0"/>
        <w:iCs w:val="0"/>
        <w:caps w:val="0"/>
        <w:smallCaps w:val="0"/>
        <w:strike w:val="0"/>
        <w:color w:val="000000"/>
        <w:spacing w:val="0"/>
        <w:position w:val="0"/>
        <w:highlight w:val="none"/>
        <w:vertAlign w:val="baseline"/>
      </w:rPr>
    </w:lvl>
    <w:lvl w:ilvl="7" w:tplc="797AD044">
      <w:start w:val="1"/>
      <w:numFmt w:val="bullet"/>
      <w:lvlText w:val="o"/>
      <w:lvlJc w:val="left"/>
      <w:pPr>
        <w:tabs>
          <w:tab w:val="left" w:pos="1134"/>
          <w:tab w:val="left" w:pos="1560"/>
          <w:tab w:val="num" w:pos="5749"/>
        </w:tabs>
        <w:ind w:left="5040" w:firstLine="86"/>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lvl w:ilvl="8" w:tplc="5370599E">
      <w:start w:val="1"/>
      <w:numFmt w:val="bullet"/>
      <w:lvlText w:val="▪"/>
      <w:lvlJc w:val="left"/>
      <w:pPr>
        <w:tabs>
          <w:tab w:val="left" w:pos="1134"/>
          <w:tab w:val="left" w:pos="1560"/>
          <w:tab w:val="num" w:pos="6469"/>
        </w:tabs>
        <w:ind w:left="5760" w:firstLine="98"/>
      </w:pPr>
      <w:rPr>
        <w:rFonts w:ascii="Arial Unicode MS" w:eastAsia="Arial Unicode MS" w:hAnsi="Arial Unicode MS" w:cs="Arial Unicode MS"/>
        <w:b w:val="0"/>
        <w:bCs w:val="0"/>
        <w:i w:val="0"/>
        <w:iCs w:val="0"/>
        <w:caps w:val="0"/>
        <w:smallCaps w:val="0"/>
        <w:strike w:val="0"/>
        <w:color w:val="000000"/>
        <w:spacing w:val="0"/>
        <w:position w:val="0"/>
        <w:highlight w:val="none"/>
        <w:vertAlign w:val="baseline"/>
      </w:rPr>
    </w:lvl>
  </w:abstractNum>
  <w:abstractNum w:abstractNumId="95" w15:restartNumberingAfterBreak="0">
    <w:nsid w:val="7E2B08FA"/>
    <w:multiLevelType w:val="hybridMultilevel"/>
    <w:tmpl w:val="1E2CED58"/>
    <w:lvl w:ilvl="0" w:tplc="EDDA8E0C">
      <w:start w:val="1"/>
      <w:numFmt w:val="bullet"/>
      <w:lvlText w:val="–"/>
      <w:lvlJc w:val="left"/>
      <w:pPr>
        <w:ind w:left="720" w:hanging="360"/>
      </w:pPr>
      <w:rPr>
        <w:rFonts w:ascii="Arial" w:eastAsia="Arial" w:hAnsi="Arial" w:cs="Arial"/>
      </w:rPr>
    </w:lvl>
    <w:lvl w:ilvl="1" w:tplc="05D882A6">
      <w:start w:val="1"/>
      <w:numFmt w:val="bullet"/>
      <w:lvlText w:val="o"/>
      <w:lvlJc w:val="left"/>
      <w:pPr>
        <w:ind w:left="1440" w:hanging="360"/>
      </w:pPr>
      <w:rPr>
        <w:rFonts w:ascii="Courier New" w:eastAsia="Courier New" w:hAnsi="Courier New" w:cs="Courier New" w:hint="default"/>
      </w:rPr>
    </w:lvl>
    <w:lvl w:ilvl="2" w:tplc="A0D21CF8">
      <w:start w:val="1"/>
      <w:numFmt w:val="bullet"/>
      <w:lvlText w:val="§"/>
      <w:lvlJc w:val="left"/>
      <w:pPr>
        <w:ind w:left="2160" w:hanging="360"/>
      </w:pPr>
      <w:rPr>
        <w:rFonts w:ascii="Wingdings" w:eastAsia="Wingdings" w:hAnsi="Wingdings" w:cs="Wingdings" w:hint="default"/>
      </w:rPr>
    </w:lvl>
    <w:lvl w:ilvl="3" w:tplc="C6E6E6F0">
      <w:start w:val="1"/>
      <w:numFmt w:val="bullet"/>
      <w:lvlText w:val="·"/>
      <w:lvlJc w:val="left"/>
      <w:pPr>
        <w:ind w:left="2880" w:hanging="360"/>
      </w:pPr>
      <w:rPr>
        <w:rFonts w:ascii="Symbol" w:eastAsia="Symbol" w:hAnsi="Symbol" w:cs="Symbol" w:hint="default"/>
      </w:rPr>
    </w:lvl>
    <w:lvl w:ilvl="4" w:tplc="14B492FC">
      <w:start w:val="1"/>
      <w:numFmt w:val="bullet"/>
      <w:lvlText w:val="o"/>
      <w:lvlJc w:val="left"/>
      <w:pPr>
        <w:ind w:left="3600" w:hanging="360"/>
      </w:pPr>
      <w:rPr>
        <w:rFonts w:ascii="Courier New" w:eastAsia="Courier New" w:hAnsi="Courier New" w:cs="Courier New" w:hint="default"/>
      </w:rPr>
    </w:lvl>
    <w:lvl w:ilvl="5" w:tplc="516855C4">
      <w:start w:val="1"/>
      <w:numFmt w:val="bullet"/>
      <w:lvlText w:val="§"/>
      <w:lvlJc w:val="left"/>
      <w:pPr>
        <w:ind w:left="4320" w:hanging="360"/>
      </w:pPr>
      <w:rPr>
        <w:rFonts w:ascii="Wingdings" w:eastAsia="Wingdings" w:hAnsi="Wingdings" w:cs="Wingdings" w:hint="default"/>
      </w:rPr>
    </w:lvl>
    <w:lvl w:ilvl="6" w:tplc="B05AF386">
      <w:start w:val="1"/>
      <w:numFmt w:val="bullet"/>
      <w:lvlText w:val="·"/>
      <w:lvlJc w:val="left"/>
      <w:pPr>
        <w:ind w:left="5040" w:hanging="360"/>
      </w:pPr>
      <w:rPr>
        <w:rFonts w:ascii="Symbol" w:eastAsia="Symbol" w:hAnsi="Symbol" w:cs="Symbol" w:hint="default"/>
      </w:rPr>
    </w:lvl>
    <w:lvl w:ilvl="7" w:tplc="E08874AE">
      <w:start w:val="1"/>
      <w:numFmt w:val="bullet"/>
      <w:lvlText w:val="o"/>
      <w:lvlJc w:val="left"/>
      <w:pPr>
        <w:ind w:left="5760" w:hanging="360"/>
      </w:pPr>
      <w:rPr>
        <w:rFonts w:ascii="Courier New" w:eastAsia="Courier New" w:hAnsi="Courier New" w:cs="Courier New" w:hint="default"/>
      </w:rPr>
    </w:lvl>
    <w:lvl w:ilvl="8" w:tplc="B192BEB6">
      <w:start w:val="1"/>
      <w:numFmt w:val="bullet"/>
      <w:lvlText w:val="§"/>
      <w:lvlJc w:val="left"/>
      <w:pPr>
        <w:ind w:left="6480" w:hanging="360"/>
      </w:pPr>
      <w:rPr>
        <w:rFonts w:ascii="Wingdings" w:eastAsia="Wingdings" w:hAnsi="Wingdings" w:cs="Wingdings" w:hint="default"/>
      </w:rPr>
    </w:lvl>
  </w:abstractNum>
  <w:abstractNum w:abstractNumId="96" w15:restartNumberingAfterBreak="0">
    <w:nsid w:val="7EA012AB"/>
    <w:multiLevelType w:val="hybridMultilevel"/>
    <w:tmpl w:val="D04A4A4C"/>
    <w:lvl w:ilvl="0" w:tplc="94147148">
      <w:start w:val="1"/>
      <w:numFmt w:val="decimal"/>
      <w:lvlText w:val="%1)"/>
      <w:lvlJc w:val="left"/>
      <w:pPr>
        <w:ind w:left="709" w:hanging="360"/>
      </w:pPr>
    </w:lvl>
    <w:lvl w:ilvl="1" w:tplc="6FE8712C">
      <w:start w:val="1"/>
      <w:numFmt w:val="lowerLetter"/>
      <w:lvlText w:val="%2."/>
      <w:lvlJc w:val="left"/>
      <w:pPr>
        <w:ind w:left="1429" w:hanging="360"/>
      </w:pPr>
    </w:lvl>
    <w:lvl w:ilvl="2" w:tplc="347277DC">
      <w:start w:val="1"/>
      <w:numFmt w:val="lowerRoman"/>
      <w:lvlText w:val="%3."/>
      <w:lvlJc w:val="right"/>
      <w:pPr>
        <w:ind w:left="2149" w:hanging="180"/>
      </w:pPr>
    </w:lvl>
    <w:lvl w:ilvl="3" w:tplc="CCD23F78">
      <w:start w:val="1"/>
      <w:numFmt w:val="decimal"/>
      <w:lvlText w:val="%4."/>
      <w:lvlJc w:val="left"/>
      <w:pPr>
        <w:ind w:left="2869" w:hanging="360"/>
      </w:pPr>
    </w:lvl>
    <w:lvl w:ilvl="4" w:tplc="6A3A9334">
      <w:start w:val="1"/>
      <w:numFmt w:val="lowerLetter"/>
      <w:lvlText w:val="%5."/>
      <w:lvlJc w:val="left"/>
      <w:pPr>
        <w:ind w:left="3589" w:hanging="360"/>
      </w:pPr>
    </w:lvl>
    <w:lvl w:ilvl="5" w:tplc="C5A00FFE">
      <w:start w:val="1"/>
      <w:numFmt w:val="lowerRoman"/>
      <w:lvlText w:val="%6."/>
      <w:lvlJc w:val="right"/>
      <w:pPr>
        <w:ind w:left="4309" w:hanging="180"/>
      </w:pPr>
    </w:lvl>
    <w:lvl w:ilvl="6" w:tplc="CF64EC46">
      <w:start w:val="1"/>
      <w:numFmt w:val="decimal"/>
      <w:lvlText w:val="%7."/>
      <w:lvlJc w:val="left"/>
      <w:pPr>
        <w:ind w:left="5029" w:hanging="360"/>
      </w:pPr>
    </w:lvl>
    <w:lvl w:ilvl="7" w:tplc="BA4C8226">
      <w:start w:val="1"/>
      <w:numFmt w:val="lowerLetter"/>
      <w:lvlText w:val="%8."/>
      <w:lvlJc w:val="left"/>
      <w:pPr>
        <w:ind w:left="5749" w:hanging="360"/>
      </w:pPr>
    </w:lvl>
    <w:lvl w:ilvl="8" w:tplc="6672B268">
      <w:start w:val="1"/>
      <w:numFmt w:val="lowerRoman"/>
      <w:lvlText w:val="%9."/>
      <w:lvlJc w:val="right"/>
      <w:pPr>
        <w:ind w:left="6469" w:hanging="180"/>
      </w:pPr>
    </w:lvl>
  </w:abstractNum>
  <w:num w:numId="1">
    <w:abstractNumId w:val="24"/>
  </w:num>
  <w:num w:numId="2">
    <w:abstractNumId w:val="62"/>
    <w:lvlOverride w:ilvl="0">
      <w:startOverride w:val="5"/>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84"/>
  </w:num>
  <w:num w:numId="5">
    <w:abstractNumId w:val="72"/>
  </w:num>
  <w:num w:numId="6">
    <w:abstractNumId w:val="37"/>
  </w:num>
  <w:num w:numId="7">
    <w:abstractNumId w:val="39"/>
  </w:num>
  <w:num w:numId="8">
    <w:abstractNumId w:val="42"/>
  </w:num>
  <w:num w:numId="9">
    <w:abstractNumId w:val="94"/>
  </w:num>
  <w:num w:numId="10">
    <w:abstractNumId w:val="92"/>
  </w:num>
  <w:num w:numId="1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1"/>
  </w:num>
  <w:num w:numId="13">
    <w:abstractNumId w:val="9"/>
  </w:num>
  <w:num w:numId="14">
    <w:abstractNumId w:val="43"/>
  </w:num>
  <w:num w:numId="15">
    <w:abstractNumId w:val="14"/>
  </w:num>
  <w:num w:numId="16">
    <w:abstractNumId w:val="86"/>
  </w:num>
  <w:num w:numId="17">
    <w:abstractNumId w:val="5"/>
  </w:num>
  <w:num w:numId="18">
    <w:abstractNumId w:val="55"/>
  </w:num>
  <w:num w:numId="19">
    <w:abstractNumId w:val="70"/>
  </w:num>
  <w:num w:numId="20">
    <w:abstractNumId w:val="88"/>
  </w:num>
  <w:num w:numId="21">
    <w:abstractNumId w:val="34"/>
  </w:num>
  <w:num w:numId="22">
    <w:abstractNumId w:val="6"/>
  </w:num>
  <w:num w:numId="23">
    <w:abstractNumId w:val="2"/>
  </w:num>
  <w:num w:numId="24">
    <w:abstractNumId w:val="49"/>
  </w:num>
  <w:num w:numId="25">
    <w:abstractNumId w:val="33"/>
  </w:num>
  <w:num w:numId="26">
    <w:abstractNumId w:val="1"/>
  </w:num>
  <w:num w:numId="27">
    <w:abstractNumId w:val="69"/>
  </w:num>
  <w:num w:numId="28">
    <w:abstractNumId w:val="60"/>
  </w:num>
  <w:num w:numId="29">
    <w:abstractNumId w:val="44"/>
  </w:num>
  <w:num w:numId="30">
    <w:abstractNumId w:val="67"/>
  </w:num>
  <w:num w:numId="31">
    <w:abstractNumId w:val="19"/>
  </w:num>
  <w:num w:numId="32">
    <w:abstractNumId w:val="35"/>
  </w:num>
  <w:num w:numId="33">
    <w:abstractNumId w:val="50"/>
  </w:num>
  <w:num w:numId="34">
    <w:abstractNumId w:val="56"/>
  </w:num>
  <w:num w:numId="35">
    <w:abstractNumId w:val="23"/>
  </w:num>
  <w:num w:numId="36">
    <w:abstractNumId w:val="30"/>
  </w:num>
  <w:num w:numId="37">
    <w:abstractNumId w:val="46"/>
  </w:num>
  <w:num w:numId="38">
    <w:abstractNumId w:val="20"/>
  </w:num>
  <w:num w:numId="39">
    <w:abstractNumId w:val="32"/>
  </w:num>
  <w:num w:numId="40">
    <w:abstractNumId w:val="96"/>
  </w:num>
  <w:num w:numId="41">
    <w:abstractNumId w:val="53"/>
  </w:num>
  <w:num w:numId="42">
    <w:abstractNumId w:val="76"/>
  </w:num>
  <w:num w:numId="43">
    <w:abstractNumId w:val="68"/>
  </w:num>
  <w:num w:numId="44">
    <w:abstractNumId w:val="80"/>
  </w:num>
  <w:num w:numId="45">
    <w:abstractNumId w:val="17"/>
  </w:num>
  <w:num w:numId="46">
    <w:abstractNumId w:val="41"/>
  </w:num>
  <w:num w:numId="47">
    <w:abstractNumId w:val="64"/>
  </w:num>
  <w:num w:numId="48">
    <w:abstractNumId w:val="90"/>
  </w:num>
  <w:num w:numId="49">
    <w:abstractNumId w:val="28"/>
  </w:num>
  <w:num w:numId="50">
    <w:abstractNumId w:val="45"/>
  </w:num>
  <w:num w:numId="51">
    <w:abstractNumId w:val="65"/>
  </w:num>
  <w:num w:numId="52">
    <w:abstractNumId w:val="15"/>
  </w:num>
  <w:num w:numId="53">
    <w:abstractNumId w:val="77"/>
  </w:num>
  <w:num w:numId="54">
    <w:abstractNumId w:val="89"/>
  </w:num>
  <w:num w:numId="55">
    <w:abstractNumId w:val="48"/>
  </w:num>
  <w:num w:numId="56">
    <w:abstractNumId w:val="83"/>
  </w:num>
  <w:num w:numId="57">
    <w:abstractNumId w:val="79"/>
  </w:num>
  <w:num w:numId="58">
    <w:abstractNumId w:val="66"/>
  </w:num>
  <w:num w:numId="59">
    <w:abstractNumId w:val="13"/>
  </w:num>
  <w:num w:numId="60">
    <w:abstractNumId w:val="57"/>
  </w:num>
  <w:num w:numId="61">
    <w:abstractNumId w:val="18"/>
  </w:num>
  <w:num w:numId="62">
    <w:abstractNumId w:val="47"/>
  </w:num>
  <w:num w:numId="63">
    <w:abstractNumId w:val="75"/>
  </w:num>
  <w:num w:numId="64">
    <w:abstractNumId w:val="31"/>
  </w:num>
  <w:num w:numId="65">
    <w:abstractNumId w:val="63"/>
  </w:num>
  <w:num w:numId="66">
    <w:abstractNumId w:val="52"/>
  </w:num>
  <w:num w:numId="67">
    <w:abstractNumId w:val="71"/>
  </w:num>
  <w:num w:numId="68">
    <w:abstractNumId w:val="59"/>
  </w:num>
  <w:num w:numId="69">
    <w:abstractNumId w:val="0"/>
  </w:num>
  <w:num w:numId="70">
    <w:abstractNumId w:val="40"/>
  </w:num>
  <w:num w:numId="71">
    <w:abstractNumId w:val="58"/>
  </w:num>
  <w:num w:numId="72">
    <w:abstractNumId w:val="27"/>
  </w:num>
  <w:num w:numId="73">
    <w:abstractNumId w:val="10"/>
  </w:num>
  <w:num w:numId="74">
    <w:abstractNumId w:val="8"/>
  </w:num>
  <w:num w:numId="75">
    <w:abstractNumId w:val="22"/>
  </w:num>
  <w:num w:numId="76">
    <w:abstractNumId w:val="93"/>
  </w:num>
  <w:num w:numId="77">
    <w:abstractNumId w:val="87"/>
  </w:num>
  <w:num w:numId="78">
    <w:abstractNumId w:val="95"/>
  </w:num>
  <w:num w:numId="79">
    <w:abstractNumId w:val="25"/>
  </w:num>
  <w:num w:numId="80">
    <w:abstractNumId w:val="16"/>
  </w:num>
  <w:num w:numId="81">
    <w:abstractNumId w:val="38"/>
  </w:num>
  <w:num w:numId="82">
    <w:abstractNumId w:val="3"/>
  </w:num>
  <w:num w:numId="83">
    <w:abstractNumId w:val="7"/>
  </w:num>
  <w:num w:numId="84">
    <w:abstractNumId w:val="21"/>
  </w:num>
  <w:num w:numId="85">
    <w:abstractNumId w:val="82"/>
  </w:num>
  <w:num w:numId="86">
    <w:abstractNumId w:val="26"/>
  </w:num>
  <w:num w:numId="87">
    <w:abstractNumId w:val="51"/>
  </w:num>
  <w:num w:numId="88">
    <w:abstractNumId w:val="78"/>
  </w:num>
  <w:num w:numId="89">
    <w:abstractNumId w:val="11"/>
  </w:num>
  <w:num w:numId="90">
    <w:abstractNumId w:val="61"/>
  </w:num>
  <w:num w:numId="91">
    <w:abstractNumId w:val="29"/>
  </w:num>
  <w:num w:numId="92">
    <w:abstractNumId w:val="81"/>
  </w:num>
  <w:num w:numId="93">
    <w:abstractNumId w:val="85"/>
  </w:num>
  <w:num w:numId="94">
    <w:abstractNumId w:val="12"/>
  </w:num>
  <w:num w:numId="95">
    <w:abstractNumId w:val="73"/>
  </w:num>
  <w:num w:numId="96">
    <w:abstractNumId w:val="74"/>
  </w:num>
  <w:num w:numId="97">
    <w:abstractNumId w:val="54"/>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02D4"/>
    <w:rsid w:val="000B4C86"/>
    <w:rsid w:val="002765EC"/>
    <w:rsid w:val="00CA6697"/>
    <w:rsid w:val="00D602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835F1C"/>
  <w15:docId w15:val="{93A90894-75C5-4A31-B8B9-534C92DD45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style>
  <w:style w:type="paragraph" w:styleId="13">
    <w:name w:val="heading 1"/>
    <w:basedOn w:val="a3"/>
    <w:next w:val="a3"/>
    <w:link w:val="14"/>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3">
    <w:name w:val="heading 2"/>
    <w:basedOn w:val="a3"/>
    <w:next w:val="a3"/>
    <w:link w:val="24"/>
    <w:uiPriority w:val="9"/>
    <w:unhideWhenUsed/>
    <w:qFormat/>
    <w:pPr>
      <w:keepNext/>
      <w:keepLines/>
      <w:spacing w:before="40" w:after="0" w:line="276" w:lineRule="auto"/>
      <w:outlineLvl w:val="1"/>
    </w:pPr>
    <w:rPr>
      <w:rFonts w:asciiTheme="majorHAnsi" w:eastAsiaTheme="majorEastAsia" w:hAnsiTheme="majorHAnsi" w:cstheme="majorBidi"/>
      <w:color w:val="2E74B5" w:themeColor="accent1" w:themeShade="BF"/>
      <w:sz w:val="26"/>
      <w:szCs w:val="26"/>
    </w:rPr>
  </w:style>
  <w:style w:type="paragraph" w:styleId="31">
    <w:name w:val="heading 3"/>
    <w:basedOn w:val="a3"/>
    <w:next w:val="a3"/>
    <w:link w:val="32"/>
    <w:uiPriority w:val="9"/>
    <w:unhideWhenUsed/>
    <w:qFormat/>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3"/>
    <w:next w:val="a3"/>
    <w:link w:val="40"/>
    <w:uiPriority w:val="9"/>
    <w:qFormat/>
    <w:pPr>
      <w:keepNext/>
      <w:spacing w:after="0" w:line="240" w:lineRule="auto"/>
      <w:ind w:firstLine="420"/>
      <w:jc w:val="both"/>
      <w:outlineLvl w:val="3"/>
    </w:pPr>
    <w:rPr>
      <w:rFonts w:ascii="Times New Roman" w:eastAsia="Times New Roman" w:hAnsi="Times New Roman" w:cs="Times New Roman"/>
      <w:b/>
      <w:bCs/>
      <w:sz w:val="24"/>
      <w:szCs w:val="24"/>
      <w:lang w:eastAsia="ru-RU"/>
    </w:rPr>
  </w:style>
  <w:style w:type="paragraph" w:styleId="50">
    <w:name w:val="heading 5"/>
    <w:basedOn w:val="a3"/>
    <w:next w:val="a3"/>
    <w:link w:val="51"/>
    <w:uiPriority w:val="9"/>
    <w:qFormat/>
    <w:pPr>
      <w:keepNext/>
      <w:spacing w:before="120" w:after="120" w:line="240" w:lineRule="auto"/>
      <w:ind w:firstLine="420"/>
      <w:jc w:val="both"/>
      <w:outlineLvl w:val="4"/>
    </w:pPr>
    <w:rPr>
      <w:rFonts w:ascii="Times New Roman" w:eastAsia="Times New Roman" w:hAnsi="Times New Roman" w:cs="Times New Roman"/>
      <w:b/>
      <w:i/>
      <w:sz w:val="24"/>
      <w:szCs w:val="24"/>
      <w:lang w:eastAsia="ru-RU"/>
    </w:rPr>
  </w:style>
  <w:style w:type="paragraph" w:styleId="6">
    <w:name w:val="heading 6"/>
    <w:basedOn w:val="a3"/>
    <w:next w:val="a3"/>
    <w:link w:val="60"/>
    <w:uiPriority w:val="9"/>
    <w:unhideWhenUsed/>
    <w:qFormat/>
    <w:pPr>
      <w:spacing w:before="240" w:after="60" w:line="240" w:lineRule="auto"/>
      <w:ind w:firstLine="709"/>
      <w:jc w:val="both"/>
      <w:outlineLvl w:val="5"/>
    </w:pPr>
    <w:rPr>
      <w:rFonts w:ascii="Calibri" w:eastAsia="Times New Roman" w:hAnsi="Calibri" w:cs="Times New Roman"/>
      <w:b/>
      <w:bCs/>
      <w:sz w:val="20"/>
      <w:szCs w:val="20"/>
      <w:lang w:eastAsia="ru-RU"/>
    </w:rPr>
  </w:style>
  <w:style w:type="paragraph" w:styleId="7">
    <w:name w:val="heading 7"/>
    <w:basedOn w:val="a3"/>
    <w:next w:val="a3"/>
    <w:link w:val="70"/>
    <w:uiPriority w:val="9"/>
    <w:qFormat/>
    <w:pPr>
      <w:spacing w:before="240" w:after="60" w:line="240" w:lineRule="auto"/>
      <w:ind w:firstLine="720"/>
      <w:jc w:val="both"/>
      <w:outlineLvl w:val="6"/>
    </w:pPr>
    <w:rPr>
      <w:rFonts w:ascii="Times New Roman" w:eastAsia="Times New Roman" w:hAnsi="Times New Roman" w:cs="Times New Roman"/>
      <w:sz w:val="24"/>
      <w:szCs w:val="24"/>
      <w:lang w:eastAsia="ru-RU"/>
    </w:rPr>
  </w:style>
  <w:style w:type="paragraph" w:styleId="8">
    <w:name w:val="heading 8"/>
    <w:basedOn w:val="a3"/>
    <w:next w:val="a3"/>
    <w:link w:val="80"/>
    <w:uiPriority w:val="9"/>
    <w:unhideWhenUsed/>
    <w:qFormat/>
    <w:pPr>
      <w:keepNext/>
      <w:spacing w:before="240" w:after="60" w:line="240" w:lineRule="auto"/>
      <w:jc w:val="both"/>
      <w:outlineLvl w:val="7"/>
    </w:pPr>
    <w:rPr>
      <w:rFonts w:ascii="Calibri" w:eastAsia="Times New Roman" w:hAnsi="Calibri" w:cs="Times New Roman"/>
      <w:i/>
      <w:iCs/>
      <w:sz w:val="24"/>
      <w:szCs w:val="24"/>
      <w:lang w:eastAsia="ru-RU"/>
    </w:rPr>
  </w:style>
  <w:style w:type="paragraph" w:styleId="9">
    <w:name w:val="heading 9"/>
    <w:basedOn w:val="a3"/>
    <w:next w:val="a3"/>
    <w:link w:val="90"/>
    <w:uiPriority w:val="9"/>
    <w:unhideWhenUsed/>
    <w:qFormat/>
    <w:pPr>
      <w:keepNext/>
      <w:spacing w:before="240" w:after="60" w:line="240" w:lineRule="auto"/>
      <w:jc w:val="both"/>
      <w:outlineLvl w:val="8"/>
    </w:pPr>
    <w:rPr>
      <w:rFonts w:ascii="Cambria" w:eastAsia="Times New Roman" w:hAnsi="Cambria" w:cs="Times New Roman"/>
      <w:sz w:val="20"/>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table" w:styleId="15">
    <w:name w:val="Plain Table 1"/>
    <w:basedOn w:val="a5"/>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5">
    <w:name w:val="Plain Table 2"/>
    <w:basedOn w:val="a5"/>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3">
    <w:name w:val="Plain Table 3"/>
    <w:basedOn w:val="a5"/>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5"/>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2">
    <w:name w:val="Plain Table 5"/>
    <w:basedOn w:val="a5"/>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5"/>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2">
    <w:name w:val="Grid Table 2"/>
    <w:basedOn w:val="a5"/>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3">
    <w:name w:val="Grid Table 3"/>
    <w:basedOn w:val="a5"/>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4">
    <w:name w:val="Grid Table 4"/>
    <w:basedOn w:val="a5"/>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5">
    <w:name w:val="Grid Table 5 Dark"/>
    <w:basedOn w:val="a5"/>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styleId="-6">
    <w:name w:val="Grid Table 6 Colorful"/>
    <w:basedOn w:val="a5"/>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7">
    <w:name w:val="Grid Table 7 Colorful"/>
    <w:basedOn w:val="a5"/>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10">
    <w:name w:val="List Table 1 Light"/>
    <w:basedOn w:val="a5"/>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20">
    <w:name w:val="List Table 2"/>
    <w:basedOn w:val="a5"/>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30">
    <w:name w:val="List Table 3"/>
    <w:basedOn w:val="a5"/>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40">
    <w:name w:val="List Table 4"/>
    <w:basedOn w:val="a5"/>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50">
    <w:name w:val="List Table 5 Dark"/>
    <w:basedOn w:val="a5"/>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60">
    <w:name w:val="List Table 6 Colorful"/>
    <w:basedOn w:val="a5"/>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70">
    <w:name w:val="List Table 7 Colorful"/>
    <w:basedOn w:val="a5"/>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character" w:customStyle="1" w:styleId="Heading1Char">
    <w:name w:val="Heading 1 Char"/>
    <w:basedOn w:val="a4"/>
    <w:uiPriority w:val="9"/>
    <w:rPr>
      <w:rFonts w:ascii="Arial" w:eastAsia="Arial" w:hAnsi="Arial" w:cs="Arial"/>
      <w:sz w:val="40"/>
      <w:szCs w:val="40"/>
    </w:rPr>
  </w:style>
  <w:style w:type="character" w:customStyle="1" w:styleId="Heading2Char">
    <w:name w:val="Heading 2 Char"/>
    <w:basedOn w:val="a4"/>
    <w:uiPriority w:val="9"/>
    <w:rPr>
      <w:rFonts w:ascii="Arial" w:eastAsia="Arial" w:hAnsi="Arial" w:cs="Arial"/>
      <w:sz w:val="34"/>
    </w:rPr>
  </w:style>
  <w:style w:type="character" w:customStyle="1" w:styleId="Heading3Char">
    <w:name w:val="Heading 3 Char"/>
    <w:basedOn w:val="a4"/>
    <w:uiPriority w:val="9"/>
    <w:rPr>
      <w:rFonts w:ascii="Arial" w:eastAsia="Arial" w:hAnsi="Arial" w:cs="Arial"/>
      <w:sz w:val="30"/>
      <w:szCs w:val="30"/>
    </w:rPr>
  </w:style>
  <w:style w:type="character" w:customStyle="1" w:styleId="Heading4Char">
    <w:name w:val="Heading 4 Char"/>
    <w:basedOn w:val="a4"/>
    <w:uiPriority w:val="9"/>
    <w:rPr>
      <w:rFonts w:ascii="Arial" w:eastAsia="Arial" w:hAnsi="Arial" w:cs="Arial"/>
      <w:b/>
      <w:bCs/>
      <w:sz w:val="26"/>
      <w:szCs w:val="26"/>
    </w:rPr>
  </w:style>
  <w:style w:type="character" w:customStyle="1" w:styleId="Heading5Char">
    <w:name w:val="Heading 5 Char"/>
    <w:basedOn w:val="a4"/>
    <w:uiPriority w:val="9"/>
    <w:rPr>
      <w:rFonts w:ascii="Arial" w:eastAsia="Arial" w:hAnsi="Arial" w:cs="Arial"/>
      <w:b/>
      <w:bCs/>
      <w:sz w:val="24"/>
      <w:szCs w:val="24"/>
    </w:rPr>
  </w:style>
  <w:style w:type="character" w:customStyle="1" w:styleId="Heading6Char">
    <w:name w:val="Heading 6 Char"/>
    <w:basedOn w:val="a4"/>
    <w:uiPriority w:val="9"/>
    <w:rPr>
      <w:rFonts w:ascii="Arial" w:eastAsia="Arial" w:hAnsi="Arial" w:cs="Arial"/>
      <w:b/>
      <w:bCs/>
      <w:sz w:val="22"/>
      <w:szCs w:val="22"/>
    </w:rPr>
  </w:style>
  <w:style w:type="character" w:customStyle="1" w:styleId="Heading7Char">
    <w:name w:val="Heading 7 Char"/>
    <w:basedOn w:val="a4"/>
    <w:uiPriority w:val="9"/>
    <w:rPr>
      <w:rFonts w:ascii="Arial" w:eastAsia="Arial" w:hAnsi="Arial" w:cs="Arial"/>
      <w:b/>
      <w:bCs/>
      <w:i/>
      <w:iCs/>
      <w:sz w:val="22"/>
      <w:szCs w:val="22"/>
    </w:rPr>
  </w:style>
  <w:style w:type="character" w:customStyle="1" w:styleId="Heading8Char">
    <w:name w:val="Heading 8 Char"/>
    <w:basedOn w:val="a4"/>
    <w:uiPriority w:val="9"/>
    <w:rPr>
      <w:rFonts w:ascii="Arial" w:eastAsia="Arial" w:hAnsi="Arial" w:cs="Arial"/>
      <w:i/>
      <w:iCs/>
      <w:sz w:val="22"/>
      <w:szCs w:val="22"/>
    </w:rPr>
  </w:style>
  <w:style w:type="character" w:customStyle="1" w:styleId="Heading9Char">
    <w:name w:val="Heading 9 Char"/>
    <w:basedOn w:val="a4"/>
    <w:uiPriority w:val="9"/>
    <w:rPr>
      <w:rFonts w:ascii="Arial" w:eastAsia="Arial" w:hAnsi="Arial" w:cs="Arial"/>
      <w:i/>
      <w:iCs/>
      <w:sz w:val="21"/>
      <w:szCs w:val="21"/>
    </w:rPr>
  </w:style>
  <w:style w:type="character" w:customStyle="1" w:styleId="TitleChar">
    <w:name w:val="Title Char"/>
    <w:basedOn w:val="a4"/>
    <w:uiPriority w:val="10"/>
    <w:rPr>
      <w:sz w:val="48"/>
      <w:szCs w:val="48"/>
    </w:rPr>
  </w:style>
  <w:style w:type="character" w:customStyle="1" w:styleId="SubtitleChar">
    <w:name w:val="Subtitle Char"/>
    <w:basedOn w:val="a4"/>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4"/>
    <w:uiPriority w:val="99"/>
  </w:style>
  <w:style w:type="character" w:customStyle="1" w:styleId="FooterChar">
    <w:name w:val="Footer Char"/>
    <w:basedOn w:val="a4"/>
    <w:uiPriority w:val="99"/>
  </w:style>
  <w:style w:type="character" w:customStyle="1" w:styleId="CaptionChar">
    <w:name w:val="Caption Char"/>
    <w:uiPriority w:val="99"/>
  </w:style>
  <w:style w:type="table" w:customStyle="1" w:styleId="TableGridLight">
    <w:name w:val="Table Grid Light"/>
    <w:basedOn w:val="a5"/>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5"/>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5"/>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5"/>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Таблица простая 41"/>
    <w:basedOn w:val="a5"/>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0">
    <w:name w:val="Таблица простая 51"/>
    <w:basedOn w:val="a5"/>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5"/>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5"/>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5"/>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5"/>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5"/>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5"/>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5"/>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5"/>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5"/>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5"/>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5"/>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5"/>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5"/>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5"/>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31">
    <w:name w:val="Таблица-сетка 31"/>
    <w:basedOn w:val="a5"/>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5"/>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5"/>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5"/>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5"/>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5"/>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5"/>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41">
    <w:name w:val="Таблица-сетка 41"/>
    <w:basedOn w:val="a5"/>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5"/>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5"/>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5"/>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5"/>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5"/>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5"/>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51">
    <w:name w:val="Таблица-сетка 5 темная1"/>
    <w:basedOn w:val="a5"/>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5"/>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5"/>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5"/>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5"/>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5"/>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5"/>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61">
    <w:name w:val="Таблица-сетка 6 цветная1"/>
    <w:basedOn w:val="a5"/>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5"/>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5"/>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5"/>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5"/>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5"/>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5"/>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71">
    <w:name w:val="Таблица-сетка 7 цветная1"/>
    <w:basedOn w:val="a5"/>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5"/>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5"/>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5"/>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5"/>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5"/>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5"/>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110">
    <w:name w:val="Список-таблица 1 светлая1"/>
    <w:basedOn w:val="a5"/>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5"/>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5"/>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5"/>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5"/>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5"/>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5"/>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210">
    <w:name w:val="Список-таблица 21"/>
    <w:basedOn w:val="a5"/>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5"/>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5"/>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5"/>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5"/>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5"/>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5"/>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310">
    <w:name w:val="Список-таблица 31"/>
    <w:basedOn w:val="a5"/>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5"/>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5"/>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5"/>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5"/>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5"/>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5"/>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5"/>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5"/>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5"/>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5"/>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5"/>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5"/>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5"/>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510">
    <w:name w:val="Список-таблица 5 темная1"/>
    <w:basedOn w:val="a5"/>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5"/>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5"/>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5"/>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5"/>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5"/>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5"/>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610">
    <w:name w:val="Список-таблица 6 цветная1"/>
    <w:basedOn w:val="a5"/>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5"/>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5"/>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5"/>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5"/>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5"/>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5"/>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710">
    <w:name w:val="Список-таблица 7 цветная1"/>
    <w:basedOn w:val="a5"/>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5"/>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5"/>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5"/>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5"/>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5"/>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5"/>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5"/>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5"/>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5"/>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5"/>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5"/>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5"/>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5"/>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5"/>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5"/>
    <w:uiPriority w:val="99"/>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5"/>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5"/>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5"/>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5"/>
    <w:uiPriority w:val="99"/>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5"/>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5"/>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5"/>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5"/>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5"/>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5"/>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5"/>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5"/>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paragraph" w:styleId="a7">
    <w:name w:val="table of figures"/>
    <w:basedOn w:val="a3"/>
    <w:next w:val="a3"/>
    <w:uiPriority w:val="99"/>
    <w:unhideWhenUsed/>
    <w:pPr>
      <w:spacing w:after="0"/>
    </w:pPr>
  </w:style>
  <w:style w:type="character" w:customStyle="1" w:styleId="14">
    <w:name w:val="Заголовок 1 Знак"/>
    <w:basedOn w:val="a4"/>
    <w:link w:val="13"/>
    <w:uiPriority w:val="9"/>
    <w:rPr>
      <w:rFonts w:asciiTheme="majorHAnsi" w:eastAsiaTheme="majorEastAsia" w:hAnsiTheme="majorHAnsi" w:cstheme="majorBidi"/>
      <w:color w:val="2E74B5" w:themeColor="accent1" w:themeShade="BF"/>
      <w:sz w:val="32"/>
      <w:szCs w:val="32"/>
    </w:rPr>
  </w:style>
  <w:style w:type="paragraph" w:styleId="a8">
    <w:name w:val="TOC Heading"/>
    <w:basedOn w:val="13"/>
    <w:next w:val="a3"/>
    <w:uiPriority w:val="39"/>
    <w:unhideWhenUsed/>
    <w:qFormat/>
    <w:pPr>
      <w:outlineLvl w:val="9"/>
    </w:pPr>
    <w:rPr>
      <w:lang w:eastAsia="ru-RU"/>
    </w:rPr>
  </w:style>
  <w:style w:type="paragraph" w:styleId="a9">
    <w:name w:val="No Spacing"/>
    <w:link w:val="aa"/>
    <w:qFormat/>
    <w:pPr>
      <w:spacing w:after="0" w:line="240" w:lineRule="auto"/>
    </w:pPr>
  </w:style>
  <w:style w:type="paragraph" w:styleId="16">
    <w:name w:val="toc 1"/>
    <w:basedOn w:val="a3"/>
    <w:next w:val="a3"/>
    <w:uiPriority w:val="39"/>
    <w:unhideWhenUsed/>
    <w:qFormat/>
    <w:pPr>
      <w:tabs>
        <w:tab w:val="right" w:leader="dot" w:pos="9639"/>
      </w:tabs>
      <w:spacing w:after="0" w:line="240" w:lineRule="auto"/>
      <w:ind w:right="140"/>
      <w:jc w:val="both"/>
    </w:pPr>
  </w:style>
  <w:style w:type="character" w:styleId="ab">
    <w:name w:val="Hyperlink"/>
    <w:basedOn w:val="a4"/>
    <w:uiPriority w:val="99"/>
    <w:unhideWhenUsed/>
    <w:rPr>
      <w:color w:val="0563C1" w:themeColor="hyperlink"/>
      <w:u w:val="single"/>
    </w:rPr>
  </w:style>
  <w:style w:type="character" w:customStyle="1" w:styleId="24">
    <w:name w:val="Заголовок 2 Знак"/>
    <w:basedOn w:val="a4"/>
    <w:link w:val="23"/>
    <w:uiPriority w:val="9"/>
    <w:rPr>
      <w:rFonts w:asciiTheme="majorHAnsi" w:eastAsiaTheme="majorEastAsia" w:hAnsiTheme="majorHAnsi" w:cstheme="majorBidi"/>
      <w:color w:val="2E74B5" w:themeColor="accent1" w:themeShade="BF"/>
      <w:sz w:val="26"/>
      <w:szCs w:val="26"/>
    </w:rPr>
  </w:style>
  <w:style w:type="paragraph" w:styleId="26">
    <w:name w:val="toc 2"/>
    <w:basedOn w:val="a3"/>
    <w:next w:val="a3"/>
    <w:uiPriority w:val="39"/>
    <w:unhideWhenUsed/>
    <w:qFormat/>
    <w:pPr>
      <w:tabs>
        <w:tab w:val="right" w:leader="dot" w:pos="9639"/>
      </w:tabs>
      <w:spacing w:after="0" w:line="240" w:lineRule="auto"/>
      <w:ind w:right="142"/>
      <w:jc w:val="both"/>
    </w:pPr>
    <w:rPr>
      <w:rFonts w:ascii="Times New Roman" w:hAnsi="Times New Roman" w:cs="Times New Roman"/>
      <w:b/>
    </w:rPr>
  </w:style>
  <w:style w:type="paragraph" w:styleId="ac">
    <w:name w:val="List Paragraph"/>
    <w:basedOn w:val="a3"/>
    <w:link w:val="ad"/>
    <w:uiPriority w:val="34"/>
    <w:qFormat/>
    <w:pPr>
      <w:spacing w:after="200" w:line="276" w:lineRule="auto"/>
      <w:ind w:left="720"/>
      <w:contextualSpacing/>
    </w:pPr>
  </w:style>
  <w:style w:type="character" w:customStyle="1" w:styleId="ad">
    <w:name w:val="Абзац списка Знак"/>
    <w:link w:val="ac"/>
    <w:uiPriority w:val="34"/>
    <w:qFormat/>
  </w:style>
  <w:style w:type="table" w:styleId="ae">
    <w:name w:val="Table Grid"/>
    <w:basedOn w:val="a5"/>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
    <w:name w:val="Текст сноски Знак"/>
    <w:link w:val="af0"/>
    <w:uiPriority w:val="99"/>
    <w:rPr>
      <w:rFonts w:ascii="Times New Roman" w:eastAsia="Times New Roman" w:hAnsi="Times New Roman" w:cs="Times New Roman"/>
      <w:sz w:val="20"/>
      <w:szCs w:val="20"/>
      <w:lang w:eastAsia="ru-RU"/>
    </w:rPr>
  </w:style>
  <w:style w:type="paragraph" w:styleId="af0">
    <w:name w:val="footnote text"/>
    <w:basedOn w:val="a3"/>
    <w:link w:val="af"/>
    <w:uiPriority w:val="99"/>
    <w:qFormat/>
    <w:pPr>
      <w:spacing w:after="0" w:line="240" w:lineRule="auto"/>
      <w:ind w:firstLine="709"/>
      <w:jc w:val="both"/>
    </w:pPr>
    <w:rPr>
      <w:rFonts w:ascii="Times New Roman" w:eastAsia="Times New Roman" w:hAnsi="Times New Roman" w:cs="Times New Roman"/>
      <w:sz w:val="20"/>
      <w:szCs w:val="20"/>
      <w:lang w:eastAsia="ru-RU"/>
    </w:rPr>
  </w:style>
  <w:style w:type="character" w:customStyle="1" w:styleId="17">
    <w:name w:val="Текст сноски Знак1"/>
    <w:basedOn w:val="a4"/>
    <w:uiPriority w:val="99"/>
    <w:semiHidden/>
    <w:rPr>
      <w:sz w:val="20"/>
      <w:szCs w:val="20"/>
    </w:rPr>
  </w:style>
  <w:style w:type="character" w:styleId="af1">
    <w:name w:val="footnote reference"/>
    <w:basedOn w:val="a4"/>
    <w:uiPriority w:val="99"/>
    <w:unhideWhenUsed/>
    <w:qFormat/>
    <w:rPr>
      <w:vertAlign w:val="superscript"/>
    </w:rPr>
  </w:style>
  <w:style w:type="character" w:customStyle="1" w:styleId="32">
    <w:name w:val="Заголовок 3 Знак"/>
    <w:basedOn w:val="a4"/>
    <w:link w:val="31"/>
    <w:uiPriority w:val="9"/>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4"/>
    <w:link w:val="4"/>
    <w:uiPriority w:val="9"/>
    <w:rPr>
      <w:rFonts w:ascii="Times New Roman" w:eastAsia="Times New Roman" w:hAnsi="Times New Roman" w:cs="Times New Roman"/>
      <w:b/>
      <w:bCs/>
      <w:sz w:val="24"/>
      <w:szCs w:val="24"/>
      <w:lang w:eastAsia="ru-RU"/>
    </w:rPr>
  </w:style>
  <w:style w:type="character" w:customStyle="1" w:styleId="51">
    <w:name w:val="Заголовок 5 Знак"/>
    <w:basedOn w:val="a4"/>
    <w:link w:val="50"/>
    <w:uiPriority w:val="9"/>
    <w:rPr>
      <w:rFonts w:ascii="Times New Roman" w:eastAsia="Times New Roman" w:hAnsi="Times New Roman" w:cs="Times New Roman"/>
      <w:b/>
      <w:i/>
      <w:sz w:val="24"/>
      <w:szCs w:val="24"/>
      <w:lang w:eastAsia="ru-RU"/>
    </w:rPr>
  </w:style>
  <w:style w:type="character" w:customStyle="1" w:styleId="60">
    <w:name w:val="Заголовок 6 Знак"/>
    <w:basedOn w:val="a4"/>
    <w:link w:val="6"/>
    <w:uiPriority w:val="9"/>
    <w:rPr>
      <w:rFonts w:ascii="Calibri" w:eastAsia="Times New Roman" w:hAnsi="Calibri" w:cs="Times New Roman"/>
      <w:b/>
      <w:bCs/>
      <w:sz w:val="20"/>
      <w:szCs w:val="20"/>
      <w:lang w:eastAsia="ru-RU"/>
    </w:rPr>
  </w:style>
  <w:style w:type="character" w:customStyle="1" w:styleId="70">
    <w:name w:val="Заголовок 7 Знак"/>
    <w:basedOn w:val="a4"/>
    <w:link w:val="7"/>
    <w:uiPriority w:val="9"/>
    <w:rPr>
      <w:rFonts w:ascii="Times New Roman" w:eastAsia="Times New Roman" w:hAnsi="Times New Roman" w:cs="Times New Roman"/>
      <w:sz w:val="24"/>
      <w:szCs w:val="24"/>
      <w:lang w:eastAsia="ru-RU"/>
    </w:rPr>
  </w:style>
  <w:style w:type="character" w:customStyle="1" w:styleId="80">
    <w:name w:val="Заголовок 8 Знак"/>
    <w:basedOn w:val="a4"/>
    <w:link w:val="8"/>
    <w:uiPriority w:val="9"/>
    <w:rPr>
      <w:rFonts w:ascii="Calibri" w:eastAsia="Times New Roman" w:hAnsi="Calibri" w:cs="Times New Roman"/>
      <w:i/>
      <w:iCs/>
      <w:sz w:val="24"/>
      <w:szCs w:val="24"/>
      <w:lang w:eastAsia="ru-RU"/>
    </w:rPr>
  </w:style>
  <w:style w:type="character" w:customStyle="1" w:styleId="90">
    <w:name w:val="Заголовок 9 Знак"/>
    <w:basedOn w:val="a4"/>
    <w:link w:val="9"/>
    <w:uiPriority w:val="9"/>
    <w:rPr>
      <w:rFonts w:ascii="Cambria" w:eastAsia="Times New Roman" w:hAnsi="Cambria" w:cs="Times New Roman"/>
      <w:sz w:val="20"/>
      <w:szCs w:val="20"/>
      <w:lang w:eastAsia="ru-RU"/>
    </w:rPr>
  </w:style>
  <w:style w:type="paragraph" w:customStyle="1" w:styleId="af2">
    <w:name w:val="Обыч ГО"/>
    <w:basedOn w:val="a3"/>
    <w:link w:val="af3"/>
    <w:qFormat/>
    <w:pPr>
      <w:spacing w:after="0" w:line="240" w:lineRule="auto"/>
      <w:ind w:firstLine="709"/>
    </w:pPr>
    <w:rPr>
      <w:rFonts w:ascii="Times New Roman" w:eastAsiaTheme="minorEastAsia" w:hAnsi="Times New Roman" w:cs="Times New Roman"/>
      <w:sz w:val="24"/>
      <w:szCs w:val="24"/>
      <w:lang w:eastAsia="ru-RU"/>
    </w:rPr>
  </w:style>
  <w:style w:type="character" w:customStyle="1" w:styleId="af3">
    <w:name w:val="Обыч ГО Знак"/>
    <w:basedOn w:val="a4"/>
    <w:link w:val="af2"/>
    <w:rPr>
      <w:rFonts w:ascii="Times New Roman" w:eastAsiaTheme="minorEastAsia" w:hAnsi="Times New Roman" w:cs="Times New Roman"/>
      <w:sz w:val="24"/>
      <w:szCs w:val="24"/>
      <w:lang w:eastAsia="ru-RU"/>
    </w:rPr>
  </w:style>
  <w:style w:type="paragraph" w:styleId="af4">
    <w:name w:val="header"/>
    <w:basedOn w:val="a3"/>
    <w:link w:val="af5"/>
    <w:uiPriority w:val="9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5">
    <w:name w:val="Верхний колонтитул Знак"/>
    <w:basedOn w:val="a4"/>
    <w:link w:val="af4"/>
    <w:uiPriority w:val="99"/>
    <w:rPr>
      <w:rFonts w:ascii="Times New Roman" w:eastAsia="Times New Roman" w:hAnsi="Times New Roman" w:cs="Times New Roman"/>
      <w:sz w:val="24"/>
      <w:szCs w:val="24"/>
      <w:lang w:eastAsia="ru-RU"/>
    </w:rPr>
  </w:style>
  <w:style w:type="character" w:styleId="af6">
    <w:name w:val="page number"/>
  </w:style>
  <w:style w:type="paragraph" w:styleId="af7">
    <w:name w:val="footer"/>
    <w:basedOn w:val="a3"/>
    <w:link w:val="af8"/>
    <w:uiPriority w:val="9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Нижний колонтитул Знак"/>
    <w:basedOn w:val="a4"/>
    <w:link w:val="af7"/>
    <w:uiPriority w:val="99"/>
    <w:rPr>
      <w:rFonts w:ascii="Times New Roman" w:eastAsia="Times New Roman" w:hAnsi="Times New Roman" w:cs="Times New Roman"/>
      <w:sz w:val="24"/>
      <w:szCs w:val="24"/>
      <w:lang w:eastAsia="ru-RU"/>
    </w:rPr>
  </w:style>
  <w:style w:type="paragraph" w:customStyle="1" w:styleId="af9">
    <w:name w:val="ОСНОВНОЙ ТЕКСТ"/>
    <w:basedOn w:val="a3"/>
    <w:next w:val="a3"/>
    <w:qFormat/>
    <w:pPr>
      <w:tabs>
        <w:tab w:val="left" w:pos="1080"/>
        <w:tab w:val="left" w:pos="1320"/>
      </w:tabs>
      <w:spacing w:after="0" w:line="240" w:lineRule="auto"/>
      <w:ind w:firstLine="567"/>
      <w:jc w:val="both"/>
    </w:pPr>
    <w:rPr>
      <w:rFonts w:ascii="Times New Roman" w:eastAsia="Times New Roman" w:hAnsi="Times New Roman" w:cs="Times New Roman"/>
      <w:sz w:val="26"/>
      <w:szCs w:val="24"/>
      <w:lang w:eastAsia="ru-RU"/>
    </w:rPr>
  </w:style>
  <w:style w:type="paragraph" w:customStyle="1" w:styleId="afa">
    <w:name w:val="РИСУНОК"/>
    <w:basedOn w:val="a3"/>
    <w:next w:val="a3"/>
    <w:qFormat/>
    <w:pPr>
      <w:tabs>
        <w:tab w:val="left" w:pos="0"/>
      </w:tabs>
      <w:spacing w:after="120" w:line="240" w:lineRule="auto"/>
      <w:jc w:val="both"/>
    </w:pPr>
    <w:rPr>
      <w:rFonts w:ascii="Times New Roman" w:eastAsia="Times New Roman" w:hAnsi="Times New Roman" w:cs="Times New Roman"/>
      <w:b/>
      <w:i/>
      <w:color w:val="000000"/>
      <w:sz w:val="24"/>
      <w:szCs w:val="20"/>
      <w:lang w:eastAsia="ru-RU"/>
    </w:rPr>
  </w:style>
  <w:style w:type="paragraph" w:styleId="afb">
    <w:name w:val="Body Text"/>
    <w:basedOn w:val="a3"/>
    <w:link w:val="afc"/>
    <w:qFormat/>
    <w:pPr>
      <w:spacing w:after="120" w:line="240" w:lineRule="auto"/>
    </w:pPr>
    <w:rPr>
      <w:rFonts w:ascii="Times New Roman" w:eastAsia="Times New Roman" w:hAnsi="Times New Roman" w:cs="Times New Roman"/>
      <w:sz w:val="24"/>
      <w:szCs w:val="24"/>
    </w:rPr>
  </w:style>
  <w:style w:type="character" w:customStyle="1" w:styleId="afc">
    <w:name w:val="Основной текст Знак"/>
    <w:basedOn w:val="a4"/>
    <w:link w:val="afb"/>
    <w:rPr>
      <w:rFonts w:ascii="Times New Roman" w:eastAsia="Times New Roman" w:hAnsi="Times New Roman" w:cs="Times New Roman"/>
      <w:sz w:val="24"/>
      <w:szCs w:val="24"/>
    </w:rPr>
  </w:style>
  <w:style w:type="paragraph" w:customStyle="1" w:styleId="a1">
    <w:name w:val="ГПО"/>
    <w:basedOn w:val="13"/>
    <w:pPr>
      <w:keepLines w:val="0"/>
      <w:numPr>
        <w:numId w:val="1"/>
      </w:numPr>
      <w:spacing w:before="0" w:after="480" w:line="240" w:lineRule="auto"/>
      <w:ind w:left="927"/>
      <w:jc w:val="center"/>
    </w:pPr>
    <w:rPr>
      <w:rFonts w:ascii="Times New Roman" w:eastAsia="Times New Roman" w:hAnsi="Times New Roman" w:cs="Times New Roman"/>
      <w:b/>
      <w:bCs/>
      <w:color w:val="auto"/>
      <w:sz w:val="28"/>
      <w:szCs w:val="28"/>
      <w:lang w:eastAsia="ru-RU"/>
    </w:rPr>
  </w:style>
  <w:style w:type="paragraph" w:customStyle="1" w:styleId="220">
    <w:name w:val="2 УРОВЕНЬ 2"/>
    <w:basedOn w:val="23"/>
    <w:next w:val="a1"/>
    <w:qFormat/>
    <w:pPr>
      <w:keepLines w:val="0"/>
      <w:spacing w:before="0" w:after="240" w:line="240" w:lineRule="auto"/>
      <w:ind w:left="567" w:hanging="567"/>
    </w:pPr>
    <w:rPr>
      <w:rFonts w:ascii="Times New Roman" w:eastAsia="Times New Roman" w:hAnsi="Times New Roman" w:cs="Times New Roman"/>
      <w:b/>
      <w:color w:val="auto"/>
      <w:lang w:eastAsia="ru-RU"/>
    </w:rPr>
  </w:style>
  <w:style w:type="paragraph" w:customStyle="1" w:styleId="330">
    <w:name w:val="3 УРОВЕНЬ 3"/>
    <w:basedOn w:val="31"/>
    <w:next w:val="a1"/>
    <w:qFormat/>
    <w:pPr>
      <w:keepLines w:val="0"/>
      <w:spacing w:before="0" w:after="120" w:line="240" w:lineRule="auto"/>
      <w:ind w:left="851" w:hanging="851"/>
      <w:jc w:val="both"/>
    </w:pPr>
    <w:rPr>
      <w:rFonts w:ascii="Times New Roman" w:eastAsia="Times New Roman" w:hAnsi="Times New Roman" w:cs="Times New Roman"/>
      <w:bCs/>
      <w:i/>
      <w:iCs/>
      <w:color w:val="auto"/>
      <w:sz w:val="28"/>
      <w:szCs w:val="28"/>
      <w:u w:val="single"/>
      <w:lang w:eastAsia="ru-RU"/>
    </w:rPr>
  </w:style>
  <w:style w:type="paragraph" w:styleId="afd">
    <w:name w:val="Normal (Web)"/>
    <w:basedOn w:val="a3"/>
    <w:link w:val="afe"/>
    <w:uiPriority w:val="99"/>
    <w:unhideWhenUsed/>
    <w:pPr>
      <w:spacing w:after="200" w:line="276" w:lineRule="auto"/>
    </w:pPr>
    <w:rPr>
      <w:rFonts w:ascii="Times New Roman" w:hAnsi="Times New Roman" w:cs="Times New Roman"/>
      <w:sz w:val="24"/>
      <w:szCs w:val="24"/>
    </w:rPr>
  </w:style>
  <w:style w:type="paragraph" w:customStyle="1" w:styleId="18">
    <w:name w:val="Стиль1"/>
    <w:basedOn w:val="a3"/>
    <w:link w:val="19"/>
    <w:qFormat/>
    <w:pPr>
      <w:widowControl w:val="0"/>
      <w:spacing w:after="0" w:line="240" w:lineRule="auto"/>
      <w:jc w:val="center"/>
      <w:outlineLvl w:val="1"/>
    </w:pPr>
    <w:rPr>
      <w:rFonts w:ascii="Times New Roman" w:eastAsia="Times New Roman" w:hAnsi="Times New Roman" w:cs="Times New Roman"/>
      <w:b/>
      <w:sz w:val="24"/>
      <w:szCs w:val="24"/>
      <w:lang w:eastAsia="ru-RU"/>
    </w:rPr>
  </w:style>
  <w:style w:type="character" w:customStyle="1" w:styleId="19">
    <w:name w:val="Стиль1 Знак"/>
    <w:basedOn w:val="a4"/>
    <w:link w:val="18"/>
    <w:rPr>
      <w:rFonts w:ascii="Times New Roman" w:eastAsia="Times New Roman" w:hAnsi="Times New Roman" w:cs="Times New Roman"/>
      <w:b/>
      <w:sz w:val="24"/>
      <w:szCs w:val="24"/>
      <w:lang w:eastAsia="ru-RU"/>
    </w:rPr>
  </w:style>
  <w:style w:type="paragraph" w:customStyle="1" w:styleId="2">
    <w:name w:val="Стиль2"/>
    <w:basedOn w:val="18"/>
    <w:link w:val="27"/>
    <w:qFormat/>
    <w:pPr>
      <w:numPr>
        <w:ilvl w:val="2"/>
        <w:numId w:val="2"/>
      </w:numPr>
      <w:ind w:left="0" w:firstLine="0"/>
    </w:pPr>
  </w:style>
  <w:style w:type="character" w:customStyle="1" w:styleId="27">
    <w:name w:val="Стиль2 Знак"/>
    <w:basedOn w:val="19"/>
    <w:link w:val="2"/>
    <w:rPr>
      <w:rFonts w:ascii="Times New Roman" w:eastAsia="Times New Roman" w:hAnsi="Times New Roman" w:cs="Times New Roman"/>
      <w:b/>
      <w:sz w:val="24"/>
      <w:szCs w:val="24"/>
      <w:lang w:eastAsia="ru-RU"/>
    </w:rPr>
  </w:style>
  <w:style w:type="paragraph" w:customStyle="1" w:styleId="aff">
    <w:name w:val="заголовок ГО"/>
    <w:basedOn w:val="a3"/>
    <w:link w:val="aff0"/>
    <w:qFormat/>
    <w:pPr>
      <w:keepNext/>
      <w:keepLines/>
      <w:spacing w:before="480" w:after="0" w:line="240" w:lineRule="auto"/>
      <w:jc w:val="center"/>
      <w:outlineLvl w:val="0"/>
    </w:pPr>
    <w:rPr>
      <w:rFonts w:ascii="Times New Roman" w:eastAsia="Times New Roman" w:hAnsi="Times New Roman" w:cs="Times New Roman"/>
      <w:b/>
      <w:bCs/>
      <w:color w:val="2E74B5" w:themeColor="accent1" w:themeShade="BF"/>
      <w:sz w:val="28"/>
      <w:szCs w:val="28"/>
      <w:lang w:eastAsia="ru-RU"/>
    </w:rPr>
  </w:style>
  <w:style w:type="character" w:customStyle="1" w:styleId="aff0">
    <w:name w:val="заголовок ГО Знак"/>
    <w:basedOn w:val="a4"/>
    <w:link w:val="aff"/>
    <w:rPr>
      <w:rFonts w:ascii="Times New Roman" w:eastAsia="Times New Roman" w:hAnsi="Times New Roman" w:cs="Times New Roman"/>
      <w:b/>
      <w:bCs/>
      <w:color w:val="2E74B5" w:themeColor="accent1" w:themeShade="BF"/>
      <w:sz w:val="28"/>
      <w:szCs w:val="28"/>
      <w:lang w:eastAsia="ru-RU"/>
    </w:rPr>
  </w:style>
  <w:style w:type="paragraph" w:customStyle="1" w:styleId="ConsPlusNormal">
    <w:name w:val="ConsPlusNormal"/>
    <w:link w:val="ConsPlusNormal0"/>
    <w:qFormat/>
    <w:pPr>
      <w:widowControl w:val="0"/>
      <w:spacing w:after="0" w:line="240" w:lineRule="auto"/>
      <w:ind w:firstLine="720"/>
    </w:pPr>
    <w:rPr>
      <w:rFonts w:ascii="Arial" w:eastAsia="Times New Roman" w:hAnsi="Arial" w:cs="Arial"/>
      <w:sz w:val="20"/>
      <w:szCs w:val="20"/>
      <w:lang w:eastAsia="ru-RU"/>
    </w:rPr>
  </w:style>
  <w:style w:type="paragraph" w:styleId="aff1">
    <w:name w:val="Body Text Indent"/>
    <w:basedOn w:val="a3"/>
    <w:link w:val="aff2"/>
    <w:uiPriority w:val="99"/>
    <w:pPr>
      <w:spacing w:after="0" w:line="240" w:lineRule="auto"/>
      <w:ind w:firstLine="420"/>
      <w:jc w:val="both"/>
    </w:pPr>
    <w:rPr>
      <w:rFonts w:ascii="Times New Roman" w:eastAsia="Times New Roman" w:hAnsi="Times New Roman" w:cs="Times New Roman"/>
      <w:sz w:val="26"/>
      <w:szCs w:val="24"/>
      <w:lang w:eastAsia="ru-RU"/>
    </w:rPr>
  </w:style>
  <w:style w:type="character" w:customStyle="1" w:styleId="aff2">
    <w:name w:val="Основной текст с отступом Знак"/>
    <w:basedOn w:val="a4"/>
    <w:link w:val="aff1"/>
    <w:uiPriority w:val="99"/>
    <w:rPr>
      <w:rFonts w:ascii="Times New Roman" w:eastAsia="Times New Roman" w:hAnsi="Times New Roman" w:cs="Times New Roman"/>
      <w:sz w:val="26"/>
      <w:szCs w:val="24"/>
      <w:lang w:eastAsia="ru-RU"/>
    </w:rPr>
  </w:style>
  <w:style w:type="paragraph" w:customStyle="1" w:styleId="Default">
    <w:name w:val="Default"/>
    <w:qFormat/>
    <w:pPr>
      <w:spacing w:after="0" w:line="240" w:lineRule="auto"/>
    </w:pPr>
    <w:rPr>
      <w:rFonts w:ascii="Arial" w:hAnsi="Arial" w:cs="Arial"/>
      <w:color w:val="000000"/>
      <w:sz w:val="24"/>
      <w:szCs w:val="24"/>
    </w:rPr>
  </w:style>
  <w:style w:type="paragraph" w:styleId="aff3">
    <w:name w:val="Balloon Text"/>
    <w:basedOn w:val="a3"/>
    <w:link w:val="aff4"/>
    <w:uiPriority w:val="99"/>
    <w:unhideWhenUsed/>
    <w:pPr>
      <w:spacing w:after="0" w:line="240" w:lineRule="auto"/>
    </w:pPr>
    <w:rPr>
      <w:rFonts w:ascii="Segoe UI" w:hAnsi="Segoe UI" w:cs="Segoe UI"/>
      <w:sz w:val="18"/>
      <w:szCs w:val="18"/>
    </w:rPr>
  </w:style>
  <w:style w:type="character" w:customStyle="1" w:styleId="aff4">
    <w:name w:val="Текст выноски Знак"/>
    <w:basedOn w:val="a4"/>
    <w:link w:val="aff3"/>
    <w:uiPriority w:val="99"/>
    <w:rPr>
      <w:rFonts w:ascii="Segoe UI" w:hAnsi="Segoe UI" w:cs="Segoe UI"/>
      <w:sz w:val="18"/>
      <w:szCs w:val="18"/>
    </w:rPr>
  </w:style>
  <w:style w:type="paragraph" w:customStyle="1" w:styleId="34">
    <w:name w:val="нумерация 3 уровня"/>
    <w:basedOn w:val="ac"/>
    <w:link w:val="35"/>
    <w:qFormat/>
    <w:pPr>
      <w:tabs>
        <w:tab w:val="left" w:pos="1560"/>
      </w:tabs>
      <w:spacing w:before="120" w:after="0" w:line="240" w:lineRule="auto"/>
      <w:ind w:left="0" w:firstLine="720"/>
      <w:contextualSpacing w:val="0"/>
      <w:jc w:val="both"/>
    </w:pPr>
    <w:rPr>
      <w:rFonts w:ascii="Times New Roman" w:eastAsia="Times New Roman" w:hAnsi="Times New Roman" w:cs="Times New Roman"/>
      <w:iCs/>
      <w:color w:val="000000"/>
      <w:sz w:val="28"/>
      <w:szCs w:val="28"/>
      <w:lang w:eastAsia="ru-RU" w:bidi="ru-RU"/>
    </w:rPr>
  </w:style>
  <w:style w:type="character" w:customStyle="1" w:styleId="35">
    <w:name w:val="нумерация 3 уровня Знак"/>
    <w:link w:val="34"/>
    <w:rPr>
      <w:rFonts w:ascii="Times New Roman" w:eastAsia="Times New Roman" w:hAnsi="Times New Roman" w:cs="Times New Roman"/>
      <w:iCs/>
      <w:color w:val="000000"/>
      <w:sz w:val="28"/>
      <w:szCs w:val="28"/>
      <w:lang w:eastAsia="ru-RU" w:bidi="ru-RU"/>
    </w:rPr>
  </w:style>
  <w:style w:type="paragraph" w:customStyle="1" w:styleId="aff5">
    <w:name w:val="МРСК_шрифт_абзаца"/>
    <w:basedOn w:val="a3"/>
    <w:link w:val="aff6"/>
    <w:pPr>
      <w:keepNext/>
      <w:keepLines/>
      <w:widowControl w:val="0"/>
      <w:suppressLineNumbers/>
      <w:spacing w:before="120" w:after="120" w:line="300" w:lineRule="auto"/>
      <w:ind w:firstLine="709"/>
      <w:contextualSpacing/>
      <w:jc w:val="both"/>
    </w:pPr>
    <w:rPr>
      <w:rFonts w:ascii="Times New Roman" w:eastAsia="Times New Roman" w:hAnsi="Times New Roman" w:cs="Times New Roman"/>
      <w:sz w:val="24"/>
      <w:szCs w:val="24"/>
      <w:lang w:eastAsia="ru-RU"/>
    </w:rPr>
  </w:style>
  <w:style w:type="paragraph" w:styleId="aff7">
    <w:name w:val="Title"/>
    <w:basedOn w:val="a3"/>
    <w:link w:val="aff8"/>
    <w:qFormat/>
    <w:pPr>
      <w:spacing w:after="0" w:line="240" w:lineRule="auto"/>
    </w:pPr>
    <w:rPr>
      <w:rFonts w:ascii="Arial" w:eastAsia="Times New Roman" w:hAnsi="Arial" w:cs="Times New Roman"/>
      <w:b/>
      <w:bCs/>
      <w:szCs w:val="24"/>
      <w:lang w:eastAsia="ru-RU"/>
    </w:rPr>
  </w:style>
  <w:style w:type="character" w:customStyle="1" w:styleId="aff8">
    <w:name w:val="Заголовок Знак"/>
    <w:basedOn w:val="a4"/>
    <w:link w:val="aff7"/>
    <w:rPr>
      <w:rFonts w:ascii="Arial" w:eastAsia="Times New Roman" w:hAnsi="Arial" w:cs="Times New Roman"/>
      <w:b/>
      <w:bCs/>
      <w:szCs w:val="24"/>
      <w:lang w:eastAsia="ru-RU"/>
    </w:rPr>
  </w:style>
  <w:style w:type="character" w:customStyle="1" w:styleId="aff6">
    <w:name w:val="МРСК_шрифт_абзаца Знак"/>
    <w:link w:val="aff5"/>
    <w:rPr>
      <w:rFonts w:ascii="Times New Roman" w:eastAsia="Times New Roman" w:hAnsi="Times New Roman" w:cs="Times New Roman"/>
      <w:sz w:val="24"/>
      <w:szCs w:val="24"/>
      <w:lang w:eastAsia="ru-RU"/>
    </w:rPr>
  </w:style>
  <w:style w:type="paragraph" w:styleId="36">
    <w:name w:val="toc 3"/>
    <w:basedOn w:val="a3"/>
    <w:next w:val="a3"/>
    <w:uiPriority w:val="39"/>
    <w:unhideWhenUsed/>
    <w:qFormat/>
    <w:pPr>
      <w:spacing w:after="100" w:line="276" w:lineRule="auto"/>
      <w:ind w:left="440"/>
    </w:pPr>
    <w:rPr>
      <w:rFonts w:ascii="Calibri" w:eastAsia="Times New Roman" w:hAnsi="Calibri" w:cs="Times New Roman"/>
      <w:lang w:eastAsia="ru-RU"/>
    </w:rPr>
  </w:style>
  <w:style w:type="table" w:customStyle="1" w:styleId="1a">
    <w:name w:val="Сетка таблицы1"/>
    <w:basedOn w:val="a5"/>
    <w:next w:val="ae"/>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
    <w:name w:val="Сетка таблицы2"/>
    <w:basedOn w:val="a5"/>
    <w:next w:val="ae"/>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9">
    <w:name w:val="annotation reference"/>
    <w:basedOn w:val="a4"/>
    <w:uiPriority w:val="99"/>
    <w:unhideWhenUsed/>
    <w:rPr>
      <w:sz w:val="16"/>
      <w:szCs w:val="16"/>
    </w:rPr>
  </w:style>
  <w:style w:type="paragraph" w:styleId="affa">
    <w:name w:val="annotation text"/>
    <w:basedOn w:val="a3"/>
    <w:link w:val="affb"/>
    <w:uiPriority w:val="99"/>
    <w:unhideWhenUsed/>
    <w:pPr>
      <w:spacing w:after="0" w:line="240" w:lineRule="auto"/>
    </w:pPr>
    <w:rPr>
      <w:rFonts w:ascii="Times New Roman" w:eastAsia="Times New Roman" w:hAnsi="Times New Roman" w:cs="Times New Roman"/>
      <w:sz w:val="20"/>
      <w:szCs w:val="20"/>
      <w:lang w:eastAsia="ru-RU"/>
    </w:rPr>
  </w:style>
  <w:style w:type="character" w:customStyle="1" w:styleId="affb">
    <w:name w:val="Текст примечания Знак"/>
    <w:basedOn w:val="a4"/>
    <w:link w:val="affa"/>
    <w:uiPriority w:val="99"/>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semiHidden/>
    <w:unhideWhenUsed/>
    <w:rPr>
      <w:b/>
      <w:bCs/>
    </w:rPr>
  </w:style>
  <w:style w:type="character" w:customStyle="1" w:styleId="affd">
    <w:name w:val="Тема примечания Знак"/>
    <w:basedOn w:val="affb"/>
    <w:link w:val="affc"/>
    <w:uiPriority w:val="99"/>
    <w:semiHidden/>
    <w:rPr>
      <w:rFonts w:ascii="Times New Roman" w:eastAsia="Times New Roman" w:hAnsi="Times New Roman" w:cs="Times New Roman"/>
      <w:b/>
      <w:bCs/>
      <w:sz w:val="20"/>
      <w:szCs w:val="20"/>
      <w:lang w:eastAsia="ru-RU"/>
    </w:rPr>
  </w:style>
  <w:style w:type="paragraph" w:styleId="affe">
    <w:name w:val="Revision"/>
    <w:hidden/>
    <w:uiPriority w:val="99"/>
    <w:semiHidden/>
    <w:pPr>
      <w:spacing w:after="0" w:line="240" w:lineRule="auto"/>
    </w:pPr>
    <w:rPr>
      <w:rFonts w:ascii="Times New Roman" w:eastAsia="Times New Roman" w:hAnsi="Times New Roman" w:cs="Times New Roman"/>
      <w:sz w:val="26"/>
      <w:szCs w:val="24"/>
      <w:lang w:eastAsia="ru-RU"/>
    </w:rPr>
  </w:style>
  <w:style w:type="table" w:customStyle="1" w:styleId="37">
    <w:name w:val="Сетка таблицы3"/>
    <w:basedOn w:val="a5"/>
    <w:next w:val="ae"/>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29">
    <w:name w:val="Body Text 2"/>
    <w:basedOn w:val="a3"/>
    <w:link w:val="2a"/>
    <w:unhideWhenUsed/>
    <w:pPr>
      <w:spacing w:after="120" w:line="480" w:lineRule="auto"/>
    </w:pPr>
  </w:style>
  <w:style w:type="character" w:customStyle="1" w:styleId="2a">
    <w:name w:val="Основной текст 2 Знак"/>
    <w:basedOn w:val="a4"/>
    <w:link w:val="29"/>
  </w:style>
  <w:style w:type="paragraph" w:customStyle="1" w:styleId="afff">
    <w:name w:val="ГО"/>
    <w:basedOn w:val="13"/>
    <w:link w:val="afff0"/>
    <w:qFormat/>
    <w:pPr>
      <w:spacing w:before="480" w:line="240" w:lineRule="auto"/>
    </w:pPr>
    <w:rPr>
      <w:rFonts w:ascii="Times New Roman" w:eastAsia="Times New Roman" w:hAnsi="Times New Roman" w:cs="Times New Roman"/>
      <w:b/>
      <w:bCs/>
      <w:sz w:val="28"/>
      <w:szCs w:val="28"/>
      <w:lang w:eastAsia="ru-RU"/>
    </w:rPr>
  </w:style>
  <w:style w:type="character" w:customStyle="1" w:styleId="afff0">
    <w:name w:val="ГО Знак"/>
    <w:basedOn w:val="14"/>
    <w:link w:val="afff"/>
    <w:rPr>
      <w:rFonts w:ascii="Times New Roman" w:eastAsia="Times New Roman" w:hAnsi="Times New Roman" w:cs="Times New Roman"/>
      <w:b/>
      <w:bCs/>
      <w:color w:val="2E74B5" w:themeColor="accent1" w:themeShade="BF"/>
      <w:sz w:val="28"/>
      <w:szCs w:val="28"/>
      <w:lang w:eastAsia="ru-RU"/>
    </w:rPr>
  </w:style>
  <w:style w:type="paragraph" w:styleId="2b">
    <w:name w:val="Body Text Indent 2"/>
    <w:basedOn w:val="a3"/>
    <w:link w:val="2c"/>
    <w:unhideWhenUsed/>
    <w:pPr>
      <w:spacing w:after="120" w:line="480" w:lineRule="auto"/>
      <w:ind w:left="283"/>
    </w:pPr>
  </w:style>
  <w:style w:type="character" w:customStyle="1" w:styleId="2c">
    <w:name w:val="Основной текст с отступом 2 Знак"/>
    <w:basedOn w:val="a4"/>
    <w:link w:val="2b"/>
  </w:style>
  <w:style w:type="paragraph" w:customStyle="1" w:styleId="afff1">
    <w:name w:val="МРСК_обычный_текст"/>
    <w:basedOn w:val="a3"/>
    <w:qFormat/>
    <w:pPr>
      <w:keepNext/>
      <w:spacing w:after="0" w:line="240" w:lineRule="auto"/>
      <w:jc w:val="both"/>
    </w:pPr>
    <w:rPr>
      <w:rFonts w:ascii="Times New Roman" w:eastAsia="Times New Roman" w:hAnsi="Times New Roman" w:cs="Times New Roman"/>
      <w:sz w:val="24"/>
      <w:szCs w:val="24"/>
      <w:lang w:eastAsia="ru-RU"/>
    </w:rPr>
  </w:style>
  <w:style w:type="paragraph" w:styleId="afff2">
    <w:name w:val="Plain Text"/>
    <w:basedOn w:val="a3"/>
    <w:link w:val="afff3"/>
    <w:uiPriority w:val="99"/>
    <w:pPr>
      <w:spacing w:after="0" w:line="240" w:lineRule="auto"/>
    </w:pPr>
    <w:rPr>
      <w:rFonts w:ascii="Courier New" w:eastAsia="Times New Roman" w:hAnsi="Courier New" w:cs="Times New Roman"/>
      <w:sz w:val="20"/>
      <w:szCs w:val="20"/>
      <w:lang w:eastAsia="ru-RU"/>
    </w:rPr>
  </w:style>
  <w:style w:type="character" w:customStyle="1" w:styleId="afff3">
    <w:name w:val="Текст Знак"/>
    <w:basedOn w:val="a4"/>
    <w:link w:val="afff2"/>
    <w:uiPriority w:val="99"/>
    <w:rPr>
      <w:rFonts w:ascii="Courier New" w:eastAsia="Times New Roman" w:hAnsi="Courier New" w:cs="Times New Roman"/>
      <w:sz w:val="20"/>
      <w:szCs w:val="20"/>
      <w:lang w:eastAsia="ru-RU"/>
    </w:rPr>
  </w:style>
  <w:style w:type="paragraph" w:customStyle="1" w:styleId="afff4">
    <w:name w:val="МРСК_нумерованный_список"/>
    <w:basedOn w:val="a"/>
    <w:link w:val="afff5"/>
    <w:qFormat/>
    <w:pPr>
      <w:numPr>
        <w:numId w:val="0"/>
      </w:numPr>
      <w:spacing w:after="0" w:line="240" w:lineRule="auto"/>
      <w:ind w:left="8222"/>
      <w:contextualSpacing w:val="0"/>
      <w:jc w:val="both"/>
    </w:pPr>
    <w:rPr>
      <w:rFonts w:ascii="Times New Roman" w:eastAsia="Times New Roman" w:hAnsi="Times New Roman"/>
      <w:sz w:val="24"/>
      <w:szCs w:val="24"/>
    </w:rPr>
  </w:style>
  <w:style w:type="character" w:customStyle="1" w:styleId="afff5">
    <w:name w:val="МРСК_нумерованный_список Знак"/>
    <w:link w:val="afff4"/>
    <w:rPr>
      <w:rFonts w:ascii="Times New Roman" w:eastAsia="Times New Roman" w:hAnsi="Times New Roman"/>
      <w:sz w:val="24"/>
      <w:szCs w:val="24"/>
    </w:rPr>
  </w:style>
  <w:style w:type="paragraph" w:styleId="a">
    <w:name w:val="List Number"/>
    <w:basedOn w:val="a3"/>
    <w:unhideWhenUsed/>
    <w:pPr>
      <w:numPr>
        <w:numId w:val="3"/>
      </w:numPr>
      <w:spacing w:after="200" w:line="276" w:lineRule="auto"/>
      <w:contextualSpacing/>
    </w:pPr>
  </w:style>
  <w:style w:type="character" w:customStyle="1" w:styleId="aa">
    <w:name w:val="Без интервала Знак"/>
    <w:link w:val="a9"/>
  </w:style>
  <w:style w:type="table" w:customStyle="1" w:styleId="311">
    <w:name w:val="Сетка таблицы31"/>
    <w:basedOn w:val="a5"/>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b">
    <w:name w:val="Верхний колонтитул Знак1"/>
    <w:basedOn w:val="a4"/>
    <w:uiPriority w:val="99"/>
    <w:semiHidden/>
    <w:rPr>
      <w:rFonts w:eastAsiaTheme="minorEastAsia"/>
      <w:lang w:eastAsia="ru-RU"/>
    </w:rPr>
  </w:style>
  <w:style w:type="character" w:customStyle="1" w:styleId="FontStyle12">
    <w:name w:val="Font Style12"/>
    <w:basedOn w:val="a4"/>
    <w:uiPriority w:val="99"/>
    <w:rPr>
      <w:rFonts w:ascii="Times New Roman" w:hAnsi="Times New Roman" w:cs="Times New Roman"/>
      <w:sz w:val="24"/>
      <w:szCs w:val="24"/>
    </w:rPr>
  </w:style>
  <w:style w:type="character" w:styleId="afff6">
    <w:name w:val="Emphasis"/>
    <w:basedOn w:val="a4"/>
    <w:qFormat/>
    <w:rPr>
      <w:i/>
      <w:iCs/>
    </w:rPr>
  </w:style>
  <w:style w:type="character" w:customStyle="1" w:styleId="1c">
    <w:name w:val="Основной текст Знак1"/>
    <w:basedOn w:val="a4"/>
    <w:rPr>
      <w:rFonts w:eastAsiaTheme="minorEastAsia"/>
      <w:lang w:eastAsia="ru-RU"/>
    </w:rPr>
  </w:style>
  <w:style w:type="paragraph" w:styleId="42">
    <w:name w:val="toc 4"/>
    <w:basedOn w:val="a3"/>
    <w:next w:val="a3"/>
    <w:uiPriority w:val="39"/>
    <w:unhideWhenUsed/>
    <w:pPr>
      <w:spacing w:after="100" w:line="276" w:lineRule="auto"/>
      <w:ind w:left="660"/>
    </w:pPr>
    <w:rPr>
      <w:rFonts w:eastAsiaTheme="minorEastAsia"/>
      <w:lang w:eastAsia="ru-RU"/>
    </w:rPr>
  </w:style>
  <w:style w:type="paragraph" w:styleId="53">
    <w:name w:val="toc 5"/>
    <w:basedOn w:val="a3"/>
    <w:next w:val="a3"/>
    <w:uiPriority w:val="39"/>
    <w:unhideWhenUsed/>
    <w:pPr>
      <w:spacing w:after="100" w:line="276" w:lineRule="auto"/>
      <w:ind w:left="880"/>
    </w:pPr>
    <w:rPr>
      <w:rFonts w:eastAsiaTheme="minorEastAsia"/>
      <w:lang w:eastAsia="ru-RU"/>
    </w:rPr>
  </w:style>
  <w:style w:type="paragraph" w:styleId="61">
    <w:name w:val="toc 6"/>
    <w:basedOn w:val="a3"/>
    <w:next w:val="a3"/>
    <w:uiPriority w:val="39"/>
    <w:unhideWhenUsed/>
    <w:pPr>
      <w:spacing w:after="100" w:line="276" w:lineRule="auto"/>
      <w:ind w:left="1100"/>
    </w:pPr>
    <w:rPr>
      <w:rFonts w:eastAsiaTheme="minorEastAsia"/>
      <w:lang w:eastAsia="ru-RU"/>
    </w:rPr>
  </w:style>
  <w:style w:type="paragraph" w:styleId="71">
    <w:name w:val="toc 7"/>
    <w:basedOn w:val="a3"/>
    <w:next w:val="a3"/>
    <w:uiPriority w:val="39"/>
    <w:unhideWhenUsed/>
    <w:pPr>
      <w:spacing w:after="100" w:line="276" w:lineRule="auto"/>
      <w:ind w:left="1320"/>
    </w:pPr>
    <w:rPr>
      <w:rFonts w:eastAsiaTheme="minorEastAsia"/>
      <w:lang w:eastAsia="ru-RU"/>
    </w:rPr>
  </w:style>
  <w:style w:type="paragraph" w:styleId="81">
    <w:name w:val="toc 8"/>
    <w:basedOn w:val="a3"/>
    <w:next w:val="a3"/>
    <w:uiPriority w:val="39"/>
    <w:unhideWhenUsed/>
    <w:pPr>
      <w:spacing w:after="100" w:line="276" w:lineRule="auto"/>
      <w:ind w:left="1540"/>
    </w:pPr>
    <w:rPr>
      <w:rFonts w:eastAsiaTheme="minorEastAsia"/>
      <w:lang w:eastAsia="ru-RU"/>
    </w:rPr>
  </w:style>
  <w:style w:type="paragraph" w:styleId="91">
    <w:name w:val="toc 9"/>
    <w:basedOn w:val="a3"/>
    <w:next w:val="a3"/>
    <w:uiPriority w:val="39"/>
    <w:unhideWhenUsed/>
    <w:pPr>
      <w:spacing w:after="100" w:line="276" w:lineRule="auto"/>
      <w:ind w:left="1760"/>
    </w:pPr>
    <w:rPr>
      <w:rFonts w:eastAsiaTheme="minorEastAsia"/>
      <w:lang w:eastAsia="ru-RU"/>
    </w:rPr>
  </w:style>
  <w:style w:type="numbering" w:customStyle="1" w:styleId="1d">
    <w:name w:val="Нет списка1"/>
    <w:next w:val="a6"/>
    <w:uiPriority w:val="99"/>
    <w:semiHidden/>
    <w:unhideWhenUsed/>
  </w:style>
  <w:style w:type="character" w:customStyle="1" w:styleId="hdr1">
    <w:name w:val="hdr1"/>
    <w:rPr>
      <w:rFonts w:ascii="Verdana" w:hAnsi="Verdana" w:hint="default"/>
      <w:b/>
      <w:bCs/>
      <w:i w:val="0"/>
      <w:iCs w:val="0"/>
      <w:caps/>
      <w:color w:val="336699"/>
      <w:sz w:val="15"/>
      <w:szCs w:val="15"/>
    </w:rPr>
  </w:style>
  <w:style w:type="character" w:customStyle="1" w:styleId="A20">
    <w:name w:val="A2"/>
    <w:rPr>
      <w:rFonts w:ascii="Verdana" w:eastAsia="Verdana" w:hAnsi="Verdana" w:cs="Verdana"/>
      <w:color w:val="000000"/>
      <w:sz w:val="19"/>
      <w:szCs w:val="19"/>
    </w:rPr>
  </w:style>
  <w:style w:type="character" w:customStyle="1" w:styleId="1e">
    <w:name w:val="Текст примечания Знак1"/>
    <w:basedOn w:val="a4"/>
    <w:uiPriority w:val="99"/>
    <w:semiHidden/>
    <w:rPr>
      <w:sz w:val="20"/>
      <w:szCs w:val="20"/>
    </w:rPr>
  </w:style>
  <w:style w:type="character" w:styleId="afff7">
    <w:name w:val="Intense Emphasis"/>
    <w:uiPriority w:val="21"/>
    <w:qFormat/>
    <w:rPr>
      <w:b/>
      <w:bCs/>
      <w:i/>
      <w:iCs/>
      <w:color w:val="4F81BD"/>
    </w:rPr>
  </w:style>
  <w:style w:type="character" w:customStyle="1" w:styleId="SUBST">
    <w:name w:val="__SUBST"/>
    <w:rPr>
      <w:b/>
      <w:bCs/>
      <w:i/>
      <w:iCs/>
      <w:sz w:val="22"/>
      <w:szCs w:val="22"/>
    </w:rPr>
  </w:style>
  <w:style w:type="paragraph" w:styleId="38">
    <w:name w:val="Body Text 3"/>
    <w:basedOn w:val="a3"/>
    <w:link w:val="39"/>
    <w:uiPriority w:val="99"/>
    <w:unhideWhenUsed/>
    <w:pPr>
      <w:spacing w:after="120" w:line="240" w:lineRule="auto"/>
      <w:ind w:firstLine="709"/>
      <w:jc w:val="both"/>
    </w:pPr>
    <w:rPr>
      <w:rFonts w:ascii="Times New Roman" w:eastAsia="Times New Roman" w:hAnsi="Times New Roman" w:cs="Times New Roman"/>
      <w:sz w:val="16"/>
      <w:szCs w:val="16"/>
      <w:lang w:eastAsia="ru-RU"/>
    </w:rPr>
  </w:style>
  <w:style w:type="character" w:customStyle="1" w:styleId="39">
    <w:name w:val="Основной текст 3 Знак"/>
    <w:basedOn w:val="a4"/>
    <w:link w:val="38"/>
    <w:uiPriority w:val="99"/>
    <w:rPr>
      <w:rFonts w:ascii="Times New Roman" w:eastAsia="Times New Roman" w:hAnsi="Times New Roman" w:cs="Times New Roman"/>
      <w:sz w:val="16"/>
      <w:szCs w:val="16"/>
      <w:lang w:eastAsia="ru-RU"/>
    </w:rPr>
  </w:style>
  <w:style w:type="paragraph" w:styleId="afff8">
    <w:name w:val="Block Text"/>
    <w:basedOn w:val="a3"/>
    <w:semiHidden/>
    <w:pPr>
      <w:spacing w:after="0" w:line="240" w:lineRule="auto"/>
      <w:ind w:left="-426" w:right="-99"/>
    </w:pPr>
    <w:rPr>
      <w:rFonts w:ascii="Times New Roman" w:eastAsia="Times New Roman" w:hAnsi="Times New Roman" w:cs="Times New Roman"/>
      <w:sz w:val="24"/>
      <w:szCs w:val="20"/>
      <w:lang w:eastAsia="ru-RU"/>
    </w:rPr>
  </w:style>
  <w:style w:type="paragraph" w:customStyle="1" w:styleId="xl25">
    <w:name w:val="xl25"/>
    <w:basedOn w:val="a3"/>
    <w:pPr>
      <w:spacing w:before="100" w:beforeAutospacing="1" w:after="100" w:afterAutospacing="1" w:line="240" w:lineRule="auto"/>
    </w:pPr>
    <w:rPr>
      <w:rFonts w:ascii="Times New Roman" w:eastAsia="Arial Unicode MS" w:hAnsi="Times New Roman" w:cs="Times New Roman"/>
      <w:sz w:val="24"/>
      <w:szCs w:val="24"/>
      <w:lang w:eastAsia="ru-RU"/>
    </w:rPr>
  </w:style>
  <w:style w:type="paragraph" w:customStyle="1" w:styleId="afff9">
    <w:name w:val="Знак"/>
    <w:basedOn w:val="a3"/>
    <w:pPr>
      <w:tabs>
        <w:tab w:val="num" w:pos="360"/>
      </w:tabs>
      <w:spacing w:line="240" w:lineRule="exact"/>
      <w:ind w:firstLine="709"/>
      <w:jc w:val="both"/>
    </w:pPr>
    <w:rPr>
      <w:rFonts w:ascii="Verdana" w:eastAsia="Times New Roman" w:hAnsi="Verdana" w:cs="Verdana"/>
      <w:sz w:val="20"/>
      <w:szCs w:val="20"/>
      <w:lang w:val="en-US"/>
    </w:rPr>
  </w:style>
  <w:style w:type="paragraph" w:customStyle="1" w:styleId="FR2">
    <w:name w:val="FR2"/>
    <w:pPr>
      <w:widowControl w:val="0"/>
      <w:spacing w:after="0" w:line="300" w:lineRule="auto"/>
      <w:ind w:firstLine="480"/>
      <w:jc w:val="both"/>
    </w:pPr>
    <w:rPr>
      <w:rFonts w:ascii="Arial" w:eastAsia="Times New Roman" w:hAnsi="Arial" w:cs="Times New Roman"/>
      <w:sz w:val="16"/>
      <w:szCs w:val="20"/>
      <w:lang w:eastAsia="ru-RU"/>
    </w:rPr>
  </w:style>
  <w:style w:type="paragraph" w:customStyle="1" w:styleId="FR4">
    <w:name w:val="FR4"/>
    <w:pPr>
      <w:widowControl w:val="0"/>
      <w:spacing w:before="160" w:after="0" w:line="240" w:lineRule="auto"/>
      <w:ind w:left="80" w:firstLine="380"/>
    </w:pPr>
    <w:rPr>
      <w:rFonts w:ascii="Times New Roman" w:eastAsia="Times New Roman" w:hAnsi="Times New Roman" w:cs="Times New Roman"/>
      <w:sz w:val="16"/>
      <w:szCs w:val="20"/>
      <w:lang w:eastAsia="ru-RU"/>
    </w:rPr>
  </w:style>
  <w:style w:type="character" w:customStyle="1" w:styleId="3a">
    <w:name w:val="Основной текст с отступом 3 Знак"/>
    <w:link w:val="3b"/>
    <w:rPr>
      <w:rFonts w:ascii="Times New Roman" w:eastAsia="Times New Roman" w:hAnsi="Times New Roman" w:cs="Times New Roman"/>
      <w:sz w:val="24"/>
      <w:szCs w:val="24"/>
    </w:rPr>
  </w:style>
  <w:style w:type="paragraph" w:styleId="3b">
    <w:name w:val="Body Text Indent 3"/>
    <w:basedOn w:val="a3"/>
    <w:link w:val="3a"/>
    <w:pPr>
      <w:tabs>
        <w:tab w:val="left" w:pos="851"/>
      </w:tabs>
      <w:spacing w:before="120" w:after="0"/>
      <w:ind w:firstLine="425"/>
      <w:jc w:val="both"/>
    </w:pPr>
    <w:rPr>
      <w:rFonts w:ascii="Times New Roman" w:eastAsia="Times New Roman" w:hAnsi="Times New Roman" w:cs="Times New Roman"/>
      <w:sz w:val="24"/>
      <w:szCs w:val="24"/>
    </w:rPr>
  </w:style>
  <w:style w:type="character" w:customStyle="1" w:styleId="312">
    <w:name w:val="Основной текст с отступом 3 Знак1"/>
    <w:basedOn w:val="a4"/>
    <w:uiPriority w:val="99"/>
    <w:semiHidden/>
    <w:rPr>
      <w:sz w:val="16"/>
      <w:szCs w:val="16"/>
    </w:rPr>
  </w:style>
  <w:style w:type="paragraph" w:styleId="afffa">
    <w:name w:val="Subtitle"/>
    <w:basedOn w:val="a3"/>
    <w:link w:val="afffb"/>
    <w:uiPriority w:val="11"/>
    <w:qFormat/>
    <w:pPr>
      <w:spacing w:after="0" w:line="240" w:lineRule="auto"/>
      <w:ind w:firstLine="709"/>
      <w:jc w:val="center"/>
    </w:pPr>
    <w:rPr>
      <w:rFonts w:ascii="Times New Roman" w:eastAsia="Times New Roman" w:hAnsi="Times New Roman" w:cs="Times New Roman"/>
      <w:b/>
      <w:bCs/>
      <w:sz w:val="24"/>
      <w:szCs w:val="12"/>
      <w:lang w:eastAsia="ru-RU"/>
    </w:rPr>
  </w:style>
  <w:style w:type="character" w:customStyle="1" w:styleId="afffb">
    <w:name w:val="Подзаголовок Знак"/>
    <w:basedOn w:val="a4"/>
    <w:link w:val="afffa"/>
    <w:uiPriority w:val="11"/>
    <w:rPr>
      <w:rFonts w:ascii="Times New Roman" w:eastAsia="Times New Roman" w:hAnsi="Times New Roman" w:cs="Times New Roman"/>
      <w:b/>
      <w:bCs/>
      <w:sz w:val="24"/>
      <w:szCs w:val="12"/>
      <w:lang w:eastAsia="ru-RU"/>
    </w:rPr>
  </w:style>
  <w:style w:type="paragraph" w:styleId="afffc">
    <w:name w:val="caption"/>
    <w:basedOn w:val="a3"/>
    <w:next w:val="a3"/>
    <w:uiPriority w:val="35"/>
    <w:qFormat/>
    <w:pPr>
      <w:spacing w:before="120" w:after="0" w:line="240" w:lineRule="auto"/>
      <w:ind w:firstLine="709"/>
      <w:jc w:val="center"/>
    </w:pPr>
    <w:rPr>
      <w:rFonts w:ascii="Times New Roman" w:eastAsia="Times New Roman" w:hAnsi="Times New Roman" w:cs="Times New Roman"/>
      <w:b/>
      <w:sz w:val="24"/>
      <w:szCs w:val="24"/>
      <w:lang w:eastAsia="ru-RU"/>
    </w:rPr>
  </w:style>
  <w:style w:type="character" w:customStyle="1" w:styleId="1f">
    <w:name w:val="Тема примечания Знак1"/>
    <w:basedOn w:val="1e"/>
    <w:uiPriority w:val="99"/>
    <w:semiHidden/>
    <w:rPr>
      <w:b/>
      <w:bCs/>
      <w:sz w:val="20"/>
      <w:szCs w:val="20"/>
    </w:rPr>
  </w:style>
  <w:style w:type="paragraph" w:customStyle="1" w:styleId="ConsTitle">
    <w:name w:val="ConsTitle"/>
    <w:uiPriority w:val="99"/>
    <w:pPr>
      <w:widowControl w:val="0"/>
      <w:spacing w:after="0" w:line="240" w:lineRule="auto"/>
    </w:pPr>
    <w:rPr>
      <w:rFonts w:ascii="Arial" w:eastAsia="Times New Roman" w:hAnsi="Arial" w:cs="Arial"/>
      <w:b/>
      <w:bCs/>
      <w:sz w:val="16"/>
      <w:szCs w:val="16"/>
      <w:lang w:eastAsia="ru-RU"/>
    </w:rPr>
  </w:style>
  <w:style w:type="paragraph" w:customStyle="1" w:styleId="1f0">
    <w:name w:val="марк список 1"/>
    <w:basedOn w:val="a3"/>
    <w:pPr>
      <w:tabs>
        <w:tab w:val="num" w:pos="5039"/>
      </w:tabs>
      <w:spacing w:before="120" w:after="120" w:line="240" w:lineRule="auto"/>
      <w:ind w:left="5039" w:hanging="360"/>
      <w:jc w:val="both"/>
    </w:pPr>
    <w:rPr>
      <w:rFonts w:ascii="Times New Roman" w:eastAsia="Times New Roman" w:hAnsi="Times New Roman" w:cs="Times New Roman"/>
      <w:sz w:val="24"/>
      <w:szCs w:val="24"/>
    </w:rPr>
  </w:style>
  <w:style w:type="paragraph" w:customStyle="1" w:styleId="1f1">
    <w:name w:val="Знак1"/>
    <w:basedOn w:val="a3"/>
    <w:pPr>
      <w:spacing w:line="240" w:lineRule="exact"/>
    </w:pPr>
    <w:rPr>
      <w:rFonts w:ascii="Verdana" w:eastAsia="Times New Roman" w:hAnsi="Verdana" w:cs="Verdana"/>
      <w:sz w:val="20"/>
      <w:szCs w:val="20"/>
      <w:lang w:val="en-US"/>
    </w:rPr>
  </w:style>
  <w:style w:type="paragraph" w:customStyle="1" w:styleId="ConsPlusTitle">
    <w:name w:val="ConsPlusTitle"/>
    <w:pPr>
      <w:widowControl w:val="0"/>
      <w:spacing w:after="0" w:line="240" w:lineRule="auto"/>
    </w:pPr>
    <w:rPr>
      <w:rFonts w:ascii="Arial" w:eastAsia="Times New Roman" w:hAnsi="Arial" w:cs="Arial"/>
      <w:b/>
      <w:bCs/>
      <w:sz w:val="20"/>
      <w:szCs w:val="20"/>
      <w:lang w:eastAsia="ru-RU"/>
    </w:rPr>
  </w:style>
  <w:style w:type="paragraph" w:customStyle="1" w:styleId="afffd">
    <w:name w:val="Стиль начало"/>
    <w:basedOn w:val="a3"/>
    <w:pPr>
      <w:spacing w:after="0" w:line="264" w:lineRule="auto"/>
    </w:pPr>
    <w:rPr>
      <w:rFonts w:ascii="Times New Roman" w:eastAsia="Times New Roman" w:hAnsi="Times New Roman" w:cs="Times New Roman"/>
      <w:sz w:val="24"/>
      <w:szCs w:val="24"/>
      <w:lang w:eastAsia="ru-RU"/>
    </w:rPr>
  </w:style>
  <w:style w:type="paragraph" w:customStyle="1" w:styleId="xl74">
    <w:name w:val="xl74"/>
    <w:basedOn w:val="a3"/>
    <w:pPr>
      <w:pBdr>
        <w:top w:val="single" w:sz="4" w:space="0" w:color="000000"/>
        <w:left w:val="single" w:sz="4" w:space="0" w:color="000000"/>
        <w:bottom w:val="single" w:sz="4" w:space="0" w:color="000000"/>
        <w:right w:val="single" w:sz="4" w:space="0" w:color="000000"/>
      </w:pBdr>
      <w:shd w:val="clear" w:color="000000"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5">
    <w:name w:val="xl75"/>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6">
    <w:name w:val="xl76"/>
    <w:basedOn w:val="a3"/>
    <w:pPr>
      <w:pBdr>
        <w:top w:val="single" w:sz="4" w:space="0" w:color="000000"/>
        <w:left w:val="single" w:sz="4" w:space="0" w:color="000000"/>
        <w:bottom w:val="single" w:sz="4" w:space="0" w:color="000000"/>
        <w:right w:val="single" w:sz="4" w:space="0" w:color="000000"/>
      </w:pBdr>
      <w:shd w:val="clear" w:color="000000"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7">
    <w:name w:val="xl77"/>
    <w:basedOn w:val="a3"/>
    <w:pPr>
      <w:pBdr>
        <w:top w:val="single" w:sz="4" w:space="0" w:color="000000"/>
        <w:left w:val="single" w:sz="4" w:space="0" w:color="000000"/>
        <w:bottom w:val="single" w:sz="4" w:space="0" w:color="000000"/>
        <w:right w:val="single" w:sz="4" w:space="0" w:color="000000"/>
      </w:pBdr>
      <w:shd w:val="clear" w:color="000000"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8">
    <w:name w:val="xl78"/>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9">
    <w:name w:val="xl79"/>
    <w:basedOn w:val="a3"/>
    <w:pP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80">
    <w:name w:val="xl80"/>
    <w:basedOn w:val="a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1">
    <w:name w:val="xl81"/>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2">
    <w:name w:val="xl82"/>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3">
    <w:name w:val="xl83"/>
    <w:basedOn w:val="a3"/>
    <w:pPr>
      <w:pBdr>
        <w:top w:val="single" w:sz="4" w:space="0" w:color="000000"/>
        <w:left w:val="single" w:sz="4" w:space="0" w:color="000000"/>
        <w:bottom w:val="single" w:sz="4" w:space="0" w:color="000000"/>
        <w:right w:val="single" w:sz="4" w:space="0" w:color="000000"/>
      </w:pBdr>
      <w:shd w:val="clear" w:color="000000" w:fill="93CDDD"/>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4">
    <w:name w:val="xl84"/>
    <w:basedOn w:val="a3"/>
    <w:pPr>
      <w:pBdr>
        <w:top w:val="single" w:sz="4" w:space="0" w:color="000000"/>
        <w:left w:val="single" w:sz="4" w:space="0" w:color="000000"/>
        <w:bottom w:val="single" w:sz="4" w:space="0" w:color="000000"/>
        <w:right w:val="single" w:sz="4" w:space="0" w:color="000000"/>
      </w:pBdr>
      <w:shd w:val="clear" w:color="000000" w:fill="93CDDD"/>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5">
    <w:name w:val="xl85"/>
    <w:basedOn w:val="a3"/>
    <w:pPr>
      <w:pBdr>
        <w:top w:val="single" w:sz="4" w:space="0" w:color="000000"/>
        <w:left w:val="single" w:sz="4" w:space="0" w:color="000000"/>
        <w:bottom w:val="single" w:sz="4" w:space="0" w:color="000000"/>
        <w:right w:val="single" w:sz="4" w:space="0" w:color="000000"/>
      </w:pBdr>
      <w:shd w:val="clear" w:color="000000" w:fill="93CDDD"/>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7">
    <w:name w:val="xl87"/>
    <w:basedOn w:val="a3"/>
    <w:pPr>
      <w:pBdr>
        <w:top w:val="single" w:sz="4" w:space="0" w:color="000000"/>
        <w:left w:val="single" w:sz="4" w:space="0" w:color="000000"/>
        <w:bottom w:val="single" w:sz="4" w:space="0" w:color="000000"/>
        <w:right w:val="single" w:sz="4" w:space="0" w:color="000000"/>
      </w:pBdr>
      <w:shd w:val="clear" w:color="000000" w:fill="CCFFF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8">
    <w:name w:val="xl88"/>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9">
    <w:name w:val="xl89"/>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90">
    <w:name w:val="xl90"/>
    <w:basedOn w:val="a3"/>
    <w:pPr>
      <w:pBdr>
        <w:top w:val="single" w:sz="4" w:space="0" w:color="000000"/>
        <w:left w:val="single" w:sz="4" w:space="0" w:color="000000"/>
        <w:bottom w:val="single" w:sz="4" w:space="0" w:color="000000"/>
        <w:right w:val="single" w:sz="4" w:space="0" w:color="000000"/>
      </w:pBdr>
      <w:shd w:val="clear" w:color="000000" w:fill="93CDDD"/>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91">
    <w:name w:val="xl91"/>
    <w:basedOn w:val="a3"/>
    <w:pPr>
      <w:pBdr>
        <w:top w:val="single" w:sz="4" w:space="0" w:color="000000"/>
        <w:left w:val="single" w:sz="4" w:space="0" w:color="000000"/>
        <w:right w:val="single" w:sz="4" w:space="0" w:color="000000"/>
      </w:pBdr>
      <w:shd w:val="clear" w:color="000000" w:fill="93CDDD"/>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92">
    <w:name w:val="xl92"/>
    <w:basedOn w:val="a3"/>
    <w:pPr>
      <w:pBdr>
        <w:top w:val="single" w:sz="4" w:space="0" w:color="000000"/>
        <w:left w:val="single" w:sz="4" w:space="0" w:color="000000"/>
        <w:bottom w:val="single" w:sz="4" w:space="0" w:color="000000"/>
        <w:right w:val="single" w:sz="4" w:space="0" w:color="000000"/>
      </w:pBdr>
      <w:shd w:val="clear" w:color="000000" w:fill="93CDDD"/>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93">
    <w:name w:val="xl93"/>
    <w:basedOn w:val="a3"/>
    <w:pPr>
      <w:pBdr>
        <w:top w:val="single" w:sz="4" w:space="0" w:color="000000"/>
        <w:left w:val="single" w:sz="4" w:space="0" w:color="000000"/>
        <w:bottom w:val="single" w:sz="4" w:space="0" w:color="000000"/>
        <w:right w:val="single" w:sz="4" w:space="0" w:color="000000"/>
      </w:pBdr>
      <w:shd w:val="clear" w:color="000000" w:fill="93CDDD"/>
      <w:spacing w:before="100" w:beforeAutospacing="1" w:after="100" w:afterAutospacing="1" w:line="240" w:lineRule="auto"/>
      <w:jc w:val="center"/>
    </w:pPr>
    <w:rPr>
      <w:rFonts w:ascii="Times New Roman" w:eastAsia="Times New Roman" w:hAnsi="Times New Roman" w:cs="Times New Roman"/>
      <w:b/>
      <w:bCs/>
      <w:sz w:val="18"/>
      <w:szCs w:val="18"/>
      <w:lang w:eastAsia="ru-RU"/>
    </w:rPr>
  </w:style>
  <w:style w:type="paragraph" w:customStyle="1" w:styleId="xl94">
    <w:name w:val="xl94"/>
    <w:basedOn w:val="a3"/>
    <w:pPr>
      <w:pBdr>
        <w:left w:val="single" w:sz="4" w:space="0" w:color="000000"/>
        <w:right w:val="single" w:sz="4" w:space="0" w:color="000000"/>
      </w:pBdr>
      <w:shd w:val="clear" w:color="000000" w:fill="93CDDD"/>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95">
    <w:name w:val="xl95"/>
    <w:basedOn w:val="a3"/>
    <w:pPr>
      <w:pBdr>
        <w:top w:val="single" w:sz="4" w:space="0" w:color="000000"/>
        <w:left w:val="single" w:sz="4" w:space="0" w:color="000000"/>
        <w:bottom w:val="single" w:sz="4" w:space="0" w:color="000000"/>
        <w:right w:val="single" w:sz="4" w:space="0" w:color="000000"/>
      </w:pBdr>
      <w:shd w:val="clear" w:color="000000" w:fill="93CDDD"/>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96">
    <w:name w:val="xl96"/>
    <w:basedOn w:val="a3"/>
    <w:pPr>
      <w:pBdr>
        <w:left w:val="single" w:sz="4" w:space="0" w:color="000000"/>
        <w:bottom w:val="single" w:sz="4" w:space="0" w:color="000000"/>
        <w:right w:val="single" w:sz="4" w:space="0" w:color="000000"/>
      </w:pBdr>
      <w:shd w:val="clear" w:color="000000" w:fill="93CDDD"/>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Pa9">
    <w:name w:val="Pa9"/>
    <w:basedOn w:val="a3"/>
    <w:next w:val="a3"/>
    <w:uiPriority w:val="99"/>
    <w:pPr>
      <w:spacing w:after="0" w:line="201" w:lineRule="atLeast"/>
    </w:pPr>
    <w:rPr>
      <w:rFonts w:ascii="Times CY" w:eastAsia="Calibri" w:hAnsi="Times CY" w:cs="Times New Roman"/>
      <w:sz w:val="24"/>
      <w:szCs w:val="24"/>
    </w:rPr>
  </w:style>
  <w:style w:type="paragraph" w:customStyle="1" w:styleId="Pa11">
    <w:name w:val="Pa11"/>
    <w:basedOn w:val="a3"/>
    <w:next w:val="a3"/>
    <w:uiPriority w:val="99"/>
    <w:pPr>
      <w:spacing w:after="0" w:line="201" w:lineRule="atLeast"/>
    </w:pPr>
    <w:rPr>
      <w:rFonts w:ascii="Times CY" w:eastAsia="Calibri" w:hAnsi="Times CY" w:cs="Times New Roman"/>
      <w:sz w:val="24"/>
      <w:szCs w:val="24"/>
    </w:rPr>
  </w:style>
  <w:style w:type="paragraph" w:customStyle="1" w:styleId="afffe">
    <w:name w:val="Список многоуровневый"/>
    <w:basedOn w:val="a3"/>
    <w:pPr>
      <w:tabs>
        <w:tab w:val="left" w:pos="357"/>
        <w:tab w:val="num" w:pos="397"/>
        <w:tab w:val="num" w:pos="1080"/>
      </w:tabs>
      <w:spacing w:before="120" w:after="120" w:line="240" w:lineRule="auto"/>
      <w:ind w:left="397" w:hanging="397"/>
      <w:jc w:val="both"/>
    </w:pPr>
    <w:rPr>
      <w:rFonts w:ascii="Times New Roman" w:eastAsia="Times New Roman" w:hAnsi="Times New Roman" w:cs="Times New Roman"/>
      <w:sz w:val="24"/>
      <w:szCs w:val="24"/>
      <w:lang w:eastAsia="ru-RU"/>
    </w:rPr>
  </w:style>
  <w:style w:type="character" w:customStyle="1" w:styleId="111">
    <w:name w:val="стиль11"/>
    <w:rPr>
      <w:sz w:val="21"/>
      <w:szCs w:val="21"/>
    </w:rPr>
  </w:style>
  <w:style w:type="paragraph" w:customStyle="1" w:styleId="1f2">
    <w:name w:val="Обычный (веб)1"/>
    <w:basedOn w:val="a3"/>
    <w:pPr>
      <w:spacing w:before="100" w:beforeAutospacing="1" w:after="100" w:afterAutospacing="1" w:line="240" w:lineRule="auto"/>
      <w:jc w:val="both"/>
    </w:pPr>
    <w:rPr>
      <w:rFonts w:ascii="Times New Roman" w:eastAsia="Times New Roman" w:hAnsi="Times New Roman" w:cs="Times New Roman"/>
      <w:color w:val="000000"/>
      <w:sz w:val="18"/>
      <w:szCs w:val="18"/>
      <w:lang w:eastAsia="ru-RU"/>
    </w:rPr>
  </w:style>
  <w:style w:type="paragraph" w:customStyle="1" w:styleId="xl44">
    <w:name w:val="xl44"/>
    <w:basedOn w:val="a3"/>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43">
    <w:name w:val="МРСК_заголовок_4"/>
    <w:basedOn w:val="4"/>
    <w:link w:val="44"/>
    <w:qFormat/>
    <w:pPr>
      <w:framePr w:hSpace="180" w:wrap="around" w:vAnchor="text" w:hAnchor="margin" w:y="137"/>
      <w:ind w:firstLine="0"/>
    </w:pPr>
    <w:rPr>
      <w:b w:val="0"/>
    </w:rPr>
  </w:style>
  <w:style w:type="character" w:customStyle="1" w:styleId="44">
    <w:name w:val="МРСК_заголовок_4 Знак"/>
    <w:basedOn w:val="40"/>
    <w:link w:val="43"/>
    <w:rPr>
      <w:rFonts w:ascii="Times New Roman" w:eastAsia="Times New Roman" w:hAnsi="Times New Roman" w:cs="Times New Roman"/>
      <w:b w:val="0"/>
      <w:bCs/>
      <w:sz w:val="24"/>
      <w:szCs w:val="24"/>
      <w:lang w:eastAsia="ru-RU"/>
    </w:rPr>
  </w:style>
  <w:style w:type="paragraph" w:customStyle="1" w:styleId="3c">
    <w:name w:val="МРСК_заголовок_3"/>
    <w:basedOn w:val="31"/>
    <w:qFormat/>
    <w:pPr>
      <w:keepLines w:val="0"/>
      <w:spacing w:before="0" w:line="240" w:lineRule="auto"/>
      <w:ind w:left="360" w:hanging="360"/>
      <w:jc w:val="both"/>
    </w:pPr>
    <w:rPr>
      <w:rFonts w:ascii="Times New Roman" w:eastAsia="Times New Roman" w:hAnsi="Times New Roman" w:cs="Arial"/>
      <w:b/>
      <w:bCs/>
      <w:caps/>
      <w:color w:val="auto"/>
      <w:szCs w:val="26"/>
      <w:lang w:eastAsia="ru-RU"/>
    </w:rPr>
  </w:style>
  <w:style w:type="paragraph" w:customStyle="1" w:styleId="affff">
    <w:name w:val="Мой_обычный"/>
    <w:basedOn w:val="a3"/>
    <w:qFormat/>
    <w:pPr>
      <w:keepNext/>
      <w:framePr w:hSpace="180" w:wrap="around" w:vAnchor="text" w:hAnchor="margin" w:y="137"/>
      <w:spacing w:after="0" w:line="240" w:lineRule="auto"/>
      <w:jc w:val="both"/>
    </w:pPr>
    <w:rPr>
      <w:rFonts w:ascii="Times New Roman" w:eastAsia="Times New Roman" w:hAnsi="Times New Roman" w:cs="Times New Roman"/>
      <w:sz w:val="24"/>
      <w:szCs w:val="24"/>
      <w:lang w:eastAsia="ru-RU"/>
    </w:rPr>
  </w:style>
  <w:style w:type="paragraph" w:customStyle="1" w:styleId="affff0">
    <w:name w:val="МРСК_колонтитул_верхний_центр_курсив"/>
    <w:basedOn w:val="a3"/>
    <w:qFormat/>
    <w:pPr>
      <w:keepNext/>
      <w:framePr w:hSpace="180" w:wrap="around" w:vAnchor="text" w:hAnchor="margin" w:y="137"/>
      <w:tabs>
        <w:tab w:val="center" w:pos="4677"/>
        <w:tab w:val="right" w:pos="9355"/>
      </w:tabs>
      <w:spacing w:after="0" w:line="240" w:lineRule="auto"/>
      <w:jc w:val="center"/>
    </w:pPr>
    <w:rPr>
      <w:rFonts w:ascii="Times New Roman" w:eastAsia="Times New Roman" w:hAnsi="Times New Roman" w:cs="Times New Roman"/>
      <w:i/>
      <w:caps/>
      <w:sz w:val="12"/>
      <w:szCs w:val="16"/>
      <w:lang w:eastAsia="ru-RU"/>
    </w:rPr>
  </w:style>
  <w:style w:type="paragraph" w:customStyle="1" w:styleId="affff1">
    <w:name w:val="Нумерованный )"/>
    <w:basedOn w:val="a3"/>
    <w:link w:val="affff2"/>
    <w:pPr>
      <w:tabs>
        <w:tab w:val="num" w:pos="1069"/>
      </w:tabs>
      <w:spacing w:after="0" w:line="240" w:lineRule="auto"/>
      <w:ind w:left="1069" w:hanging="360"/>
      <w:jc w:val="both"/>
    </w:pPr>
    <w:rPr>
      <w:rFonts w:ascii="Arial" w:eastAsia="Times New Roman" w:hAnsi="Arial" w:cs="Times New Roman"/>
      <w:sz w:val="24"/>
      <w:szCs w:val="28"/>
      <w:lang w:eastAsia="ru-RU"/>
    </w:rPr>
  </w:style>
  <w:style w:type="character" w:customStyle="1" w:styleId="affff2">
    <w:name w:val="Нумерованный ) Знак"/>
    <w:link w:val="affff1"/>
    <w:rPr>
      <w:rFonts w:ascii="Arial" w:eastAsia="Times New Roman" w:hAnsi="Arial" w:cs="Times New Roman"/>
      <w:sz w:val="24"/>
      <w:szCs w:val="28"/>
      <w:lang w:eastAsia="ru-RU"/>
    </w:rPr>
  </w:style>
  <w:style w:type="paragraph" w:customStyle="1" w:styleId="ConsNormal">
    <w:name w:val="ConsNormal"/>
    <w:pPr>
      <w:spacing w:after="0" w:line="240" w:lineRule="auto"/>
      <w:ind w:right="19772" w:firstLine="720"/>
      <w:jc w:val="both"/>
    </w:pPr>
    <w:rPr>
      <w:rFonts w:ascii="Arial" w:eastAsia="Times New Roman" w:hAnsi="Arial" w:cs="Arial"/>
      <w:sz w:val="20"/>
      <w:szCs w:val="20"/>
      <w:lang w:eastAsia="ru-RU"/>
    </w:rPr>
  </w:style>
  <w:style w:type="paragraph" w:customStyle="1" w:styleId="text">
    <w:name w:val="text Знак"/>
    <w:basedOn w:val="aff1"/>
    <w:pPr>
      <w:keepNext/>
      <w:spacing w:after="120"/>
      <w:ind w:left="283" w:firstLine="0"/>
    </w:pPr>
    <w:rPr>
      <w:rFonts w:eastAsia="Calibri"/>
      <w:sz w:val="24"/>
    </w:rPr>
  </w:style>
  <w:style w:type="character" w:styleId="affff3">
    <w:name w:val="Strong"/>
    <w:uiPriority w:val="22"/>
    <w:qFormat/>
    <w:rPr>
      <w:b/>
      <w:bCs/>
    </w:rPr>
  </w:style>
  <w:style w:type="paragraph" w:styleId="2d">
    <w:name w:val="Quote"/>
    <w:basedOn w:val="a3"/>
    <w:next w:val="a3"/>
    <w:link w:val="2e"/>
    <w:uiPriority w:val="29"/>
    <w:qFormat/>
    <w:pPr>
      <w:spacing w:after="0" w:line="240" w:lineRule="auto"/>
    </w:pPr>
    <w:rPr>
      <w:rFonts w:ascii="Calibri" w:eastAsia="Times New Roman" w:hAnsi="Calibri" w:cs="Times New Roman"/>
      <w:i/>
      <w:sz w:val="24"/>
      <w:szCs w:val="24"/>
      <w:lang w:val="en-US" w:eastAsia="ru-RU" w:bidi="en-US"/>
    </w:rPr>
  </w:style>
  <w:style w:type="character" w:customStyle="1" w:styleId="2e">
    <w:name w:val="Цитата 2 Знак"/>
    <w:basedOn w:val="a4"/>
    <w:link w:val="2d"/>
    <w:uiPriority w:val="29"/>
    <w:rPr>
      <w:rFonts w:ascii="Calibri" w:eastAsia="Times New Roman" w:hAnsi="Calibri" w:cs="Times New Roman"/>
      <w:i/>
      <w:sz w:val="24"/>
      <w:szCs w:val="24"/>
      <w:lang w:val="en-US" w:eastAsia="ru-RU" w:bidi="en-US"/>
    </w:rPr>
  </w:style>
  <w:style w:type="paragraph" w:styleId="affff4">
    <w:name w:val="Intense Quote"/>
    <w:basedOn w:val="a3"/>
    <w:next w:val="a3"/>
    <w:link w:val="affff5"/>
    <w:uiPriority w:val="30"/>
    <w:qFormat/>
    <w:pPr>
      <w:spacing w:after="0" w:line="240" w:lineRule="auto"/>
      <w:ind w:left="720" w:right="720"/>
    </w:pPr>
    <w:rPr>
      <w:rFonts w:ascii="Calibri" w:eastAsia="Times New Roman" w:hAnsi="Calibri" w:cs="Times New Roman"/>
      <w:b/>
      <w:i/>
      <w:sz w:val="24"/>
      <w:szCs w:val="20"/>
      <w:lang w:val="en-US" w:eastAsia="ru-RU" w:bidi="en-US"/>
    </w:rPr>
  </w:style>
  <w:style w:type="character" w:customStyle="1" w:styleId="affff5">
    <w:name w:val="Выделенная цитата Знак"/>
    <w:basedOn w:val="a4"/>
    <w:link w:val="affff4"/>
    <w:uiPriority w:val="30"/>
    <w:rPr>
      <w:rFonts w:ascii="Calibri" w:eastAsia="Times New Roman" w:hAnsi="Calibri" w:cs="Times New Roman"/>
      <w:b/>
      <w:i/>
      <w:sz w:val="24"/>
      <w:szCs w:val="20"/>
      <w:lang w:val="en-US" w:eastAsia="ru-RU" w:bidi="en-US"/>
    </w:rPr>
  </w:style>
  <w:style w:type="character" w:styleId="affff6">
    <w:name w:val="Subtle Emphasis"/>
    <w:uiPriority w:val="19"/>
    <w:qFormat/>
    <w:rPr>
      <w:i/>
      <w:color w:val="5A5A5A"/>
    </w:rPr>
  </w:style>
  <w:style w:type="character" w:styleId="affff7">
    <w:name w:val="Subtle Reference"/>
    <w:uiPriority w:val="31"/>
    <w:qFormat/>
    <w:rPr>
      <w:sz w:val="24"/>
      <w:szCs w:val="24"/>
      <w:u w:val="single"/>
    </w:rPr>
  </w:style>
  <w:style w:type="character" w:styleId="affff8">
    <w:name w:val="Intense Reference"/>
    <w:uiPriority w:val="32"/>
    <w:qFormat/>
    <w:rPr>
      <w:b/>
      <w:sz w:val="24"/>
      <w:u w:val="single"/>
    </w:rPr>
  </w:style>
  <w:style w:type="character" w:styleId="affff9">
    <w:name w:val="Book Title"/>
    <w:uiPriority w:val="33"/>
    <w:qFormat/>
    <w:rPr>
      <w:rFonts w:ascii="Cambria" w:eastAsia="Times New Roman" w:hAnsi="Cambria"/>
      <w:b/>
      <w:i/>
      <w:sz w:val="24"/>
      <w:szCs w:val="24"/>
    </w:rPr>
  </w:style>
  <w:style w:type="paragraph" w:customStyle="1" w:styleId="1f3">
    <w:name w:val="Обычный1"/>
    <w:pPr>
      <w:spacing w:after="0" w:line="240" w:lineRule="auto"/>
    </w:pPr>
    <w:rPr>
      <w:rFonts w:ascii="Arial" w:eastAsia="Times New Roman" w:hAnsi="Arial" w:cs="Times New Roman"/>
      <w:sz w:val="18"/>
      <w:szCs w:val="20"/>
      <w:lang w:eastAsia="ru-RU"/>
    </w:rPr>
  </w:style>
  <w:style w:type="paragraph" w:customStyle="1" w:styleId="Style4">
    <w:name w:val="Style4"/>
    <w:basedOn w:val="a3"/>
    <w:pPr>
      <w:tabs>
        <w:tab w:val="left" w:pos="2160"/>
      </w:tabs>
      <w:spacing w:after="0" w:line="240" w:lineRule="auto"/>
      <w:ind w:firstLine="709"/>
      <w:jc w:val="both"/>
    </w:pPr>
    <w:rPr>
      <w:rFonts w:ascii="Courier New" w:eastAsia="Times New Roman" w:hAnsi="Courier New" w:cs="Courier New"/>
      <w:b/>
      <w:bCs/>
      <w:sz w:val="24"/>
      <w:szCs w:val="24"/>
      <w:lang w:eastAsia="ru-RU"/>
    </w:rPr>
  </w:style>
  <w:style w:type="paragraph" w:customStyle="1" w:styleId="Style3">
    <w:name w:val="Style3"/>
    <w:basedOn w:val="a3"/>
    <w:pPr>
      <w:spacing w:after="0" w:line="240" w:lineRule="auto"/>
      <w:ind w:firstLine="709"/>
      <w:jc w:val="both"/>
    </w:pPr>
    <w:rPr>
      <w:rFonts w:ascii="Courier New" w:eastAsia="Times New Roman" w:hAnsi="Courier New" w:cs="Courier New"/>
      <w:b/>
      <w:bCs/>
      <w:sz w:val="24"/>
      <w:szCs w:val="24"/>
      <w:lang w:eastAsia="ru-RU"/>
    </w:rPr>
  </w:style>
  <w:style w:type="paragraph" w:customStyle="1" w:styleId="affffa">
    <w:name w:val="Документ"/>
    <w:basedOn w:val="a3"/>
    <w:pPr>
      <w:spacing w:after="0" w:line="240" w:lineRule="auto"/>
      <w:ind w:firstLine="720"/>
      <w:jc w:val="both"/>
    </w:pPr>
    <w:rPr>
      <w:rFonts w:ascii="Times New Roman" w:eastAsia="Times New Roman" w:hAnsi="Times New Roman" w:cs="Times New Roman"/>
      <w:sz w:val="20"/>
      <w:szCs w:val="20"/>
      <w:lang w:eastAsia="ru-RU"/>
    </w:rPr>
  </w:style>
  <w:style w:type="paragraph" w:customStyle="1" w:styleId="2f">
    <w:name w:val="Обычный2"/>
    <w:pPr>
      <w:spacing w:after="0" w:line="240" w:lineRule="auto"/>
    </w:pPr>
    <w:rPr>
      <w:rFonts w:ascii="Arial" w:eastAsia="Times New Roman" w:hAnsi="Arial" w:cs="Times New Roman"/>
      <w:sz w:val="18"/>
      <w:szCs w:val="20"/>
      <w:lang w:eastAsia="ru-RU"/>
    </w:rPr>
  </w:style>
  <w:style w:type="paragraph" w:customStyle="1" w:styleId="affffb">
    <w:name w:val="МРСК_основной_абзаца"/>
    <w:basedOn w:val="a3"/>
    <w:pPr>
      <w:keepNext/>
      <w:keepLines/>
      <w:suppressLineNumbers/>
      <w:spacing w:before="120" w:after="120" w:line="300" w:lineRule="auto"/>
      <w:ind w:firstLine="709"/>
      <w:contextualSpacing/>
      <w:jc w:val="both"/>
    </w:pPr>
    <w:rPr>
      <w:rFonts w:ascii="Times New Roman" w:eastAsia="Times New Roman" w:hAnsi="Times New Roman" w:cs="Times New Roman"/>
      <w:sz w:val="24"/>
      <w:szCs w:val="24"/>
      <w:lang w:eastAsia="ru-RU"/>
    </w:rPr>
  </w:style>
  <w:style w:type="character" w:styleId="affffc">
    <w:name w:val="FollowedHyperlink"/>
    <w:uiPriority w:val="99"/>
    <w:unhideWhenUsed/>
    <w:rPr>
      <w:color w:val="800080"/>
      <w:u w:val="single"/>
    </w:rPr>
  </w:style>
  <w:style w:type="paragraph" w:customStyle="1" w:styleId="font5">
    <w:name w:val="font5"/>
    <w:basedOn w:val="a3"/>
    <w:pPr>
      <w:spacing w:before="100" w:beforeAutospacing="1" w:after="100" w:afterAutospacing="1" w:line="240" w:lineRule="auto"/>
    </w:pPr>
    <w:rPr>
      <w:rFonts w:ascii="Times New Roman" w:eastAsia="Times New Roman" w:hAnsi="Times New Roman" w:cs="Times New Roman"/>
      <w:b/>
      <w:bCs/>
      <w:color w:val="FF0000"/>
      <w:sz w:val="20"/>
      <w:szCs w:val="20"/>
      <w:lang w:eastAsia="ru-RU"/>
    </w:rPr>
  </w:style>
  <w:style w:type="paragraph" w:customStyle="1" w:styleId="xl65">
    <w:name w:val="xl65"/>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6">
    <w:name w:val="xl66"/>
    <w:basedOn w:val="a3"/>
    <w:pPr>
      <w:pBdr>
        <w:top w:val="single" w:sz="4" w:space="0" w:color="000000"/>
        <w:left w:val="single" w:sz="4" w:space="0" w:color="000000"/>
        <w:bottom w:val="single" w:sz="4" w:space="0" w:color="000000"/>
        <w:right w:val="single" w:sz="4" w:space="0" w:color="000000"/>
      </w:pBdr>
      <w:shd w:val="clear" w:color="000000" w:fill="DBEEF3"/>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67">
    <w:name w:val="xl67"/>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68">
    <w:name w:val="xl68"/>
    <w:basedOn w:val="a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9">
    <w:name w:val="xl69"/>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70">
    <w:name w:val="xl70"/>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71">
    <w:name w:val="xl71"/>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72">
    <w:name w:val="xl72"/>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73">
    <w:name w:val="xl73"/>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
    <w:name w:val="xl86"/>
    <w:basedOn w:val="a3"/>
    <w:pPr>
      <w:pBdr>
        <w:lef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7">
    <w:name w:val="xl97"/>
    <w:basedOn w:val="a3"/>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8">
    <w:name w:val="xl98"/>
    <w:basedOn w:val="a3"/>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9">
    <w:name w:val="xl99"/>
    <w:basedOn w:val="a3"/>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0">
    <w:name w:val="xl100"/>
    <w:basedOn w:val="a3"/>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1">
    <w:name w:val="xl101"/>
    <w:basedOn w:val="a3"/>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2">
    <w:name w:val="xl102"/>
    <w:basedOn w:val="a3"/>
    <w:pPr>
      <w:pBdr>
        <w:top w:val="single" w:sz="4" w:space="0" w:color="000000"/>
        <w:left w:val="single" w:sz="4" w:space="0" w:color="000000"/>
        <w:bottom w:val="single" w:sz="4" w:space="0" w:color="000000"/>
        <w:right w:val="single" w:sz="4" w:space="0" w:color="000000"/>
      </w:pBdr>
      <w:shd w:val="clear" w:color="000000" w:fill="CC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character" w:customStyle="1" w:styleId="Subst0">
    <w:name w:val="Subst"/>
    <w:uiPriority w:val="99"/>
    <w:rPr>
      <w:b/>
      <w:bCs/>
      <w:i/>
      <w:iCs/>
    </w:rPr>
  </w:style>
  <w:style w:type="paragraph" w:customStyle="1" w:styleId="1f4">
    <w:name w:val="1 Знак"/>
    <w:basedOn w:val="a3"/>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1f5">
    <w:name w:val="Цитата1"/>
    <w:basedOn w:val="a3"/>
    <w:pPr>
      <w:widowControl w:val="0"/>
      <w:spacing w:after="0" w:line="300" w:lineRule="auto"/>
      <w:ind w:left="760" w:right="1004" w:hanging="420"/>
      <w:jc w:val="both"/>
    </w:pPr>
    <w:rPr>
      <w:rFonts w:ascii="Times New Roman" w:eastAsia="Times New Roman" w:hAnsi="Times New Roman" w:cs="Times New Roman"/>
      <w:sz w:val="24"/>
      <w:szCs w:val="20"/>
      <w:lang w:eastAsia="ru-RU"/>
    </w:rPr>
  </w:style>
  <w:style w:type="paragraph" w:customStyle="1" w:styleId="affffd">
    <w:name w:val="зап строк"/>
    <w:basedOn w:val="a3"/>
    <w:uiPriority w:val="99"/>
    <w:pPr>
      <w:spacing w:after="0" w:line="240" w:lineRule="auto"/>
    </w:pPr>
    <w:rPr>
      <w:rFonts w:ascii="Times New Roman" w:eastAsia="Times New Roman" w:hAnsi="Times New Roman" w:cs="Times New Roman"/>
      <w:sz w:val="24"/>
      <w:szCs w:val="24"/>
    </w:rPr>
  </w:style>
  <w:style w:type="paragraph" w:customStyle="1" w:styleId="1f6">
    <w:name w:val="Уровень 1"/>
    <w:basedOn w:val="a3"/>
    <w:next w:val="a3"/>
    <w:pPr>
      <w:keepNext/>
      <w:spacing w:after="0" w:line="240" w:lineRule="auto"/>
      <w:ind w:left="1069" w:hanging="360"/>
      <w:jc w:val="center"/>
    </w:pPr>
    <w:rPr>
      <w:rFonts w:ascii="Times New Roman" w:eastAsia="Times New Roman" w:hAnsi="Times New Roman" w:cs="Times New Roman"/>
      <w:b/>
      <w:sz w:val="28"/>
      <w:szCs w:val="28"/>
      <w:lang w:eastAsia="ru-RU"/>
    </w:rPr>
  </w:style>
  <w:style w:type="paragraph" w:customStyle="1" w:styleId="affffe">
    <w:name w:val="МРСК_заголовок_большой"/>
    <w:basedOn w:val="a3"/>
    <w:pPr>
      <w:keepNext/>
      <w:spacing w:after="0" w:line="240" w:lineRule="auto"/>
      <w:ind w:firstLine="709"/>
      <w:jc w:val="center"/>
    </w:pPr>
    <w:rPr>
      <w:rFonts w:ascii="Times New Roman" w:eastAsia="Times New Roman" w:hAnsi="Times New Roman" w:cs="Times New Roman"/>
      <w:b/>
      <w:caps/>
      <w:sz w:val="32"/>
      <w:szCs w:val="32"/>
      <w:lang w:eastAsia="ru-RU"/>
    </w:rPr>
  </w:style>
  <w:style w:type="paragraph" w:customStyle="1" w:styleId="afffff">
    <w:name w:val="МРСК_маркированный"/>
    <w:basedOn w:val="afffff0"/>
    <w:pPr>
      <w:keepNext/>
      <w:tabs>
        <w:tab w:val="clear" w:pos="720"/>
        <w:tab w:val="num" w:pos="0"/>
      </w:tabs>
      <w:spacing w:line="300" w:lineRule="auto"/>
      <w:ind w:left="0" w:firstLine="0"/>
      <w:contextualSpacing w:val="0"/>
    </w:pPr>
    <w:rPr>
      <w:szCs w:val="24"/>
    </w:rPr>
  </w:style>
  <w:style w:type="paragraph" w:styleId="afffff0">
    <w:name w:val="List Bullet"/>
    <w:basedOn w:val="a3"/>
    <w:uiPriority w:val="99"/>
    <w:unhideWhenUsed/>
    <w:pPr>
      <w:tabs>
        <w:tab w:val="num" w:pos="720"/>
      </w:tabs>
      <w:spacing w:after="0" w:line="240" w:lineRule="auto"/>
      <w:ind w:left="720" w:hanging="360"/>
      <w:contextualSpacing/>
      <w:jc w:val="both"/>
    </w:pPr>
    <w:rPr>
      <w:rFonts w:ascii="Times New Roman" w:eastAsia="Times New Roman" w:hAnsi="Times New Roman" w:cs="Times New Roman"/>
      <w:sz w:val="24"/>
      <w:szCs w:val="28"/>
      <w:lang w:eastAsia="ru-RU"/>
    </w:rPr>
  </w:style>
  <w:style w:type="numbering" w:customStyle="1" w:styleId="112">
    <w:name w:val="Нет списка11"/>
    <w:next w:val="a6"/>
    <w:uiPriority w:val="99"/>
    <w:semiHidden/>
    <w:unhideWhenUsed/>
  </w:style>
  <w:style w:type="numbering" w:customStyle="1" w:styleId="1110">
    <w:name w:val="Нет списка111"/>
    <w:next w:val="a6"/>
    <w:uiPriority w:val="99"/>
    <w:semiHidden/>
    <w:unhideWhenUsed/>
  </w:style>
  <w:style w:type="numbering" w:customStyle="1" w:styleId="2f0">
    <w:name w:val="Нет списка2"/>
    <w:next w:val="a6"/>
    <w:uiPriority w:val="99"/>
    <w:semiHidden/>
    <w:unhideWhenUsed/>
  </w:style>
  <w:style w:type="paragraph" w:customStyle="1" w:styleId="xl103">
    <w:name w:val="xl103"/>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04">
    <w:name w:val="xl104"/>
    <w:basedOn w:val="a3"/>
    <w:pPr>
      <w:pBdr>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5">
    <w:name w:val="xl105"/>
    <w:basedOn w:val="a3"/>
    <w:pPr>
      <w:pBdr>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6">
    <w:name w:val="xl106"/>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7">
    <w:name w:val="xl107"/>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8">
    <w:name w:val="xl108"/>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9">
    <w:name w:val="xl109"/>
    <w:basedOn w:val="a3"/>
    <w:pPr>
      <w:pBdr>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0">
    <w:name w:val="xl110"/>
    <w:basedOn w:val="a3"/>
    <w:pPr>
      <w:pBdr>
        <w:top w:val="single" w:sz="4" w:space="0" w:color="000000"/>
        <w:left w:val="single" w:sz="4" w:space="0" w:color="000000"/>
        <w:bottom w:val="single" w:sz="8"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1">
    <w:name w:val="xl111"/>
    <w:basedOn w:val="a3"/>
    <w:pPr>
      <w:pBdr>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12">
    <w:name w:val="xl112"/>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13">
    <w:name w:val="xl113"/>
    <w:basedOn w:val="a3"/>
    <w:pPr>
      <w:pBdr>
        <w:top w:val="single" w:sz="4" w:space="0" w:color="000000"/>
        <w:left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14">
    <w:name w:val="xl114"/>
    <w:basedOn w:val="a3"/>
    <w:pPr>
      <w:pBdr>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5">
    <w:name w:val="xl115"/>
    <w:basedOn w:val="a3"/>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6">
    <w:name w:val="xl116"/>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17">
    <w:name w:val="xl117"/>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18">
    <w:name w:val="xl118"/>
    <w:basedOn w:val="a3"/>
    <w:pPr>
      <w:pBdr>
        <w:top w:val="single" w:sz="4" w:space="0" w:color="000000"/>
        <w:left w:val="single" w:sz="4" w:space="0" w:color="000000"/>
        <w:bottom w:val="single" w:sz="8"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19">
    <w:name w:val="xl119"/>
    <w:basedOn w:val="a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0">
    <w:name w:val="xl120"/>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1">
    <w:name w:val="xl121"/>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2">
    <w:name w:val="xl122"/>
    <w:basedOn w:val="a3"/>
    <w:pPr>
      <w:pBdr>
        <w:top w:val="single" w:sz="4" w:space="0" w:color="000000"/>
        <w:left w:val="single" w:sz="4" w:space="0" w:color="000000"/>
        <w:bottom w:val="single" w:sz="8"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23">
    <w:name w:val="xl123"/>
    <w:basedOn w:val="a3"/>
    <w:pPr>
      <w:pBdr>
        <w:top w:val="single" w:sz="4" w:space="0" w:color="000000"/>
        <w:left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4">
    <w:name w:val="xl124"/>
    <w:basedOn w:val="a3"/>
    <w:pPr>
      <w:pBdr>
        <w:top w:val="single" w:sz="4" w:space="0" w:color="000000"/>
        <w:left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5">
    <w:name w:val="xl125"/>
    <w:basedOn w:val="a3"/>
    <w:pPr>
      <w:pBdr>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6">
    <w:name w:val="xl126"/>
    <w:basedOn w:val="a3"/>
    <w:pPr>
      <w:pBdr>
        <w:left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7">
    <w:name w:val="xl127"/>
    <w:basedOn w:val="a3"/>
    <w:pPr>
      <w:pBdr>
        <w:left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8">
    <w:name w:val="xl128"/>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29">
    <w:name w:val="xl129"/>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30">
    <w:name w:val="xl130"/>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31">
    <w:name w:val="xl131"/>
    <w:basedOn w:val="a3"/>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2">
    <w:name w:val="xl132"/>
    <w:basedOn w:val="a3"/>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33">
    <w:name w:val="xl133"/>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4">
    <w:name w:val="xl134"/>
    <w:basedOn w:val="a3"/>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5">
    <w:name w:val="xl135"/>
    <w:basedOn w:val="a3"/>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6">
    <w:name w:val="xl136"/>
    <w:basedOn w:val="a3"/>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7">
    <w:name w:val="xl137"/>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8">
    <w:name w:val="xl138"/>
    <w:basedOn w:val="a3"/>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9">
    <w:name w:val="xl139"/>
    <w:basedOn w:val="a3"/>
    <w:pPr>
      <w:pBdr>
        <w:top w:val="single" w:sz="8"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3"/>
    <w:pPr>
      <w:shd w:val="clear" w:color="000000" w:fill="FDE9D9"/>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41">
    <w:name w:val="xl141"/>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2">
    <w:name w:val="xl142"/>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3">
    <w:name w:val="xl143"/>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4">
    <w:name w:val="xl144"/>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45">
    <w:name w:val="xl145"/>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46">
    <w:name w:val="xl146"/>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47">
    <w:name w:val="xl147"/>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48">
    <w:name w:val="xl148"/>
    <w:basedOn w:val="a3"/>
    <w:pP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0">
    <w:name w:val="xl150"/>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1">
    <w:name w:val="xl151"/>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2">
    <w:name w:val="xl152"/>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3">
    <w:name w:val="xl153"/>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4">
    <w:name w:val="xl154"/>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55">
    <w:name w:val="xl155"/>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56">
    <w:name w:val="xl156"/>
    <w:basedOn w:val="a3"/>
    <w:pPr>
      <w:pBdr>
        <w:top w:val="single" w:sz="4" w:space="0" w:color="000000"/>
        <w:left w:val="single" w:sz="4" w:space="0" w:color="000000"/>
        <w:bottom w:val="single" w:sz="12"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7">
    <w:name w:val="xl157"/>
    <w:basedOn w:val="a3"/>
    <w:pPr>
      <w:pBdr>
        <w:top w:val="single" w:sz="4" w:space="0" w:color="000000"/>
        <w:left w:val="single" w:sz="4" w:space="0" w:color="000000"/>
        <w:bottom w:val="single" w:sz="12"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8">
    <w:name w:val="xl158"/>
    <w:basedOn w:val="a3"/>
    <w:pPr>
      <w:pBdr>
        <w:top w:val="single" w:sz="4" w:space="0" w:color="000000"/>
        <w:left w:val="single" w:sz="4" w:space="0" w:color="000000"/>
        <w:bottom w:val="single" w:sz="12"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59">
    <w:name w:val="xl159"/>
    <w:basedOn w:val="a3"/>
    <w:pPr>
      <w:pBdr>
        <w:top w:val="single" w:sz="4" w:space="0" w:color="000000"/>
        <w:left w:val="single" w:sz="4" w:space="0" w:color="000000"/>
        <w:bottom w:val="single" w:sz="12"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60">
    <w:name w:val="xl160"/>
    <w:basedOn w:val="a3"/>
    <w:pPr>
      <w:pBdr>
        <w:top w:val="single" w:sz="4" w:space="0" w:color="000000"/>
        <w:left w:val="single" w:sz="4" w:space="0" w:color="000000"/>
        <w:bottom w:val="single" w:sz="8"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1">
    <w:name w:val="xl161"/>
    <w:basedOn w:val="a3"/>
    <w:pPr>
      <w:pBdr>
        <w:top w:val="single" w:sz="4" w:space="0" w:color="000000"/>
        <w:left w:val="single" w:sz="4" w:space="0" w:color="000000"/>
        <w:bottom w:val="single" w:sz="8"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2">
    <w:name w:val="xl162"/>
    <w:basedOn w:val="a3"/>
    <w:pPr>
      <w:pBdr>
        <w:top w:val="single" w:sz="8"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3">
    <w:name w:val="xl163"/>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4">
    <w:name w:val="xl164"/>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5">
    <w:name w:val="xl165"/>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6">
    <w:name w:val="xl166"/>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7">
    <w:name w:val="xl167"/>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8">
    <w:name w:val="xl168"/>
    <w:basedOn w:val="a3"/>
    <w:pPr>
      <w:pBdr>
        <w:top w:val="single" w:sz="8"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9">
    <w:name w:val="xl169"/>
    <w:basedOn w:val="a3"/>
    <w:pPr>
      <w:pBdr>
        <w:top w:val="single" w:sz="8"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0">
    <w:name w:val="xl170"/>
    <w:basedOn w:val="a3"/>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1">
    <w:name w:val="xl171"/>
    <w:basedOn w:val="a3"/>
    <w:pPr>
      <w:spacing w:before="100" w:beforeAutospacing="1" w:after="100" w:afterAutospacing="1" w:line="240" w:lineRule="auto"/>
    </w:pPr>
    <w:rPr>
      <w:rFonts w:ascii="Arial CYR" w:eastAsia="Times New Roman" w:hAnsi="Arial CYR" w:cs="Arial CYR"/>
      <w:b/>
      <w:bCs/>
      <w:sz w:val="24"/>
      <w:szCs w:val="24"/>
      <w:lang w:eastAsia="ru-RU"/>
    </w:rPr>
  </w:style>
  <w:style w:type="paragraph" w:customStyle="1" w:styleId="xl172">
    <w:name w:val="xl172"/>
    <w:basedOn w:val="a3"/>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3">
    <w:name w:val="xl173"/>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4">
    <w:name w:val="xl174"/>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5">
    <w:name w:val="xl175"/>
    <w:basedOn w:val="a3"/>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6">
    <w:name w:val="xl176"/>
    <w:basedOn w:val="a3"/>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7">
    <w:name w:val="xl177"/>
    <w:basedOn w:val="a3"/>
    <w:pPr>
      <w:pBdr>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8">
    <w:name w:val="xl178"/>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9">
    <w:name w:val="xl179"/>
    <w:basedOn w:val="a3"/>
    <w:pPr>
      <w:pBdr>
        <w:top w:val="single" w:sz="4" w:space="0" w:color="000000"/>
        <w:left w:val="single" w:sz="4" w:space="0" w:color="000000"/>
        <w:bottom w:val="single" w:sz="8"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0">
    <w:name w:val="xl180"/>
    <w:basedOn w:val="a3"/>
    <w:pPr>
      <w:pBdr>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1">
    <w:name w:val="xl181"/>
    <w:basedOn w:val="a3"/>
    <w:pPr>
      <w:pBdr>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2">
    <w:name w:val="xl182"/>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
    <w:name w:val="xl183"/>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4">
    <w:name w:val="xl184"/>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5">
    <w:name w:val="xl185"/>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6">
    <w:name w:val="xl186"/>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7">
    <w:name w:val="xl187"/>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8">
    <w:name w:val="xl188"/>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9">
    <w:name w:val="xl189"/>
    <w:basedOn w:val="a3"/>
    <w:pPr>
      <w:pBdr>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0">
    <w:name w:val="xl190"/>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91">
    <w:name w:val="xl191"/>
    <w:basedOn w:val="a3"/>
    <w:pP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2">
    <w:name w:val="xl192"/>
    <w:basedOn w:val="a3"/>
    <w:pPr>
      <w:pBdr>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3">
    <w:name w:val="xl193"/>
    <w:basedOn w:val="a3"/>
    <w:pPr>
      <w:pBdr>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4">
    <w:name w:val="xl194"/>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5">
    <w:name w:val="xl195"/>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6">
    <w:name w:val="xl196"/>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7">
    <w:name w:val="xl197"/>
    <w:basedOn w:val="a3"/>
    <w:pPr>
      <w:pBdr>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8">
    <w:name w:val="xl198"/>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99">
    <w:name w:val="xl199"/>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0">
    <w:name w:val="xl200"/>
    <w:basedOn w:val="a3"/>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1">
    <w:name w:val="xl201"/>
    <w:basedOn w:val="a3"/>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2">
    <w:name w:val="xl202"/>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3">
    <w:name w:val="xl203"/>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4">
    <w:name w:val="xl204"/>
    <w:basedOn w:val="a3"/>
    <w:pPr>
      <w:pBdr>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3"/>
    <w:pPr>
      <w:pBdr>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6">
    <w:name w:val="xl206"/>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7">
    <w:name w:val="xl207"/>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08">
    <w:name w:val="xl208"/>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209">
    <w:name w:val="xl209"/>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210">
    <w:name w:val="xl210"/>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11">
    <w:name w:val="xl211"/>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12">
    <w:name w:val="xl212"/>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13">
    <w:name w:val="xl213"/>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14">
    <w:name w:val="xl214"/>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215">
    <w:name w:val="xl215"/>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216">
    <w:name w:val="xl216"/>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17">
    <w:name w:val="xl217"/>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218">
    <w:name w:val="xl218"/>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219">
    <w:name w:val="xl219"/>
    <w:basedOn w:val="a3"/>
    <w:pPr>
      <w:pBdr>
        <w:top w:val="single" w:sz="4" w:space="0" w:color="000000"/>
        <w:left w:val="single" w:sz="4"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20">
    <w:name w:val="xl220"/>
    <w:basedOn w:val="a3"/>
    <w:pPr>
      <w:pBdr>
        <w:top w:val="single" w:sz="8" w:space="0" w:color="000000"/>
        <w:left w:val="single" w:sz="8" w:space="0" w:color="000000"/>
        <w:bottom w:val="single" w:sz="8"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21">
    <w:name w:val="xl221"/>
    <w:basedOn w:val="a3"/>
    <w:pPr>
      <w:pBdr>
        <w:top w:val="single" w:sz="8" w:space="0" w:color="000000"/>
        <w:left w:val="single" w:sz="8" w:space="0" w:color="000000"/>
        <w:bottom w:val="single" w:sz="8"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22">
    <w:name w:val="xl222"/>
    <w:basedOn w:val="a3"/>
    <w:pPr>
      <w:pBdr>
        <w:top w:val="single" w:sz="4" w:space="0" w:color="000000"/>
        <w:left w:val="single" w:sz="4" w:space="0" w:color="000000"/>
        <w:bottom w:val="single" w:sz="8"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223">
    <w:name w:val="xl223"/>
    <w:basedOn w:val="a3"/>
    <w:pPr>
      <w:pBdr>
        <w:top w:val="single" w:sz="4" w:space="0" w:color="000000"/>
        <w:left w:val="single" w:sz="4" w:space="0" w:color="000000"/>
        <w:bottom w:val="single" w:sz="8" w:space="0" w:color="000000"/>
        <w:right w:val="single" w:sz="4" w:space="0" w:color="000000"/>
      </w:pBdr>
      <w:shd w:val="clear" w:color="000000" w:fill="FDE9D9"/>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224">
    <w:name w:val="xl224"/>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225">
    <w:name w:val="xl225"/>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226">
    <w:name w:val="xl226"/>
    <w:basedOn w:val="a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27">
    <w:name w:val="xl227"/>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Arial CYR" w:eastAsia="Times New Roman" w:hAnsi="Arial CYR" w:cs="Arial CYR"/>
      <w:b/>
      <w:bCs/>
      <w:sz w:val="24"/>
      <w:szCs w:val="24"/>
      <w:lang w:eastAsia="ru-RU"/>
    </w:rPr>
  </w:style>
  <w:style w:type="paragraph" w:customStyle="1" w:styleId="xl228">
    <w:name w:val="xl228"/>
    <w:basedOn w:val="a3"/>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229">
    <w:name w:val="xl229"/>
    <w:basedOn w:val="a3"/>
    <w:pPr>
      <w:pBdr>
        <w:top w:val="single" w:sz="4" w:space="0" w:color="000000"/>
        <w:left w:val="single" w:sz="4" w:space="0" w:color="000000"/>
        <w:bottom w:val="single" w:sz="4" w:space="0" w:color="000000"/>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0">
    <w:name w:val="xl230"/>
    <w:basedOn w:val="a3"/>
    <w:pPr>
      <w:pBdr>
        <w:top w:val="single" w:sz="4" w:space="0" w:color="000000"/>
        <w:bottom w:val="single" w:sz="4" w:space="0" w:color="000000"/>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1">
    <w:name w:val="xl231"/>
    <w:basedOn w:val="a3"/>
    <w:pPr>
      <w:pBdr>
        <w:top w:val="single" w:sz="4" w:space="0" w:color="000000"/>
        <w:bottom w:val="single" w:sz="4" w:space="0" w:color="000000"/>
        <w:right w:val="single" w:sz="4" w:space="0" w:color="000000"/>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2">
    <w:name w:val="xl232"/>
    <w:basedOn w:val="a3"/>
    <w:pPr>
      <w:pBdr>
        <w:left w:val="single" w:sz="4" w:space="0" w:color="000000"/>
        <w:bottom w:val="single" w:sz="4" w:space="0" w:color="000000"/>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3">
    <w:name w:val="xl233"/>
    <w:basedOn w:val="a3"/>
    <w:pPr>
      <w:pBdr>
        <w:bottom w:val="single" w:sz="4" w:space="0" w:color="000000"/>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4">
    <w:name w:val="xl234"/>
    <w:basedOn w:val="a3"/>
    <w:pPr>
      <w:pBdr>
        <w:bottom w:val="single" w:sz="4" w:space="0" w:color="000000"/>
        <w:right w:val="single" w:sz="4" w:space="0" w:color="000000"/>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5">
    <w:name w:val="xl235"/>
    <w:basedOn w:val="a3"/>
    <w:pPr>
      <w:pBdr>
        <w:top w:val="single" w:sz="4" w:space="0" w:color="000000"/>
        <w:left w:val="single" w:sz="4" w:space="0" w:color="000000"/>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6">
    <w:name w:val="xl236"/>
    <w:basedOn w:val="a3"/>
    <w:pPr>
      <w:pBdr>
        <w:top w:val="single" w:sz="4" w:space="0" w:color="000000"/>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37">
    <w:name w:val="xl237"/>
    <w:basedOn w:val="a3"/>
    <w:pPr>
      <w:pBdr>
        <w:top w:val="single" w:sz="4" w:space="0" w:color="000000"/>
        <w:right w:val="single" w:sz="4" w:space="0" w:color="000000"/>
      </w:pBdr>
      <w:shd w:val="clear" w:color="000000" w:fill="92D05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numbering" w:customStyle="1" w:styleId="3d">
    <w:name w:val="Нет списка3"/>
    <w:next w:val="a6"/>
    <w:uiPriority w:val="99"/>
    <w:semiHidden/>
    <w:unhideWhenUsed/>
  </w:style>
  <w:style w:type="paragraph" w:customStyle="1" w:styleId="3e">
    <w:name w:val="Обычный3"/>
    <w:pPr>
      <w:spacing w:after="0" w:line="240" w:lineRule="auto"/>
    </w:pPr>
    <w:rPr>
      <w:rFonts w:ascii="Arial" w:eastAsia="Times New Roman" w:hAnsi="Arial" w:cs="Times New Roman"/>
      <w:sz w:val="18"/>
      <w:szCs w:val="20"/>
      <w:lang w:eastAsia="ru-RU"/>
    </w:rPr>
  </w:style>
  <w:style w:type="paragraph" w:customStyle="1" w:styleId="afffff1">
    <w:name w:val="Стиль"/>
    <w:pPr>
      <w:widowControl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style>
  <w:style w:type="table" w:customStyle="1" w:styleId="45">
    <w:name w:val="Сетка таблицы4"/>
    <w:basedOn w:val="a5"/>
    <w:next w:val="ae"/>
    <w:uiPriority w:val="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4">
    <w:name w:val="Сетка таблицы5"/>
    <w:basedOn w:val="a5"/>
    <w:next w:val="ae"/>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
    <w:name w:val="Нет списка4"/>
    <w:next w:val="a6"/>
    <w:uiPriority w:val="99"/>
    <w:semiHidden/>
    <w:unhideWhenUsed/>
  </w:style>
  <w:style w:type="numbering" w:customStyle="1" w:styleId="55">
    <w:name w:val="Нет списка5"/>
    <w:next w:val="a6"/>
    <w:uiPriority w:val="99"/>
    <w:semiHidden/>
    <w:unhideWhenUsed/>
  </w:style>
  <w:style w:type="numbering" w:customStyle="1" w:styleId="62">
    <w:name w:val="Нет списка6"/>
    <w:next w:val="a6"/>
    <w:uiPriority w:val="99"/>
    <w:semiHidden/>
    <w:unhideWhenUsed/>
  </w:style>
  <w:style w:type="paragraph" w:customStyle="1" w:styleId="Style6">
    <w:name w:val="Style6"/>
    <w:basedOn w:val="a3"/>
    <w:uiPriority w:val="99"/>
    <w:pPr>
      <w:widowControl w:val="0"/>
      <w:spacing w:after="0" w:line="355" w:lineRule="exact"/>
      <w:ind w:firstLine="643"/>
      <w:jc w:val="both"/>
    </w:pPr>
    <w:rPr>
      <w:rFonts w:ascii="Microsoft Sans Serif" w:eastAsia="Times New Roman" w:hAnsi="Microsoft Sans Serif" w:cs="Microsoft Sans Serif"/>
      <w:sz w:val="24"/>
      <w:szCs w:val="24"/>
      <w:lang w:eastAsia="ru-RU"/>
    </w:rPr>
  </w:style>
  <w:style w:type="paragraph" w:customStyle="1" w:styleId="ConsPlusNonformat">
    <w:name w:val="ConsPlusNonformat"/>
    <w:pPr>
      <w:widowControl w:val="0"/>
      <w:spacing w:after="0" w:line="240" w:lineRule="auto"/>
    </w:pPr>
    <w:rPr>
      <w:rFonts w:ascii="Courier New" w:eastAsia="Times New Roman" w:hAnsi="Courier New" w:cs="Courier New"/>
      <w:sz w:val="20"/>
      <w:szCs w:val="20"/>
      <w:lang w:eastAsia="ru-RU"/>
    </w:rPr>
  </w:style>
  <w:style w:type="paragraph" w:customStyle="1" w:styleId="ConsPlusCell">
    <w:name w:val="ConsPlusCell"/>
    <w:pPr>
      <w:widowControl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pPr>
      <w:widowControl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pPr>
      <w:widowControl w:val="0"/>
      <w:spacing w:after="0" w:line="240" w:lineRule="auto"/>
    </w:pPr>
    <w:rPr>
      <w:rFonts w:ascii="Tahoma" w:eastAsia="Times New Roman" w:hAnsi="Tahoma" w:cs="Tahoma"/>
      <w:sz w:val="20"/>
      <w:szCs w:val="20"/>
      <w:lang w:eastAsia="ru-RU"/>
    </w:rPr>
  </w:style>
  <w:style w:type="paragraph" w:customStyle="1" w:styleId="ConsPlusJurTerm">
    <w:name w:val="ConsPlusJurTerm"/>
    <w:pPr>
      <w:widowControl w:val="0"/>
      <w:spacing w:after="0" w:line="240" w:lineRule="auto"/>
    </w:pPr>
    <w:rPr>
      <w:rFonts w:ascii="Tahoma" w:eastAsia="Times New Roman" w:hAnsi="Tahoma" w:cs="Tahoma"/>
      <w:sz w:val="26"/>
      <w:szCs w:val="20"/>
      <w:lang w:eastAsia="ru-RU"/>
    </w:rPr>
  </w:style>
  <w:style w:type="numbering" w:customStyle="1" w:styleId="72">
    <w:name w:val="Нет списка7"/>
    <w:next w:val="a6"/>
    <w:uiPriority w:val="99"/>
    <w:semiHidden/>
    <w:unhideWhenUsed/>
  </w:style>
  <w:style w:type="paragraph" w:customStyle="1" w:styleId="11">
    <w:name w:val="Заголовок_1"/>
    <w:basedOn w:val="a3"/>
    <w:uiPriority w:val="99"/>
    <w:pPr>
      <w:keepNext/>
      <w:keepLines/>
      <w:numPr>
        <w:numId w:val="4"/>
      </w:numPr>
      <w:spacing w:before="360" w:after="120" w:line="240" w:lineRule="auto"/>
      <w:jc w:val="center"/>
      <w:outlineLvl w:val="0"/>
    </w:pPr>
    <w:rPr>
      <w:rFonts w:ascii="Arial" w:eastAsia="Times New Roman" w:hAnsi="Arial" w:cs="Arial"/>
      <w:b/>
      <w:bCs/>
      <w:caps/>
      <w:sz w:val="36"/>
      <w:szCs w:val="28"/>
      <w:lang w:eastAsia="ru-RU"/>
    </w:rPr>
  </w:style>
  <w:style w:type="paragraph" w:customStyle="1" w:styleId="3">
    <w:name w:val="Пункт_3"/>
    <w:basedOn w:val="a3"/>
    <w:uiPriority w:val="99"/>
    <w:pPr>
      <w:numPr>
        <w:ilvl w:val="2"/>
        <w:numId w:val="4"/>
      </w:numPr>
      <w:spacing w:after="0" w:line="240" w:lineRule="auto"/>
      <w:jc w:val="both"/>
    </w:pPr>
    <w:rPr>
      <w:rFonts w:ascii="Times New Roman" w:eastAsia="Times New Roman" w:hAnsi="Times New Roman" w:cs="Times New Roman"/>
      <w:sz w:val="28"/>
      <w:szCs w:val="28"/>
      <w:lang w:eastAsia="ru-RU"/>
    </w:rPr>
  </w:style>
  <w:style w:type="paragraph" w:customStyle="1" w:styleId="20">
    <w:name w:val="Пункт_2"/>
    <w:basedOn w:val="a3"/>
    <w:uiPriority w:val="99"/>
    <w:pPr>
      <w:numPr>
        <w:ilvl w:val="1"/>
        <w:numId w:val="4"/>
      </w:numPr>
      <w:spacing w:after="0" w:line="240" w:lineRule="auto"/>
      <w:jc w:val="both"/>
    </w:pPr>
    <w:rPr>
      <w:rFonts w:ascii="Times New Roman" w:eastAsia="Times New Roman" w:hAnsi="Times New Roman" w:cs="Times New Roman"/>
      <w:sz w:val="28"/>
      <w:szCs w:val="20"/>
      <w:lang w:eastAsia="ru-RU"/>
    </w:rPr>
  </w:style>
  <w:style w:type="paragraph" w:customStyle="1" w:styleId="5">
    <w:name w:val="Пункт_5"/>
    <w:basedOn w:val="3"/>
    <w:uiPriority w:val="99"/>
    <w:pPr>
      <w:numPr>
        <w:ilvl w:val="4"/>
      </w:numPr>
      <w:tabs>
        <w:tab w:val="clear" w:pos="1987"/>
        <w:tab w:val="num" w:pos="1703"/>
      </w:tabs>
    </w:pPr>
  </w:style>
  <w:style w:type="table" w:customStyle="1" w:styleId="63">
    <w:name w:val="Сетка таблицы6"/>
    <w:basedOn w:val="a5"/>
    <w:next w:val="ae"/>
    <w:uiPriority w:val="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6"/>
    <w:uiPriority w:val="99"/>
    <w:semiHidden/>
    <w:unhideWhenUsed/>
  </w:style>
  <w:style w:type="paragraph" w:styleId="afffff2">
    <w:name w:val="Closing"/>
    <w:basedOn w:val="a3"/>
    <w:link w:val="afffff3"/>
    <w:semiHidden/>
    <w:pPr>
      <w:spacing w:after="0" w:line="290" w:lineRule="atLeast"/>
    </w:pPr>
    <w:rPr>
      <w:rFonts w:ascii="Times New Roman" w:eastAsia="Times New Roman" w:hAnsi="Times New Roman" w:cs="Times New Roman"/>
      <w:sz w:val="24"/>
      <w:szCs w:val="20"/>
      <w:lang w:val="en-GB" w:eastAsia="ru-RU"/>
    </w:rPr>
  </w:style>
  <w:style w:type="character" w:customStyle="1" w:styleId="afffff3">
    <w:name w:val="Прощание Знак"/>
    <w:basedOn w:val="a4"/>
    <w:link w:val="afffff2"/>
    <w:semiHidden/>
    <w:rPr>
      <w:rFonts w:ascii="Times New Roman" w:eastAsia="Times New Roman" w:hAnsi="Times New Roman" w:cs="Times New Roman"/>
      <w:sz w:val="24"/>
      <w:szCs w:val="20"/>
      <w:lang w:val="en-GB" w:eastAsia="ru-RU"/>
    </w:rPr>
  </w:style>
  <w:style w:type="paragraph" w:customStyle="1" w:styleId="Text-in-table">
    <w:name w:val="Text-in-table"/>
    <w:basedOn w:val="a3"/>
    <w:pPr>
      <w:spacing w:after="0" w:line="240" w:lineRule="auto"/>
    </w:pPr>
    <w:rPr>
      <w:rFonts w:ascii="Times New Roman" w:eastAsia="Times New Roman" w:hAnsi="Times New Roman" w:cs="Times New Roman"/>
      <w:sz w:val="24"/>
      <w:szCs w:val="20"/>
      <w:lang w:eastAsia="ru-RU"/>
    </w:rPr>
  </w:style>
  <w:style w:type="paragraph" w:customStyle="1" w:styleId="Subject">
    <w:name w:val="Subject"/>
    <w:basedOn w:val="a3"/>
    <w:pPr>
      <w:keepNext/>
      <w:keepLines/>
      <w:spacing w:after="290" w:line="290" w:lineRule="atLeast"/>
    </w:pPr>
    <w:rPr>
      <w:rFonts w:ascii="Times New Roman" w:eastAsia="Times New Roman" w:hAnsi="Times New Roman" w:cs="Times New Roman"/>
      <w:b/>
      <w:sz w:val="24"/>
      <w:szCs w:val="20"/>
      <w:lang w:val="en-GB" w:eastAsia="ru-RU"/>
    </w:rPr>
  </w:style>
  <w:style w:type="paragraph" w:customStyle="1" w:styleId="BodyText1">
    <w:name w:val="Body Text1"/>
    <w:basedOn w:val="a3"/>
    <w:pPr>
      <w:spacing w:after="0" w:line="240" w:lineRule="auto"/>
      <w:jc w:val="center"/>
    </w:pPr>
    <w:rPr>
      <w:rFonts w:ascii="AGOpus" w:eastAsia="Times New Roman" w:hAnsi="AGOpus" w:cs="Times New Roman"/>
      <w:color w:val="000000"/>
      <w:sz w:val="36"/>
      <w:szCs w:val="20"/>
      <w:lang w:eastAsia="ru-RU"/>
    </w:rPr>
  </w:style>
  <w:style w:type="paragraph" w:customStyle="1" w:styleId="ConsNonformat">
    <w:name w:val="ConsNonformat"/>
    <w:pPr>
      <w:widowControl w:val="0"/>
      <w:spacing w:after="0" w:line="240" w:lineRule="auto"/>
    </w:pPr>
    <w:rPr>
      <w:rFonts w:ascii="Courier New" w:eastAsia="Times New Roman" w:hAnsi="Courier New" w:cs="Courier New"/>
      <w:sz w:val="20"/>
      <w:szCs w:val="20"/>
      <w:lang w:eastAsia="ru-RU"/>
    </w:rPr>
  </w:style>
  <w:style w:type="paragraph" w:customStyle="1" w:styleId="ConsCell">
    <w:name w:val="ConsCell"/>
    <w:pPr>
      <w:widowControl w:val="0"/>
      <w:spacing w:after="0" w:line="240" w:lineRule="auto"/>
    </w:pPr>
    <w:rPr>
      <w:rFonts w:ascii="Arial" w:eastAsia="Times New Roman" w:hAnsi="Arial" w:cs="Arial"/>
      <w:sz w:val="20"/>
      <w:szCs w:val="20"/>
      <w:lang w:eastAsia="ru-RU"/>
    </w:rPr>
  </w:style>
  <w:style w:type="paragraph" w:customStyle="1" w:styleId="jussz10">
    <w:name w:val="jus sz10"/>
    <w:basedOn w:val="a3"/>
    <w:pPr>
      <w:spacing w:before="100" w:beforeAutospacing="1" w:after="100" w:afterAutospacing="1" w:line="240" w:lineRule="auto"/>
    </w:pPr>
    <w:rPr>
      <w:rFonts w:ascii="Arial Unicode MS" w:eastAsia="Arial Unicode MS" w:hAnsi="Times New Roman" w:cs="Times New Roman"/>
      <w:sz w:val="24"/>
      <w:szCs w:val="24"/>
      <w:lang w:eastAsia="ru-RU"/>
    </w:rPr>
  </w:style>
  <w:style w:type="table" w:customStyle="1" w:styleId="73">
    <w:name w:val="Сетка таблицы7"/>
    <w:basedOn w:val="a5"/>
    <w:next w:val="ae"/>
    <w:uiPriority w:val="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alloonText1">
    <w:name w:val="Balloon Text1"/>
    <w:basedOn w:val="a3"/>
    <w:pPr>
      <w:spacing w:after="0" w:line="240" w:lineRule="auto"/>
    </w:pPr>
    <w:rPr>
      <w:rFonts w:ascii="Tahoma" w:eastAsia="Times New Roman" w:hAnsi="Tahoma" w:cs="Tahoma"/>
      <w:sz w:val="16"/>
      <w:szCs w:val="16"/>
      <w:lang w:eastAsia="ru-RU"/>
    </w:rPr>
  </w:style>
  <w:style w:type="paragraph" w:customStyle="1" w:styleId="lev2">
    <w:name w:val="lev2"/>
    <w:basedOn w:val="afb"/>
    <w:pPr>
      <w:tabs>
        <w:tab w:val="num" w:pos="1211"/>
      </w:tabs>
      <w:spacing w:after="0"/>
      <w:ind w:left="1211" w:hanging="360"/>
      <w:jc w:val="both"/>
    </w:pPr>
    <w:rPr>
      <w:color w:val="000000"/>
      <w:szCs w:val="20"/>
      <w:lang w:eastAsia="ru-RU"/>
    </w:rPr>
  </w:style>
  <w:style w:type="paragraph" w:customStyle="1" w:styleId="211">
    <w:name w:val="Основной текст 21"/>
    <w:basedOn w:val="a3"/>
    <w:pPr>
      <w:tabs>
        <w:tab w:val="left" w:pos="360"/>
      </w:tabs>
      <w:spacing w:after="120" w:line="240" w:lineRule="auto"/>
      <w:jc w:val="both"/>
    </w:pPr>
    <w:rPr>
      <w:rFonts w:ascii="Times New Roman" w:eastAsia="Times New Roman" w:hAnsi="Times New Roman" w:cs="Times New Roman"/>
      <w:sz w:val="24"/>
      <w:szCs w:val="20"/>
      <w:lang w:eastAsia="ru-RU"/>
    </w:rPr>
  </w:style>
  <w:style w:type="paragraph" w:customStyle="1" w:styleId="consnormal0">
    <w:name w:val="consnormal"/>
    <w:basedOn w:val="a3"/>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style40">
    <w:name w:val="style4"/>
    <w:basedOn w:val="a3"/>
    <w:pPr>
      <w:spacing w:after="0" w:line="240" w:lineRule="auto"/>
      <w:ind w:firstLine="709"/>
      <w:jc w:val="both"/>
    </w:pPr>
    <w:rPr>
      <w:rFonts w:ascii="Courier New" w:eastAsia="Arial Unicode MS" w:hAnsi="Courier New" w:cs="Courier New"/>
      <w:b/>
      <w:bCs/>
      <w:sz w:val="24"/>
      <w:szCs w:val="24"/>
      <w:lang w:eastAsia="ru-RU"/>
    </w:rPr>
  </w:style>
  <w:style w:type="paragraph" w:customStyle="1" w:styleId="KNormal">
    <w:name w:val="KNormal"/>
    <w:pPr>
      <w:spacing w:before="120" w:after="120" w:line="240" w:lineRule="auto"/>
    </w:pPr>
    <w:rPr>
      <w:rFonts w:ascii="Times New Roman" w:eastAsia="Times New Roman" w:hAnsi="Times New Roman" w:cs="Times New Roman"/>
      <w:sz w:val="20"/>
      <w:szCs w:val="20"/>
      <w:lang w:val="en-US"/>
    </w:rPr>
  </w:style>
  <w:style w:type="paragraph" w:styleId="afffff4">
    <w:name w:val="endnote text"/>
    <w:basedOn w:val="a3"/>
    <w:link w:val="afffff5"/>
    <w:uiPriority w:val="99"/>
    <w:unhideWhenUsed/>
    <w:pPr>
      <w:spacing w:after="0" w:line="240" w:lineRule="auto"/>
    </w:pPr>
    <w:rPr>
      <w:rFonts w:ascii="Times New Roman" w:eastAsia="Times New Roman" w:hAnsi="Times New Roman" w:cs="Times New Roman"/>
      <w:sz w:val="20"/>
      <w:szCs w:val="20"/>
      <w:lang w:eastAsia="ru-RU"/>
    </w:rPr>
  </w:style>
  <w:style w:type="character" w:customStyle="1" w:styleId="afffff5">
    <w:name w:val="Текст концевой сноски Знак"/>
    <w:basedOn w:val="a4"/>
    <w:link w:val="afffff4"/>
    <w:uiPriority w:val="99"/>
    <w:rPr>
      <w:rFonts w:ascii="Times New Roman" w:eastAsia="Times New Roman" w:hAnsi="Times New Roman" w:cs="Times New Roman"/>
      <w:sz w:val="20"/>
      <w:szCs w:val="20"/>
      <w:lang w:eastAsia="ru-RU"/>
    </w:rPr>
  </w:style>
  <w:style w:type="character" w:styleId="afffff6">
    <w:name w:val="endnote reference"/>
    <w:uiPriority w:val="99"/>
    <w:unhideWhenUsed/>
    <w:rPr>
      <w:vertAlign w:val="superscript"/>
    </w:rPr>
  </w:style>
  <w:style w:type="paragraph" w:styleId="HTML">
    <w:name w:val="HTML Preformatted"/>
    <w:basedOn w:val="a3"/>
    <w:link w:val="HTML0"/>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Times New Roman"/>
      <w:sz w:val="20"/>
      <w:szCs w:val="20"/>
      <w:lang w:eastAsia="ru-RU"/>
    </w:rPr>
  </w:style>
  <w:style w:type="character" w:customStyle="1" w:styleId="HTML0">
    <w:name w:val="Стандартный HTML Знак"/>
    <w:basedOn w:val="a4"/>
    <w:link w:val="HTML"/>
    <w:uiPriority w:val="99"/>
    <w:semiHidden/>
    <w:rPr>
      <w:rFonts w:ascii="Courier New" w:eastAsia="Calibri" w:hAnsi="Courier New" w:cs="Times New Roman"/>
      <w:sz w:val="20"/>
      <w:szCs w:val="20"/>
      <w:lang w:eastAsia="ru-RU"/>
    </w:rPr>
  </w:style>
  <w:style w:type="paragraph" w:customStyle="1" w:styleId="SubHeading">
    <w:name w:val="Sub Heading"/>
    <w:uiPriority w:val="99"/>
    <w:pPr>
      <w:widowControl w:val="0"/>
      <w:spacing w:before="240" w:after="40" w:line="240" w:lineRule="auto"/>
    </w:pPr>
    <w:rPr>
      <w:rFonts w:ascii="Times New Roman" w:eastAsia="Times New Roman" w:hAnsi="Times New Roman" w:cs="Times New Roman"/>
      <w:sz w:val="20"/>
      <w:szCs w:val="20"/>
      <w:lang w:eastAsia="ru-RU"/>
    </w:rPr>
  </w:style>
  <w:style w:type="paragraph" w:styleId="afffff7">
    <w:name w:val="Document Map"/>
    <w:basedOn w:val="a3"/>
    <w:link w:val="afffff8"/>
    <w:uiPriority w:val="99"/>
    <w:semiHidden/>
    <w:unhideWhenUsed/>
    <w:pPr>
      <w:spacing w:after="0" w:line="240" w:lineRule="auto"/>
    </w:pPr>
    <w:rPr>
      <w:rFonts w:ascii="Tahoma" w:eastAsia="Times New Roman" w:hAnsi="Tahoma" w:cs="Times New Roman"/>
      <w:sz w:val="16"/>
      <w:szCs w:val="16"/>
      <w:lang w:eastAsia="ru-RU"/>
    </w:rPr>
  </w:style>
  <w:style w:type="character" w:customStyle="1" w:styleId="afffff8">
    <w:name w:val="Схема документа Знак"/>
    <w:basedOn w:val="a4"/>
    <w:link w:val="afffff7"/>
    <w:uiPriority w:val="99"/>
    <w:semiHidden/>
    <w:rPr>
      <w:rFonts w:ascii="Tahoma" w:eastAsia="Times New Roman" w:hAnsi="Tahoma" w:cs="Times New Roman"/>
      <w:sz w:val="16"/>
      <w:szCs w:val="16"/>
      <w:lang w:eastAsia="ru-RU"/>
    </w:rPr>
  </w:style>
  <w:style w:type="paragraph" w:customStyle="1" w:styleId="00">
    <w:name w:val="Стиль Перед:  0 пт После:  0 пт"/>
    <w:basedOn w:val="a3"/>
    <w:pPr>
      <w:numPr>
        <w:ilvl w:val="2"/>
        <w:numId w:val="5"/>
      </w:numPr>
      <w:spacing w:before="120" w:after="120" w:line="240" w:lineRule="auto"/>
      <w:jc w:val="both"/>
    </w:pPr>
    <w:rPr>
      <w:rFonts w:ascii="Book Antiqua" w:eastAsia="Times New Roman" w:hAnsi="Book Antiqua" w:cs="Times New Roman"/>
      <w:sz w:val="24"/>
      <w:szCs w:val="24"/>
      <w:lang w:eastAsia="ru-RU"/>
    </w:rPr>
  </w:style>
  <w:style w:type="paragraph" w:customStyle="1" w:styleId="2001">
    <w:name w:val="Стиль Заголовок 2 + Перед:  0 пт После:  0 пт1"/>
    <w:basedOn w:val="23"/>
    <w:pPr>
      <w:keepLines w:val="0"/>
      <w:tabs>
        <w:tab w:val="num" w:pos="567"/>
      </w:tabs>
      <w:spacing w:before="120" w:after="120" w:line="240" w:lineRule="auto"/>
      <w:ind w:left="567"/>
      <w:jc w:val="both"/>
    </w:pPr>
    <w:rPr>
      <w:rFonts w:ascii="Book Antiqua" w:eastAsia="Times New Roman" w:hAnsi="Book Antiqua" w:cs="Times New Roman"/>
      <w:b/>
      <w:bCs/>
      <w:iCs/>
      <w:color w:val="auto"/>
      <w:sz w:val="24"/>
      <w:szCs w:val="20"/>
      <w:lang w:eastAsia="ru-RU"/>
    </w:rPr>
  </w:style>
  <w:style w:type="paragraph" w:customStyle="1" w:styleId="afffff9">
    <w:name w:val="Стиль по ширине"/>
    <w:basedOn w:val="a3"/>
    <w:pPr>
      <w:spacing w:before="120" w:after="120" w:line="240" w:lineRule="auto"/>
      <w:jc w:val="both"/>
    </w:pPr>
    <w:rPr>
      <w:rFonts w:ascii="Times New Roman" w:eastAsia="Times New Roman" w:hAnsi="Times New Roman" w:cs="Times New Roman"/>
      <w:sz w:val="24"/>
      <w:szCs w:val="20"/>
      <w:lang w:eastAsia="ru-RU"/>
    </w:rPr>
  </w:style>
  <w:style w:type="paragraph" w:customStyle="1" w:styleId="lena1">
    <w:name w:val="lena1"/>
    <w:basedOn w:val="50"/>
    <w:pPr>
      <w:numPr>
        <w:numId w:val="6"/>
      </w:numPr>
      <w:spacing w:before="0" w:after="0"/>
    </w:pPr>
    <w:rPr>
      <w:rFonts w:ascii="Book Antiqua" w:hAnsi="Book Antiqua"/>
      <w:b w:val="0"/>
      <w:i w:val="0"/>
      <w:szCs w:val="20"/>
      <w:u w:val="single"/>
    </w:rPr>
  </w:style>
  <w:style w:type="paragraph" w:customStyle="1" w:styleId="afffffa">
    <w:name w:val="Прижатый влево"/>
    <w:basedOn w:val="a3"/>
    <w:next w:val="a3"/>
    <w:uiPriority w:val="99"/>
    <w:pPr>
      <w:spacing w:after="0" w:line="240" w:lineRule="auto"/>
    </w:pPr>
    <w:rPr>
      <w:rFonts w:ascii="Arial" w:eastAsia="Times New Roman" w:hAnsi="Arial" w:cs="Arial"/>
      <w:sz w:val="24"/>
      <w:szCs w:val="24"/>
      <w:lang w:eastAsia="ru-RU"/>
    </w:rPr>
  </w:style>
  <w:style w:type="character" w:customStyle="1" w:styleId="afffffb">
    <w:name w:val="Гипертекстовая ссылка"/>
    <w:uiPriority w:val="99"/>
    <w:rPr>
      <w:color w:val="008000"/>
    </w:rPr>
  </w:style>
  <w:style w:type="paragraph" w:customStyle="1" w:styleId="1f7">
    <w:name w:val="Основной текст1"/>
    <w:basedOn w:val="a3"/>
    <w:link w:val="1f8"/>
    <w:qFormat/>
    <w:pPr>
      <w:spacing w:before="140" w:after="280" w:line="240" w:lineRule="auto"/>
    </w:pPr>
    <w:rPr>
      <w:rFonts w:ascii="Arial" w:eastAsia="Calibri" w:hAnsi="Arial" w:cs="Arial"/>
      <w:color w:val="000000"/>
      <w:sz w:val="20"/>
    </w:rPr>
  </w:style>
  <w:style w:type="paragraph" w:customStyle="1" w:styleId="Text0">
    <w:name w:val="Text"/>
    <w:basedOn w:val="a3"/>
    <w:pPr>
      <w:spacing w:after="240" w:line="240" w:lineRule="auto"/>
      <w:ind w:firstLine="567"/>
      <w:jc w:val="both"/>
    </w:pPr>
    <w:rPr>
      <w:rFonts w:ascii="Times New Roman" w:eastAsia="Times New Roman" w:hAnsi="Times New Roman" w:cs="Times New Roman"/>
      <w:lang w:eastAsia="ru-RU"/>
    </w:rPr>
  </w:style>
  <w:style w:type="paragraph" w:customStyle="1" w:styleId="000Normal">
    <w:name w:val="000 Normal"/>
    <w:basedOn w:val="a3"/>
    <w:link w:val="000NormalChar"/>
    <w:pPr>
      <w:spacing w:before="60" w:after="40" w:line="220" w:lineRule="exact"/>
      <w:jc w:val="both"/>
    </w:pPr>
    <w:rPr>
      <w:rFonts w:ascii="Garamond" w:eastAsia="Times New Roman" w:hAnsi="Garamond" w:cs="Times New Roman"/>
      <w:sz w:val="20"/>
      <w:szCs w:val="20"/>
      <w:lang w:val="en-GB"/>
    </w:rPr>
  </w:style>
  <w:style w:type="character" w:customStyle="1" w:styleId="000NormalChar">
    <w:name w:val="000 Normal Char"/>
    <w:link w:val="000Normal"/>
    <w:rPr>
      <w:rFonts w:ascii="Garamond" w:eastAsia="Times New Roman" w:hAnsi="Garamond" w:cs="Times New Roman"/>
      <w:sz w:val="20"/>
      <w:szCs w:val="20"/>
      <w:lang w:val="en-GB"/>
    </w:rPr>
  </w:style>
  <w:style w:type="numbering" w:customStyle="1" w:styleId="92">
    <w:name w:val="Нет списка9"/>
    <w:next w:val="a6"/>
    <w:uiPriority w:val="99"/>
    <w:semiHidden/>
    <w:unhideWhenUsed/>
  </w:style>
  <w:style w:type="paragraph" w:customStyle="1" w:styleId="xl63">
    <w:name w:val="xl63"/>
    <w:basedOn w:val="a3"/>
    <w:pPr>
      <w:pBdr>
        <w:top w:val="single" w:sz="4" w:space="0" w:color="000000"/>
        <w:left w:val="single" w:sz="4" w:space="14" w:color="000000"/>
        <w:bottom w:val="single" w:sz="4" w:space="0" w:color="000000"/>
        <w:right w:val="single" w:sz="4" w:space="0" w:color="000000"/>
      </w:pBdr>
      <w:shd w:val="clear" w:color="000000" w:fill="EDFAFA"/>
      <w:spacing w:before="100" w:beforeAutospacing="1" w:after="100" w:afterAutospacing="1" w:line="240" w:lineRule="auto"/>
      <w:ind w:firstLine="200"/>
    </w:pPr>
    <w:rPr>
      <w:rFonts w:ascii="Times New Roman" w:eastAsia="Times New Roman" w:hAnsi="Times New Roman" w:cs="Times New Roman"/>
      <w:sz w:val="24"/>
      <w:szCs w:val="24"/>
      <w:lang w:eastAsia="ru-RU"/>
    </w:rPr>
  </w:style>
  <w:style w:type="paragraph" w:customStyle="1" w:styleId="xl64">
    <w:name w:val="xl64"/>
    <w:basedOn w:val="a3"/>
    <w:pPr>
      <w:pBdr>
        <w:top w:val="single" w:sz="4" w:space="0" w:color="000000"/>
        <w:left w:val="single" w:sz="4" w:space="14" w:color="000000"/>
        <w:bottom w:val="single" w:sz="4" w:space="0" w:color="000000"/>
        <w:right w:val="single" w:sz="4" w:space="0" w:color="000000"/>
      </w:pBdr>
      <w:shd w:val="clear" w:color="000000" w:fill="FFFFFF"/>
      <w:spacing w:before="100" w:beforeAutospacing="1" w:after="100" w:afterAutospacing="1" w:line="240" w:lineRule="auto"/>
      <w:ind w:firstLine="200"/>
    </w:pPr>
    <w:rPr>
      <w:rFonts w:ascii="Times New Roman" w:eastAsia="Times New Roman" w:hAnsi="Times New Roman" w:cs="Times New Roman"/>
      <w:sz w:val="24"/>
      <w:szCs w:val="24"/>
      <w:lang w:eastAsia="ru-RU"/>
    </w:rPr>
  </w:style>
  <w:style w:type="character" w:customStyle="1" w:styleId="FontStyle21">
    <w:name w:val="Font Style21"/>
    <w:uiPriority w:val="99"/>
    <w:rPr>
      <w:rFonts w:ascii="Times New Roman" w:hAnsi="Times New Roman" w:cs="Times New Roman"/>
      <w:sz w:val="24"/>
      <w:szCs w:val="24"/>
    </w:rPr>
  </w:style>
  <w:style w:type="paragraph" w:customStyle="1" w:styleId="1f9">
    <w:name w:val="Уровень 1. Общий текст"/>
    <w:basedOn w:val="ac"/>
    <w:link w:val="1fa"/>
    <w:qFormat/>
    <w:pPr>
      <w:tabs>
        <w:tab w:val="left" w:pos="1134"/>
      </w:tabs>
      <w:spacing w:after="0" w:line="240" w:lineRule="auto"/>
      <w:ind w:left="0"/>
      <w:jc w:val="both"/>
    </w:pPr>
    <w:rPr>
      <w:rFonts w:ascii="Tahoma" w:hAnsi="Tahoma" w:cs="Tahoma"/>
    </w:rPr>
  </w:style>
  <w:style w:type="character" w:customStyle="1" w:styleId="1fa">
    <w:name w:val="Уровень 1. Общий текст Знак"/>
    <w:basedOn w:val="a4"/>
    <w:link w:val="1f9"/>
    <w:rPr>
      <w:rFonts w:ascii="Tahoma" w:hAnsi="Tahoma" w:cs="Tahoma"/>
    </w:rPr>
  </w:style>
  <w:style w:type="paragraph" w:customStyle="1" w:styleId="afffffc">
    <w:name w:val="По умолчанию"/>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Helvetica Neue" w:eastAsia="Arial Unicode MS" w:hAnsi="Helvetica Neue" w:cs="Arial Unicode MS"/>
      <w:color w:val="000000"/>
      <w:lang w:eastAsia="ru-RU"/>
      <w14:textOutline w14:w="12700" w14:cap="flat" w14:cmpd="sng" w14:algn="ctr">
        <w14:noFill/>
        <w14:prstDash w14:val="solid"/>
        <w14:miter w14:lim="400000"/>
      </w14:textOutline>
    </w:rPr>
  </w:style>
  <w:style w:type="character" w:customStyle="1" w:styleId="extended-textshort">
    <w:name w:val="extended-text__short"/>
    <w:basedOn w:val="a4"/>
  </w:style>
  <w:style w:type="table" w:customStyle="1" w:styleId="-111">
    <w:name w:val="Таблица-сетка 1 светлая1"/>
    <w:basedOn w:val="a5"/>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character" w:customStyle="1" w:styleId="ConsPlusNormal0">
    <w:name w:val="ConsPlusNormal Знак"/>
    <w:link w:val="ConsPlusNormal"/>
    <w:rPr>
      <w:rFonts w:ascii="Arial" w:eastAsia="Times New Roman" w:hAnsi="Arial" w:cs="Arial"/>
      <w:sz w:val="20"/>
      <w:szCs w:val="20"/>
      <w:lang w:eastAsia="ru-RU"/>
    </w:rPr>
  </w:style>
  <w:style w:type="paragraph" w:customStyle="1" w:styleId="1565656">
    <w:name w:val="Стиль1565656"/>
    <w:basedOn w:val="13"/>
    <w:link w:val="15656560"/>
    <w:qFormat/>
    <w:pPr>
      <w:spacing w:line="240" w:lineRule="auto"/>
    </w:pPr>
    <w:rPr>
      <w:rFonts w:ascii="Times New Roman" w:hAnsi="Times New Roman" w:cs="Times New Roman"/>
      <w:b/>
      <w:sz w:val="28"/>
      <w:szCs w:val="28"/>
    </w:rPr>
  </w:style>
  <w:style w:type="character" w:customStyle="1" w:styleId="15656560">
    <w:name w:val="Стиль1565656 Знак"/>
    <w:basedOn w:val="14"/>
    <w:link w:val="1565656"/>
    <w:rPr>
      <w:rFonts w:ascii="Times New Roman" w:eastAsiaTheme="majorEastAsia" w:hAnsi="Times New Roman" w:cs="Times New Roman"/>
      <w:b/>
      <w:color w:val="2E74B5" w:themeColor="accent1" w:themeShade="BF"/>
      <w:sz w:val="28"/>
      <w:szCs w:val="28"/>
    </w:rPr>
  </w:style>
  <w:style w:type="numbering" w:customStyle="1" w:styleId="1111">
    <w:name w:val="Нет списка1111"/>
    <w:next w:val="a6"/>
    <w:uiPriority w:val="99"/>
    <w:semiHidden/>
    <w:unhideWhenUsed/>
  </w:style>
  <w:style w:type="character" w:customStyle="1" w:styleId="defaultlabelstyle1">
    <w:name w:val="defaultlabelstyle1"/>
    <w:rPr>
      <w:color w:val="auto"/>
    </w:rPr>
  </w:style>
  <w:style w:type="paragraph" w:customStyle="1" w:styleId="1fb">
    <w:name w:val="Знак1 Знак Знак Знак"/>
    <w:basedOn w:val="a3"/>
    <w:pPr>
      <w:spacing w:line="240" w:lineRule="exact"/>
    </w:pPr>
    <w:rPr>
      <w:rFonts w:ascii="Verdana" w:eastAsia="Times New Roman" w:hAnsi="Verdana" w:cs="Verdana"/>
      <w:sz w:val="20"/>
      <w:szCs w:val="20"/>
      <w:lang w:val="en-US"/>
    </w:rPr>
  </w:style>
  <w:style w:type="character" w:customStyle="1" w:styleId="webofficeattributevalue">
    <w:name w:val="webofficeattributevalue"/>
    <w:basedOn w:val="a4"/>
  </w:style>
  <w:style w:type="paragraph" w:customStyle="1" w:styleId="1fc">
    <w:name w:val="Знак Знак Знак1"/>
    <w:basedOn w:val="a3"/>
    <w:pPr>
      <w:tabs>
        <w:tab w:val="num" w:pos="360"/>
      </w:tabs>
      <w:spacing w:line="240" w:lineRule="exact"/>
    </w:pPr>
    <w:rPr>
      <w:rFonts w:ascii="Verdana" w:eastAsia="Times New Roman" w:hAnsi="Verdana" w:cs="Verdana"/>
      <w:sz w:val="20"/>
      <w:szCs w:val="20"/>
      <w:lang w:val="en-US"/>
    </w:rPr>
  </w:style>
  <w:style w:type="paragraph" w:customStyle="1" w:styleId="Normal1">
    <w:name w:val="Normal1"/>
    <w:pPr>
      <w:spacing w:after="0" w:line="240" w:lineRule="auto"/>
    </w:pPr>
    <w:rPr>
      <w:rFonts w:ascii="Times New Roman" w:eastAsia="Times New Roman" w:hAnsi="Times New Roman" w:cs="Times New Roman"/>
      <w:sz w:val="26"/>
      <w:szCs w:val="20"/>
      <w:lang w:eastAsia="ru-RU"/>
    </w:rPr>
  </w:style>
  <w:style w:type="paragraph" w:customStyle="1" w:styleId="CharCharCharChar1">
    <w:name w:val="Знак Знак Знак Знак Знак Знак Знак Знак Знак Char Char Знак Char Char1"/>
    <w:basedOn w:val="a3"/>
    <w:pPr>
      <w:tabs>
        <w:tab w:val="num" w:pos="360"/>
      </w:tabs>
      <w:spacing w:line="240" w:lineRule="exact"/>
    </w:pPr>
    <w:rPr>
      <w:rFonts w:ascii="Times New Roman" w:eastAsia="Times New Roman" w:hAnsi="Times New Roman" w:cs="Times New Roman"/>
      <w:sz w:val="24"/>
      <w:szCs w:val="24"/>
      <w:lang w:val="en-US" w:eastAsia="ru-RU"/>
    </w:rPr>
  </w:style>
  <w:style w:type="character" w:customStyle="1" w:styleId="webofficeattributevalue1">
    <w:name w:val="webofficeattributevalue1"/>
    <w:rPr>
      <w:rFonts w:ascii="Verdana" w:hAnsi="Verdana" w:hint="default"/>
      <w:strike w:val="0"/>
      <w:color w:val="000000"/>
      <w:sz w:val="18"/>
      <w:szCs w:val="18"/>
      <w:u w:val="none"/>
    </w:rPr>
  </w:style>
  <w:style w:type="paragraph" w:customStyle="1" w:styleId="msolistparagraph0">
    <w:name w:val="msolistparagraph"/>
    <w:basedOn w:val="a3"/>
    <w:pPr>
      <w:spacing w:after="0" w:line="240" w:lineRule="auto"/>
      <w:ind w:left="720"/>
    </w:pPr>
    <w:rPr>
      <w:rFonts w:ascii="Calibri" w:eastAsia="Times New Roman" w:hAnsi="Calibri" w:cs="Times New Roman"/>
      <w:lang w:eastAsia="ru-RU"/>
    </w:rPr>
  </w:style>
  <w:style w:type="paragraph" w:customStyle="1" w:styleId="Revision1">
    <w:name w:val="Revision1"/>
    <w:hidden/>
    <w:uiPriority w:val="99"/>
    <w:semiHidden/>
    <w:pPr>
      <w:spacing w:after="0" w:line="240" w:lineRule="auto"/>
    </w:pPr>
    <w:rPr>
      <w:rFonts w:ascii="Times New Roman" w:eastAsia="Times New Roman" w:hAnsi="Times New Roman" w:cs="Times New Roman"/>
      <w:sz w:val="24"/>
      <w:szCs w:val="24"/>
      <w:lang w:eastAsia="ru-RU"/>
    </w:rPr>
  </w:style>
  <w:style w:type="character" w:styleId="afffffd">
    <w:name w:val="line number"/>
  </w:style>
  <w:style w:type="paragraph" w:customStyle="1" w:styleId="1fd">
    <w:name w:val="Рецензия1"/>
    <w:hidden/>
    <w:uiPriority w:val="99"/>
    <w:semiHidden/>
    <w:pPr>
      <w:spacing w:after="0" w:line="240" w:lineRule="auto"/>
    </w:pPr>
    <w:rPr>
      <w:rFonts w:ascii="Times New Roman" w:eastAsia="Times New Roman" w:hAnsi="Times New Roman" w:cs="Times New Roman"/>
      <w:sz w:val="24"/>
      <w:szCs w:val="24"/>
      <w:lang w:eastAsia="ru-RU"/>
    </w:rPr>
  </w:style>
  <w:style w:type="character" w:customStyle="1" w:styleId="defaultlabelstyle3">
    <w:name w:val="defaultlabelstyle3"/>
    <w:rPr>
      <w:rFonts w:ascii="Verdana" w:hAnsi="Verdana" w:hint="default"/>
      <w:b w:val="0"/>
      <w:bCs w:val="0"/>
      <w:color w:val="333333"/>
    </w:rPr>
  </w:style>
  <w:style w:type="paragraph" w:customStyle="1" w:styleId="113">
    <w:name w:val="Цветной список — акцент 11"/>
    <w:basedOn w:val="a3"/>
    <w:uiPriority w:val="34"/>
    <w:qFormat/>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afffffe">
    <w:name w:val="Базовый"/>
    <w:pPr>
      <w:tabs>
        <w:tab w:val="left" w:pos="709"/>
      </w:tabs>
      <w:spacing w:after="0" w:line="200" w:lineRule="atLeast"/>
      <w:jc w:val="both"/>
    </w:pPr>
    <w:rPr>
      <w:rFonts w:ascii="Calibri" w:eastAsia="Times New Roman" w:hAnsi="Calibri" w:cs="Calibri"/>
    </w:rPr>
  </w:style>
  <w:style w:type="paragraph" w:customStyle="1" w:styleId="Pa42">
    <w:name w:val="Pa42"/>
    <w:basedOn w:val="Default"/>
    <w:next w:val="Default"/>
    <w:uiPriority w:val="99"/>
    <w:pPr>
      <w:spacing w:line="141" w:lineRule="atLeast"/>
    </w:pPr>
    <w:rPr>
      <w:rFonts w:ascii="Univers LT CYR 45 Light" w:eastAsia="Times New Roman" w:hAnsi="Univers LT CYR 45 Light" w:cs="Times New Roman"/>
      <w:color w:val="auto"/>
      <w:lang w:eastAsia="ru-RU"/>
    </w:rPr>
  </w:style>
  <w:style w:type="paragraph" w:customStyle="1" w:styleId="Pa25">
    <w:name w:val="Pa25"/>
    <w:basedOn w:val="Default"/>
    <w:next w:val="Default"/>
    <w:uiPriority w:val="99"/>
    <w:pPr>
      <w:spacing w:line="141" w:lineRule="atLeast"/>
    </w:pPr>
    <w:rPr>
      <w:rFonts w:ascii="Univers LT CYR 45 Light" w:eastAsia="Calibri" w:hAnsi="Univers LT CYR 45 Light" w:cs="Times New Roman"/>
      <w:color w:val="auto"/>
    </w:rPr>
  </w:style>
  <w:style w:type="character" w:customStyle="1" w:styleId="A40">
    <w:name w:val="A4"/>
    <w:uiPriority w:val="99"/>
    <w:rPr>
      <w:rFonts w:ascii="Univers LT CYR 47 Lt Cn" w:hAnsi="Univers LT CYR 47 Lt Cn" w:cs="Univers LT CYR 47 Lt Cn" w:hint="default"/>
      <w:color w:val="000000"/>
      <w:sz w:val="18"/>
      <w:szCs w:val="18"/>
    </w:rPr>
  </w:style>
  <w:style w:type="paragraph" w:customStyle="1" w:styleId="Subsection">
    <w:name w:val="Subsection"/>
    <w:basedOn w:val="a3"/>
    <w:pPr>
      <w:widowControl w:val="0"/>
      <w:spacing w:before="240" w:after="120" w:line="240" w:lineRule="auto"/>
    </w:pPr>
    <w:rPr>
      <w:rFonts w:ascii="Times New Roman" w:eastAsia="Times New Roman" w:hAnsi="Times New Roman" w:cs="Times New Roman"/>
      <w:b/>
      <w:caps/>
      <w:sz w:val="24"/>
      <w:szCs w:val="24"/>
      <w:lang w:val="en-GB" w:eastAsia="ru-RU"/>
    </w:rPr>
  </w:style>
  <w:style w:type="character" w:customStyle="1" w:styleId="56">
    <w:name w:val="Основной текст (5)_"/>
    <w:link w:val="57"/>
    <w:rPr>
      <w:b/>
      <w:bCs/>
      <w:shd w:val="clear" w:color="auto" w:fill="FFFFFF"/>
    </w:rPr>
  </w:style>
  <w:style w:type="paragraph" w:customStyle="1" w:styleId="57">
    <w:name w:val="Основной текст (5)"/>
    <w:basedOn w:val="a3"/>
    <w:link w:val="56"/>
    <w:pPr>
      <w:widowControl w:val="0"/>
      <w:shd w:val="clear" w:color="auto" w:fill="FFFFFF"/>
      <w:spacing w:before="240" w:after="0" w:line="274" w:lineRule="exact"/>
      <w:jc w:val="both"/>
    </w:pPr>
    <w:rPr>
      <w:b/>
      <w:bCs/>
    </w:rPr>
  </w:style>
  <w:style w:type="paragraph" w:customStyle="1" w:styleId="1fe">
    <w:name w:val="Без интервала1"/>
    <w:pPr>
      <w:spacing w:after="0" w:line="240" w:lineRule="auto"/>
    </w:pPr>
    <w:rPr>
      <w:rFonts w:ascii="Times New Roman" w:eastAsia="Times New Roman" w:hAnsi="Times New Roman" w:cs="Times New Roman"/>
      <w:sz w:val="24"/>
      <w:szCs w:val="24"/>
    </w:rPr>
  </w:style>
  <w:style w:type="table" w:customStyle="1" w:styleId="83">
    <w:name w:val="Сетка таблицы8"/>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ThinDelim">
    <w:name w:val="Thin Delim"/>
    <w:uiPriority w:val="99"/>
    <w:pPr>
      <w:widowControl w:val="0"/>
      <w:spacing w:after="0" w:line="240" w:lineRule="auto"/>
    </w:pPr>
    <w:rPr>
      <w:rFonts w:ascii="Times New Roman" w:eastAsiaTheme="minorEastAsia" w:hAnsi="Times New Roman" w:cs="Times New Roman"/>
      <w:sz w:val="16"/>
      <w:szCs w:val="16"/>
      <w:lang w:eastAsia="ru-RU"/>
    </w:rPr>
  </w:style>
  <w:style w:type="character" w:customStyle="1" w:styleId="b-tooltip">
    <w:name w:val="b-tooltip"/>
    <w:basedOn w:val="a4"/>
  </w:style>
  <w:style w:type="table" w:styleId="-52">
    <w:name w:val="Colorful Grid Accent 5"/>
    <w:basedOn w:val="a5"/>
    <w:uiPriority w:val="73"/>
    <w:pPr>
      <w:spacing w:after="0" w:line="240" w:lineRule="auto"/>
    </w:pPr>
    <w:rPr>
      <w:rFonts w:eastAsiaTheme="minorEastAsia" w:cs="Times New Roman"/>
      <w:color w:val="000000" w:themeColor="text1"/>
    </w:rPr>
    <w:tblPr>
      <w:tblStyleRowBandSize w:val="1"/>
      <w:tblStyleColBandSize w:val="1"/>
      <w:tblBorders>
        <w:insideH w:val="single" w:sz="4" w:space="0" w:color="FFFFFF" w:themeColor="background1"/>
      </w:tblBorders>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character" w:customStyle="1" w:styleId="afe">
    <w:name w:val="Обычный (веб) Знак"/>
    <w:link w:val="afd"/>
    <w:uiPriority w:val="99"/>
    <w:rPr>
      <w:rFonts w:ascii="Times New Roman" w:hAnsi="Times New Roman" w:cs="Times New Roman"/>
      <w:sz w:val="24"/>
      <w:szCs w:val="24"/>
    </w:rPr>
  </w:style>
  <w:style w:type="character" w:customStyle="1" w:styleId="Bodytext2">
    <w:name w:val="Body text (2)"/>
    <w:rPr>
      <w:rFonts w:ascii="Times New Roman" w:eastAsia="Times New Roman" w:hAnsi="Times New Roman" w:cs="Times New Roman"/>
      <w:b w:val="0"/>
      <w:bCs w:val="0"/>
      <w:i w:val="0"/>
      <w:iCs w:val="0"/>
      <w:smallCaps w:val="0"/>
      <w:strike w:val="0"/>
      <w:color w:val="000000"/>
      <w:spacing w:val="0"/>
      <w:position w:val="0"/>
      <w:sz w:val="24"/>
      <w:szCs w:val="24"/>
      <w:u w:val="single"/>
      <w:lang w:val="ru-RU" w:eastAsia="ru-RU" w:bidi="ru-RU"/>
    </w:rPr>
  </w:style>
  <w:style w:type="paragraph" w:customStyle="1" w:styleId="affffff">
    <w:name w:val="Политика"/>
    <w:basedOn w:val="a3"/>
    <w:link w:val="affffff0"/>
    <w:qFormat/>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affffff0">
    <w:name w:val="Политика Знак"/>
    <w:link w:val="affffff"/>
    <w:rPr>
      <w:rFonts w:ascii="Times New Roman" w:eastAsia="Times New Roman" w:hAnsi="Times New Roman" w:cs="Times New Roman"/>
      <w:sz w:val="28"/>
      <w:szCs w:val="28"/>
      <w:lang w:eastAsia="ru-RU"/>
    </w:rPr>
  </w:style>
  <w:style w:type="character" w:customStyle="1" w:styleId="bumpedfont15">
    <w:name w:val="bumpedfont15"/>
    <w:basedOn w:val="a4"/>
  </w:style>
  <w:style w:type="paragraph" w:customStyle="1" w:styleId="21">
    <w:name w:val="Заголовок 21"/>
    <w:basedOn w:val="a3"/>
    <w:next w:val="a3"/>
    <w:uiPriority w:val="9"/>
    <w:unhideWhenUsed/>
    <w:qFormat/>
    <w:pPr>
      <w:keepNext/>
      <w:keepLines/>
      <w:numPr>
        <w:ilvl w:val="1"/>
        <w:numId w:val="7"/>
      </w:numPr>
      <w:spacing w:before="100" w:beforeAutospacing="1" w:after="200" w:line="360" w:lineRule="auto"/>
      <w:ind w:left="993" w:hanging="567"/>
      <w:contextualSpacing/>
      <w:jc w:val="both"/>
      <w:outlineLvl w:val="1"/>
    </w:pPr>
    <w:rPr>
      <w:rFonts w:ascii="Times New Roman" w:eastAsia="Times New Roman" w:hAnsi="Times New Roman" w:cs="Times New Roman"/>
      <w:b/>
      <w:sz w:val="28"/>
      <w:szCs w:val="26"/>
    </w:rPr>
  </w:style>
  <w:style w:type="paragraph" w:customStyle="1" w:styleId="221">
    <w:name w:val="Заголовок 22"/>
    <w:basedOn w:val="a3"/>
    <w:next w:val="a3"/>
    <w:uiPriority w:val="9"/>
    <w:unhideWhenUsed/>
    <w:qFormat/>
    <w:pPr>
      <w:keepNext/>
      <w:keepLines/>
      <w:spacing w:before="100" w:beforeAutospacing="1" w:after="200" w:line="360" w:lineRule="auto"/>
      <w:ind w:left="993" w:hanging="567"/>
      <w:contextualSpacing/>
      <w:jc w:val="both"/>
      <w:outlineLvl w:val="1"/>
    </w:pPr>
    <w:rPr>
      <w:rFonts w:ascii="Times New Roman" w:eastAsia="Times New Roman" w:hAnsi="Times New Roman" w:cs="Times New Roman"/>
      <w:b/>
      <w:sz w:val="28"/>
      <w:szCs w:val="26"/>
    </w:rPr>
  </w:style>
  <w:style w:type="paragraph" w:customStyle="1" w:styleId="313">
    <w:name w:val="Заголовок 31"/>
    <w:basedOn w:val="a3"/>
    <w:next w:val="a3"/>
    <w:uiPriority w:val="9"/>
    <w:unhideWhenUsed/>
    <w:qFormat/>
    <w:pPr>
      <w:keepNext/>
      <w:keepLines/>
      <w:spacing w:before="200" w:after="0" w:line="360" w:lineRule="auto"/>
      <w:ind w:left="1004" w:hanging="180"/>
      <w:jc w:val="both"/>
      <w:outlineLvl w:val="2"/>
    </w:pPr>
    <w:rPr>
      <w:rFonts w:ascii="Times New Roman" w:eastAsia="Times New Roman" w:hAnsi="Times New Roman" w:cs="Times New Roman"/>
      <w:b/>
      <w:bCs/>
      <w:sz w:val="28"/>
    </w:rPr>
  </w:style>
  <w:style w:type="paragraph" w:customStyle="1" w:styleId="411">
    <w:name w:val="Заголовок 41"/>
    <w:basedOn w:val="a3"/>
    <w:next w:val="a3"/>
    <w:uiPriority w:val="9"/>
    <w:unhideWhenUsed/>
    <w:qFormat/>
    <w:pPr>
      <w:keepNext/>
      <w:keepLines/>
      <w:spacing w:before="200" w:after="0" w:line="360" w:lineRule="auto"/>
      <w:ind w:left="3589" w:hanging="360"/>
      <w:outlineLvl w:val="3"/>
    </w:pPr>
    <w:rPr>
      <w:rFonts w:ascii="Times New Roman" w:eastAsia="Times New Roman" w:hAnsi="Times New Roman" w:cs="Times New Roman"/>
      <w:b/>
      <w:bCs/>
      <w:i/>
      <w:iCs/>
      <w:color w:val="000000"/>
      <w:sz w:val="28"/>
    </w:rPr>
  </w:style>
  <w:style w:type="paragraph" w:customStyle="1" w:styleId="511">
    <w:name w:val="Заголовок 51"/>
    <w:basedOn w:val="a3"/>
    <w:next w:val="a3"/>
    <w:uiPriority w:val="9"/>
    <w:unhideWhenUsed/>
    <w:qFormat/>
    <w:pPr>
      <w:keepNext/>
      <w:keepLines/>
      <w:spacing w:before="200" w:after="0" w:line="360" w:lineRule="auto"/>
      <w:ind w:left="1008" w:hanging="360"/>
      <w:jc w:val="both"/>
      <w:outlineLvl w:val="4"/>
    </w:pPr>
    <w:rPr>
      <w:rFonts w:ascii="Times New Roman" w:eastAsia="Times New Roman" w:hAnsi="Times New Roman" w:cs="Times New Roman"/>
      <w:color w:val="000000"/>
      <w:sz w:val="28"/>
    </w:rPr>
  </w:style>
  <w:style w:type="paragraph" w:customStyle="1" w:styleId="610">
    <w:name w:val="Заголовок 61"/>
    <w:basedOn w:val="a3"/>
    <w:next w:val="a3"/>
    <w:uiPriority w:val="9"/>
    <w:semiHidden/>
    <w:unhideWhenUsed/>
    <w:qFormat/>
    <w:pPr>
      <w:keepNext/>
      <w:keepLines/>
      <w:spacing w:before="200" w:after="0" w:line="360" w:lineRule="auto"/>
      <w:ind w:left="5029" w:hanging="180"/>
      <w:jc w:val="both"/>
      <w:outlineLvl w:val="5"/>
    </w:pPr>
    <w:rPr>
      <w:rFonts w:ascii="Cambria" w:eastAsia="Times New Roman" w:hAnsi="Cambria" w:cs="Times New Roman"/>
      <w:i/>
      <w:iCs/>
      <w:color w:val="243F60"/>
      <w:sz w:val="28"/>
    </w:rPr>
  </w:style>
  <w:style w:type="paragraph" w:customStyle="1" w:styleId="710">
    <w:name w:val="Заголовок 71"/>
    <w:basedOn w:val="a3"/>
    <w:next w:val="a3"/>
    <w:uiPriority w:val="9"/>
    <w:semiHidden/>
    <w:unhideWhenUsed/>
    <w:qFormat/>
    <w:pPr>
      <w:keepNext/>
      <w:keepLines/>
      <w:spacing w:before="200" w:after="0" w:line="360" w:lineRule="auto"/>
      <w:ind w:left="5749" w:hanging="360"/>
      <w:jc w:val="both"/>
      <w:outlineLvl w:val="6"/>
    </w:pPr>
    <w:rPr>
      <w:rFonts w:ascii="Cambria" w:eastAsia="Times New Roman" w:hAnsi="Cambria" w:cs="Times New Roman"/>
      <w:i/>
      <w:iCs/>
      <w:color w:val="404040"/>
      <w:sz w:val="28"/>
    </w:rPr>
  </w:style>
  <w:style w:type="paragraph" w:customStyle="1" w:styleId="810">
    <w:name w:val="Заголовок 81"/>
    <w:basedOn w:val="a3"/>
    <w:next w:val="a3"/>
    <w:uiPriority w:val="9"/>
    <w:semiHidden/>
    <w:unhideWhenUsed/>
    <w:qFormat/>
    <w:pPr>
      <w:keepNext/>
      <w:keepLines/>
      <w:spacing w:before="200" w:after="0" w:line="360" w:lineRule="auto"/>
      <w:ind w:left="6469" w:hanging="360"/>
      <w:jc w:val="both"/>
      <w:outlineLvl w:val="7"/>
    </w:pPr>
    <w:rPr>
      <w:rFonts w:ascii="Cambria" w:eastAsia="Times New Roman" w:hAnsi="Cambria" w:cs="Times New Roman"/>
      <w:color w:val="404040"/>
      <w:sz w:val="20"/>
      <w:szCs w:val="20"/>
    </w:rPr>
  </w:style>
  <w:style w:type="paragraph" w:customStyle="1" w:styleId="910">
    <w:name w:val="Заголовок 91"/>
    <w:basedOn w:val="a3"/>
    <w:next w:val="a3"/>
    <w:uiPriority w:val="9"/>
    <w:semiHidden/>
    <w:unhideWhenUsed/>
    <w:qFormat/>
    <w:pPr>
      <w:keepNext/>
      <w:keepLines/>
      <w:spacing w:before="200" w:after="0" w:line="360" w:lineRule="auto"/>
      <w:ind w:left="7189" w:hanging="180"/>
      <w:jc w:val="both"/>
      <w:outlineLvl w:val="8"/>
    </w:pPr>
    <w:rPr>
      <w:rFonts w:ascii="Cambria" w:eastAsia="Times New Roman" w:hAnsi="Cambria" w:cs="Times New Roman"/>
      <w:i/>
      <w:iCs/>
      <w:color w:val="404040"/>
      <w:sz w:val="20"/>
      <w:szCs w:val="20"/>
    </w:rPr>
  </w:style>
  <w:style w:type="character" w:customStyle="1" w:styleId="1ff">
    <w:name w:val="Гиперссылка1"/>
    <w:basedOn w:val="a4"/>
    <w:uiPriority w:val="99"/>
    <w:unhideWhenUsed/>
    <w:rPr>
      <w:color w:val="0000FF"/>
      <w:u w:val="single"/>
    </w:rPr>
  </w:style>
  <w:style w:type="numbering" w:customStyle="1" w:styleId="10">
    <w:name w:val="Импортированный стиль 1"/>
    <w:pPr>
      <w:numPr>
        <w:numId w:val="8"/>
      </w:numPr>
    </w:pPr>
  </w:style>
  <w:style w:type="numbering" w:customStyle="1" w:styleId="22">
    <w:name w:val="Импортированный стиль 2"/>
    <w:pPr>
      <w:numPr>
        <w:numId w:val="9"/>
      </w:numPr>
    </w:pPr>
  </w:style>
  <w:style w:type="numbering" w:customStyle="1" w:styleId="30">
    <w:name w:val="Импортированный стиль 3"/>
    <w:pPr>
      <w:numPr>
        <w:numId w:val="10"/>
      </w:numPr>
    </w:pPr>
  </w:style>
  <w:style w:type="paragraph" w:customStyle="1" w:styleId="1ff0">
    <w:name w:val="Текст примечания1"/>
    <w:basedOn w:val="a3"/>
    <w:next w:val="affa"/>
    <w:uiPriority w:val="99"/>
    <w:semiHidden/>
    <w:unhideWhenUsed/>
    <w:pPr>
      <w:spacing w:after="200" w:line="240" w:lineRule="auto"/>
      <w:jc w:val="both"/>
    </w:pPr>
    <w:rPr>
      <w:rFonts w:ascii="Times New Roman" w:hAnsi="Times New Roman"/>
      <w:sz w:val="20"/>
      <w:szCs w:val="20"/>
    </w:rPr>
  </w:style>
  <w:style w:type="character" w:customStyle="1" w:styleId="1ff1">
    <w:name w:val="заголовок 1 Знак"/>
    <w:basedOn w:val="a4"/>
    <w:link w:val="1"/>
    <w:rPr>
      <w:rFonts w:ascii="Times New Roman" w:eastAsia="Calibri" w:hAnsi="Times New Roman" w:cs="Times New Roman"/>
      <w:b/>
      <w:sz w:val="28"/>
      <w:szCs w:val="24"/>
      <w:lang w:eastAsia="ar-SA"/>
    </w:rPr>
  </w:style>
  <w:style w:type="paragraph" w:customStyle="1" w:styleId="1">
    <w:name w:val="заголовок 1"/>
    <w:basedOn w:val="ac"/>
    <w:link w:val="1ff1"/>
    <w:qFormat/>
    <w:pPr>
      <w:numPr>
        <w:numId w:val="11"/>
      </w:numPr>
      <w:spacing w:after="0" w:line="240" w:lineRule="auto"/>
      <w:jc w:val="center"/>
    </w:pPr>
    <w:rPr>
      <w:rFonts w:ascii="Times New Roman" w:eastAsia="Calibri" w:hAnsi="Times New Roman" w:cs="Times New Roman"/>
      <w:b/>
      <w:sz w:val="28"/>
      <w:szCs w:val="24"/>
      <w:lang w:eastAsia="ar-SA"/>
    </w:rPr>
  </w:style>
  <w:style w:type="paragraph" w:customStyle="1" w:styleId="1-2">
    <w:name w:val="Заголовок 1-2"/>
    <w:basedOn w:val="ac"/>
    <w:qFormat/>
    <w:pPr>
      <w:numPr>
        <w:ilvl w:val="1"/>
        <w:numId w:val="11"/>
      </w:numPr>
      <w:tabs>
        <w:tab w:val="num" w:pos="360"/>
      </w:tabs>
      <w:spacing w:after="0" w:line="240" w:lineRule="auto"/>
      <w:ind w:left="720" w:firstLine="0"/>
      <w:jc w:val="both"/>
    </w:pPr>
    <w:rPr>
      <w:rFonts w:ascii="Times New Roman" w:eastAsia="Calibri" w:hAnsi="Times New Roman" w:cs="Times New Roman"/>
      <w:b/>
      <w:sz w:val="28"/>
      <w:szCs w:val="24"/>
      <w:lang w:eastAsia="ar-SA"/>
    </w:rPr>
  </w:style>
  <w:style w:type="table" w:customStyle="1" w:styleId="412">
    <w:name w:val="Таблица простая 41"/>
    <w:basedOn w:val="a5"/>
    <w:uiPriority w:val="44"/>
    <w:pPr>
      <w:spacing w:after="0" w:line="240" w:lineRule="auto"/>
    </w:pPr>
    <w:rPr>
      <w:rFonts w:eastAsia="Times New Roman"/>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12">
    <w:name w:val="маркированый список 1"/>
    <w:basedOn w:val="2f1"/>
    <w:pPr>
      <w:numPr>
        <w:numId w:val="12"/>
      </w:numPr>
      <w:tabs>
        <w:tab w:val="clear" w:pos="720"/>
      </w:tabs>
      <w:spacing w:after="0" w:line="240" w:lineRule="auto"/>
      <w:ind w:left="1428" w:hanging="432"/>
      <w:contextualSpacing w:val="0"/>
    </w:pPr>
    <w:rPr>
      <w:rFonts w:ascii="HeliosCond" w:eastAsia="Times New Roman" w:hAnsi="HeliosCond"/>
      <w:color w:val="333333"/>
      <w:sz w:val="24"/>
      <w:szCs w:val="24"/>
      <w:lang w:eastAsia="ru-RU"/>
    </w:rPr>
  </w:style>
  <w:style w:type="paragraph" w:styleId="2f1">
    <w:name w:val="List 2"/>
    <w:basedOn w:val="a3"/>
    <w:uiPriority w:val="99"/>
    <w:semiHidden/>
    <w:unhideWhenUsed/>
    <w:pPr>
      <w:spacing w:after="200" w:line="360" w:lineRule="auto"/>
      <w:ind w:left="566" w:hanging="283"/>
      <w:contextualSpacing/>
      <w:jc w:val="both"/>
    </w:pPr>
    <w:rPr>
      <w:rFonts w:ascii="Times New Roman" w:eastAsia="Calibri" w:hAnsi="Times New Roman" w:cs="Times New Roman"/>
      <w:sz w:val="28"/>
    </w:rPr>
  </w:style>
  <w:style w:type="paragraph" w:customStyle="1" w:styleId="1ff2">
    <w:name w:val="Текст концевой сноски1"/>
    <w:basedOn w:val="a3"/>
    <w:next w:val="afffff4"/>
    <w:uiPriority w:val="99"/>
    <w:semiHidden/>
    <w:unhideWhenUsed/>
    <w:pPr>
      <w:spacing w:after="0" w:line="240" w:lineRule="auto"/>
      <w:jc w:val="both"/>
    </w:pPr>
    <w:rPr>
      <w:sz w:val="20"/>
      <w:szCs w:val="20"/>
    </w:rPr>
  </w:style>
  <w:style w:type="paragraph" w:customStyle="1" w:styleId="1ff3">
    <w:name w:val="Название объекта1"/>
    <w:basedOn w:val="a3"/>
    <w:next w:val="a3"/>
    <w:uiPriority w:val="35"/>
    <w:unhideWhenUsed/>
    <w:qFormat/>
    <w:pPr>
      <w:widowControl w:val="0"/>
      <w:spacing w:after="200" w:line="240" w:lineRule="auto"/>
      <w:jc w:val="both"/>
    </w:pPr>
    <w:rPr>
      <w:rFonts w:ascii="Times New Roman" w:eastAsia="Microsoft YaHei" w:hAnsi="Times New Roman" w:cs="Mangal"/>
      <w:i/>
      <w:iCs/>
      <w:color w:val="1F497D"/>
      <w:sz w:val="18"/>
      <w:szCs w:val="16"/>
      <w:lang w:eastAsia="zh-CN" w:bidi="hi-IN"/>
    </w:rPr>
  </w:style>
  <w:style w:type="paragraph" w:customStyle="1" w:styleId="1ff4">
    <w:name w:val="Заголовок1"/>
    <w:basedOn w:val="a3"/>
    <w:next w:val="a3"/>
    <w:qFormat/>
    <w:pPr>
      <w:spacing w:after="0" w:line="240" w:lineRule="auto"/>
      <w:ind w:left="708"/>
      <w:contextualSpacing/>
      <w:jc w:val="both"/>
    </w:pPr>
    <w:rPr>
      <w:rFonts w:ascii="Times New Roman" w:eastAsia="Times New Roman" w:hAnsi="Times New Roman" w:cs="Times New Roman"/>
      <w:b/>
      <w:spacing w:val="-10"/>
      <w:sz w:val="28"/>
      <w:szCs w:val="56"/>
    </w:rPr>
  </w:style>
  <w:style w:type="character" w:customStyle="1" w:styleId="FontStyle142">
    <w:name w:val="Font Style142"/>
    <w:rPr>
      <w:rFonts w:ascii="Times New Roman" w:hAnsi="Times New Roman" w:cs="Times New Roman"/>
      <w:sz w:val="18"/>
      <w:szCs w:val="18"/>
    </w:rPr>
  </w:style>
  <w:style w:type="character" w:customStyle="1" w:styleId="affffff1">
    <w:name w:val="Основной Маркированный Знак"/>
    <w:basedOn w:val="a4"/>
    <w:link w:val="a0"/>
    <w:uiPriority w:val="2"/>
    <w:rPr>
      <w:rFonts w:ascii="Times New Roman" w:eastAsia="Times New Roman" w:hAnsi="Times New Roman" w:cs="Times New Roman"/>
      <w:sz w:val="24"/>
      <w:szCs w:val="28"/>
      <w:lang w:eastAsia="ru-RU"/>
    </w:rPr>
  </w:style>
  <w:style w:type="paragraph" w:customStyle="1" w:styleId="a0">
    <w:name w:val="Основной Маркированный"/>
    <w:basedOn w:val="a3"/>
    <w:link w:val="affffff1"/>
    <w:uiPriority w:val="2"/>
    <w:qFormat/>
    <w:pPr>
      <w:keepLines/>
      <w:numPr>
        <w:numId w:val="13"/>
      </w:numPr>
      <w:spacing w:before="100" w:after="0" w:line="240" w:lineRule="auto"/>
      <w:jc w:val="both"/>
    </w:pPr>
    <w:rPr>
      <w:rFonts w:ascii="Times New Roman" w:eastAsia="Times New Roman" w:hAnsi="Times New Roman" w:cs="Times New Roman"/>
      <w:sz w:val="24"/>
      <w:szCs w:val="28"/>
      <w:lang w:eastAsia="ru-RU"/>
    </w:rPr>
  </w:style>
  <w:style w:type="character" w:customStyle="1" w:styleId="1f8">
    <w:name w:val="Основной текст1 Знак"/>
    <w:basedOn w:val="a4"/>
    <w:link w:val="1f7"/>
    <w:rPr>
      <w:rFonts w:ascii="Arial" w:eastAsia="Calibri" w:hAnsi="Arial" w:cs="Arial"/>
      <w:color w:val="000000"/>
      <w:sz w:val="20"/>
    </w:rPr>
  </w:style>
  <w:style w:type="paragraph" w:styleId="affffff2">
    <w:name w:val="Body Text First Indent"/>
    <w:basedOn w:val="afb"/>
    <w:link w:val="affffff3"/>
    <w:uiPriority w:val="99"/>
    <w:unhideWhenUsed/>
    <w:pPr>
      <w:spacing w:after="200" w:line="276" w:lineRule="auto"/>
      <w:ind w:firstLine="360"/>
      <w:jc w:val="both"/>
    </w:pPr>
    <w:rPr>
      <w:rFonts w:ascii="Calibri" w:eastAsia="Calibri" w:hAnsi="Calibri"/>
      <w:sz w:val="22"/>
      <w:szCs w:val="22"/>
    </w:rPr>
  </w:style>
  <w:style w:type="character" w:customStyle="1" w:styleId="affffff3">
    <w:name w:val="Красная строка Знак"/>
    <w:basedOn w:val="afc"/>
    <w:link w:val="affffff2"/>
    <w:uiPriority w:val="99"/>
    <w:rPr>
      <w:rFonts w:ascii="Calibri" w:eastAsia="Calibri" w:hAnsi="Calibri" w:cs="Times New Roman"/>
      <w:sz w:val="24"/>
      <w:szCs w:val="24"/>
    </w:rPr>
  </w:style>
  <w:style w:type="table" w:customStyle="1" w:styleId="TableGridReport2">
    <w:name w:val="Table Grid Report2"/>
    <w:basedOn w:val="a5"/>
    <w:next w:val="ae"/>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4">
    <w:name w:val="Текст в таблице"/>
    <w:basedOn w:val="a3"/>
    <w:qFormat/>
    <w:pPr>
      <w:spacing w:before="120" w:after="120" w:line="240" w:lineRule="auto"/>
    </w:pPr>
    <w:rPr>
      <w:rFonts w:ascii="Times New Roman" w:eastAsia="Times New Roman" w:hAnsi="Times New Roman" w:cs="Times New Roman"/>
      <w:sz w:val="24"/>
      <w:szCs w:val="24"/>
      <w:lang w:eastAsia="zh-CN"/>
    </w:rPr>
  </w:style>
  <w:style w:type="table" w:customStyle="1" w:styleId="TableGridReport1">
    <w:name w:val="Table Grid Report1"/>
    <w:basedOn w:val="a5"/>
    <w:next w:val="a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
    <w:name w:val="Table Grid Report3"/>
    <w:basedOn w:val="a5"/>
    <w:next w:val="a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
    <w:name w:val="Table Grid Report4"/>
    <w:basedOn w:val="a5"/>
    <w:next w:val="a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
    <w:name w:val="Table Grid Report5"/>
    <w:basedOn w:val="a5"/>
    <w:next w:val="a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6">
    <w:name w:val="Table Grid Report6"/>
    <w:basedOn w:val="a5"/>
    <w:next w:val="a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ullet">
    <w:name w:val="Bullet"/>
    <w:basedOn w:val="a3"/>
    <w:pPr>
      <w:spacing w:before="120" w:after="120" w:line="240" w:lineRule="auto"/>
      <w:ind w:left="3551" w:hanging="432"/>
    </w:pPr>
    <w:rPr>
      <w:rFonts w:ascii="Times New Roman" w:eastAsia="Times New Roman" w:hAnsi="Times New Roman" w:cs="Times New Roman"/>
    </w:rPr>
  </w:style>
  <w:style w:type="paragraph" w:customStyle="1" w:styleId="a2">
    <w:name w:val="Обычный текст с выступом"/>
    <w:basedOn w:val="a3"/>
    <w:pPr>
      <w:widowControl w:val="0"/>
      <w:numPr>
        <w:numId w:val="8"/>
      </w:numPr>
      <w:spacing w:before="120" w:after="0" w:line="240" w:lineRule="auto"/>
      <w:jc w:val="both"/>
    </w:pPr>
    <w:rPr>
      <w:rFonts w:ascii="Times New Roman" w:eastAsia="Times New Roman" w:hAnsi="Times New Roman" w:cs="Times New Roman"/>
      <w:sz w:val="24"/>
      <w:szCs w:val="20"/>
      <w:lang w:eastAsia="ru-RU"/>
    </w:rPr>
  </w:style>
  <w:style w:type="table" w:customStyle="1" w:styleId="114">
    <w:name w:val="Сетка таблицы11"/>
    <w:basedOn w:val="a5"/>
    <w:next w:val="ae"/>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f5">
    <w:name w:val="Просмотренная гиперссылка1"/>
    <w:basedOn w:val="a4"/>
    <w:uiPriority w:val="99"/>
    <w:semiHidden/>
    <w:unhideWhenUsed/>
    <w:rPr>
      <w:color w:val="800080"/>
      <w:u w:val="single"/>
    </w:rPr>
  </w:style>
  <w:style w:type="table" w:customStyle="1" w:styleId="120">
    <w:name w:val="Сетка таблицы12"/>
    <w:basedOn w:val="a5"/>
    <w:next w:val="a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
    <w:name w:val="Сетка таблицы111"/>
    <w:basedOn w:val="a5"/>
    <w:next w:val="ae"/>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12">
    <w:name w:val="Заголовок 2 Знак1"/>
    <w:basedOn w:val="a4"/>
    <w:uiPriority w:val="9"/>
    <w:semiHidden/>
    <w:rPr>
      <w:rFonts w:asciiTheme="majorHAnsi" w:eastAsiaTheme="majorEastAsia" w:hAnsiTheme="majorHAnsi" w:cstheme="majorBidi"/>
      <w:color w:val="2E74B5" w:themeColor="accent1" w:themeShade="BF"/>
      <w:sz w:val="26"/>
      <w:szCs w:val="26"/>
    </w:rPr>
  </w:style>
  <w:style w:type="character" w:customStyle="1" w:styleId="314">
    <w:name w:val="Заголовок 3 Знак1"/>
    <w:basedOn w:val="a4"/>
    <w:uiPriority w:val="9"/>
    <w:semiHidden/>
    <w:rPr>
      <w:rFonts w:asciiTheme="majorHAnsi" w:eastAsiaTheme="majorEastAsia" w:hAnsiTheme="majorHAnsi" w:cstheme="majorBidi"/>
      <w:color w:val="1F4D78" w:themeColor="accent1" w:themeShade="7F"/>
      <w:sz w:val="24"/>
      <w:szCs w:val="24"/>
    </w:rPr>
  </w:style>
  <w:style w:type="character" w:customStyle="1" w:styleId="413">
    <w:name w:val="Заголовок 4 Знак1"/>
    <w:basedOn w:val="a4"/>
    <w:uiPriority w:val="9"/>
    <w:semiHidden/>
    <w:rPr>
      <w:rFonts w:asciiTheme="majorHAnsi" w:eastAsiaTheme="majorEastAsia" w:hAnsiTheme="majorHAnsi" w:cstheme="majorBidi"/>
      <w:i/>
      <w:iCs/>
      <w:color w:val="2E74B5" w:themeColor="accent1" w:themeShade="BF"/>
    </w:rPr>
  </w:style>
  <w:style w:type="character" w:customStyle="1" w:styleId="512">
    <w:name w:val="Заголовок 5 Знак1"/>
    <w:basedOn w:val="a4"/>
    <w:uiPriority w:val="9"/>
    <w:semiHidden/>
    <w:rPr>
      <w:rFonts w:asciiTheme="majorHAnsi" w:eastAsiaTheme="majorEastAsia" w:hAnsiTheme="majorHAnsi" w:cstheme="majorBidi"/>
      <w:color w:val="2E74B5" w:themeColor="accent1" w:themeShade="BF"/>
    </w:rPr>
  </w:style>
  <w:style w:type="character" w:customStyle="1" w:styleId="611">
    <w:name w:val="Заголовок 6 Знак1"/>
    <w:basedOn w:val="a4"/>
    <w:uiPriority w:val="9"/>
    <w:semiHidden/>
    <w:rPr>
      <w:rFonts w:asciiTheme="majorHAnsi" w:eastAsiaTheme="majorEastAsia" w:hAnsiTheme="majorHAnsi" w:cstheme="majorBidi"/>
      <w:color w:val="1F4D78" w:themeColor="accent1" w:themeShade="7F"/>
    </w:rPr>
  </w:style>
  <w:style w:type="character" w:customStyle="1" w:styleId="711">
    <w:name w:val="Заголовок 7 Знак1"/>
    <w:basedOn w:val="a4"/>
    <w:uiPriority w:val="9"/>
    <w:semiHidden/>
    <w:rPr>
      <w:rFonts w:asciiTheme="majorHAnsi" w:eastAsiaTheme="majorEastAsia" w:hAnsiTheme="majorHAnsi" w:cstheme="majorBidi"/>
      <w:i/>
      <w:iCs/>
      <w:color w:val="1F4D78" w:themeColor="accent1" w:themeShade="7F"/>
    </w:rPr>
  </w:style>
  <w:style w:type="character" w:customStyle="1" w:styleId="811">
    <w:name w:val="Заголовок 8 Знак1"/>
    <w:basedOn w:val="a4"/>
    <w:uiPriority w:val="9"/>
    <w:semiHidden/>
    <w:rPr>
      <w:rFonts w:asciiTheme="majorHAnsi" w:eastAsiaTheme="majorEastAsia" w:hAnsiTheme="majorHAnsi" w:cstheme="majorBidi"/>
      <w:color w:val="272727" w:themeColor="text1" w:themeTint="D8"/>
      <w:sz w:val="21"/>
      <w:szCs w:val="21"/>
    </w:rPr>
  </w:style>
  <w:style w:type="character" w:customStyle="1" w:styleId="911">
    <w:name w:val="Заголовок 9 Знак1"/>
    <w:basedOn w:val="a4"/>
    <w:uiPriority w:val="9"/>
    <w:semiHidden/>
    <w:rPr>
      <w:rFonts w:asciiTheme="majorHAnsi" w:eastAsiaTheme="majorEastAsia" w:hAnsiTheme="majorHAnsi" w:cstheme="majorBidi"/>
      <w:i/>
      <w:iCs/>
      <w:color w:val="272727" w:themeColor="text1" w:themeTint="D8"/>
      <w:sz w:val="21"/>
      <w:szCs w:val="21"/>
    </w:rPr>
  </w:style>
  <w:style w:type="character" w:customStyle="1" w:styleId="1ff6">
    <w:name w:val="Текст концевой сноски Знак1"/>
    <w:basedOn w:val="a4"/>
    <w:uiPriority w:val="99"/>
    <w:semiHidden/>
    <w:rPr>
      <w:sz w:val="20"/>
      <w:szCs w:val="20"/>
    </w:rPr>
  </w:style>
  <w:style w:type="character" w:customStyle="1" w:styleId="1ff7">
    <w:name w:val="Заголовок Знак1"/>
    <w:basedOn w:val="a4"/>
    <w:uiPriority w:val="10"/>
    <w:rPr>
      <w:rFonts w:asciiTheme="majorHAnsi" w:eastAsiaTheme="majorEastAsia" w:hAnsiTheme="majorHAnsi" w:cstheme="majorBidi"/>
      <w:spacing w:val="-10"/>
      <w:sz w:val="56"/>
      <w:szCs w:val="56"/>
    </w:rPr>
  </w:style>
  <w:style w:type="paragraph" w:customStyle="1" w:styleId="Style9">
    <w:name w:val="Style9"/>
    <w:basedOn w:val="a3"/>
    <w:uiPriority w:val="99"/>
    <w:pPr>
      <w:widowControl w:val="0"/>
      <w:spacing w:after="0" w:line="485" w:lineRule="exact"/>
      <w:ind w:firstLine="720"/>
      <w:jc w:val="both"/>
    </w:pPr>
    <w:rPr>
      <w:rFonts w:ascii="Times New Roman" w:eastAsiaTheme="minorEastAsia" w:hAnsi="Times New Roman" w:cs="Times New Roman"/>
      <w:sz w:val="24"/>
      <w:szCs w:val="24"/>
      <w:lang w:eastAsia="ru-RU"/>
    </w:rPr>
  </w:style>
  <w:style w:type="character" w:customStyle="1" w:styleId="FontStyle25">
    <w:name w:val="Font Style25"/>
    <w:basedOn w:val="a4"/>
    <w:uiPriority w:val="99"/>
    <w:rPr>
      <w:rFonts w:ascii="Times New Roman" w:hAnsi="Times New Roman" w:cs="Times New Roman"/>
      <w:spacing w:val="-10"/>
      <w:sz w:val="26"/>
      <w:szCs w:val="26"/>
    </w:rPr>
  </w:style>
  <w:style w:type="paragraph" w:customStyle="1" w:styleId="Pa20">
    <w:name w:val="Pa20"/>
    <w:basedOn w:val="Default"/>
    <w:next w:val="Default"/>
    <w:uiPriority w:val="99"/>
    <w:pPr>
      <w:spacing w:line="201" w:lineRule="atLeast"/>
    </w:pPr>
    <w:rPr>
      <w:rFonts w:ascii="TT Jenevers" w:hAnsi="TT Jenevers" w:cstheme="minorBidi"/>
      <w:color w:val="auto"/>
    </w:rPr>
  </w:style>
  <w:style w:type="table" w:customStyle="1" w:styleId="93">
    <w:name w:val="Сетка таблицы9"/>
    <w:basedOn w:val="a5"/>
    <w:next w:val="a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5">
    <w:name w:val="мой обычный"/>
    <w:basedOn w:val="afd"/>
    <w:uiPriority w:val="99"/>
    <w:qFormat/>
    <w:pPr>
      <w:shd w:val="clear" w:color="auto" w:fill="FFFFFF" w:themeFill="background1"/>
      <w:tabs>
        <w:tab w:val="left" w:pos="993"/>
      </w:tabs>
      <w:spacing w:after="0" w:line="300" w:lineRule="auto"/>
      <w:ind w:firstLine="709"/>
      <w:jc w:val="both"/>
    </w:pPr>
    <w:rPr>
      <w:color w:val="000000" w:themeColor="text1"/>
    </w:rPr>
  </w:style>
  <w:style w:type="paragraph" w:customStyle="1" w:styleId="ConsPlusTextList">
    <w:name w:val="ConsPlusTextList"/>
    <w:pPr>
      <w:widowControl w:val="0"/>
      <w:spacing w:after="0" w:line="240" w:lineRule="auto"/>
    </w:pPr>
    <w:rPr>
      <w:rFonts w:ascii="Arial" w:eastAsia="Times New Roman" w:hAnsi="Arial" w:cs="Arial"/>
      <w:sz w:val="20"/>
      <w:szCs w:val="20"/>
      <w:lang w:eastAsia="ru-RU"/>
    </w:rPr>
  </w:style>
  <w:style w:type="paragraph" w:customStyle="1" w:styleId="affffff6">
    <w:name w:val="Текст обычный"/>
    <w:basedOn w:val="a3"/>
    <w:link w:val="affffff7"/>
    <w:qFormat/>
    <w:pPr>
      <w:spacing w:after="0" w:line="240" w:lineRule="auto"/>
      <w:ind w:firstLine="709"/>
      <w:jc w:val="both"/>
    </w:pPr>
    <w:rPr>
      <w:rFonts w:ascii="Arial" w:eastAsiaTheme="minorEastAsia" w:hAnsi="Arial" w:cs="Arial"/>
      <w:lang w:eastAsia="ru-RU"/>
    </w:rPr>
  </w:style>
  <w:style w:type="character" w:customStyle="1" w:styleId="affffff7">
    <w:name w:val="Текст обычный Знак"/>
    <w:basedOn w:val="a4"/>
    <w:link w:val="affffff6"/>
    <w:rPr>
      <w:rFonts w:ascii="Arial" w:eastAsiaTheme="minorEastAsia" w:hAnsi="Arial" w:cs="Arial"/>
      <w:lang w:eastAsia="ru-RU"/>
    </w:rPr>
  </w:style>
  <w:style w:type="character" w:customStyle="1" w:styleId="Bodytext275pt">
    <w:name w:val="Body text (2) + 7.5 pt"/>
    <w:rPr>
      <w:rFonts w:ascii="Times New Roman" w:eastAsia="Times New Roman" w:hAnsi="Times New Roman" w:cs="Times New Roman" w:hint="default"/>
      <w:b/>
      <w:bCs/>
      <w:i w:val="0"/>
      <w:iCs w:val="0"/>
      <w:smallCaps w:val="0"/>
      <w:strike w:val="0"/>
      <w:color w:val="000000"/>
      <w:spacing w:val="0"/>
      <w:position w:val="0"/>
      <w:sz w:val="19"/>
      <w:szCs w:val="19"/>
      <w:u w:val="none"/>
      <w:lang w:val="ru-RU" w:eastAsia="ru-RU" w:bidi="ru-RU"/>
    </w:rPr>
  </w:style>
  <w:style w:type="paragraph" w:customStyle="1" w:styleId="1ff8">
    <w:name w:val="Абзац списка1"/>
    <w:basedOn w:val="a3"/>
    <w:pPr>
      <w:spacing w:after="0" w:line="240" w:lineRule="auto"/>
      <w:ind w:left="720"/>
      <w:contextualSpacing/>
    </w:pPr>
    <w:rPr>
      <w:rFonts w:ascii="Times New Roman" w:eastAsia="Times New Roman" w:hAnsi="Times New Roman" w:cs="Times New Roman"/>
      <w:sz w:val="24"/>
      <w:szCs w:val="24"/>
      <w:lang w:eastAsia="ru-RU"/>
    </w:rPr>
  </w:style>
  <w:style w:type="table" w:customStyle="1" w:styleId="SmartTextTable1">
    <w:name w:val="Smart Text Table1"/>
    <w:basedOn w:val="a5"/>
    <w:next w:val="ae"/>
    <w:uiPriority w:val="39"/>
    <w:pPr>
      <w:spacing w:after="0" w:line="240" w:lineRule="auto"/>
    </w:pPr>
    <w:rPr>
      <w:rFonts w:ascii="Calibri" w:eastAsia="Calibri" w:hAnsi="Calibri" w:cs="Times New Roman"/>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8">
    <w:name w:val="текст"/>
    <w:basedOn w:val="a3"/>
    <w:link w:val="affffff9"/>
    <w:qFormat/>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fff9">
    <w:name w:val="текст Знак"/>
    <w:link w:val="affffff8"/>
    <w:rPr>
      <w:rFonts w:ascii="Times New Roman" w:eastAsia="Times New Roman" w:hAnsi="Times New Roman" w:cs="Times New Roman"/>
      <w:sz w:val="24"/>
      <w:szCs w:val="24"/>
      <w:lang w:eastAsia="ru-RU"/>
    </w:rPr>
  </w:style>
  <w:style w:type="table" w:customStyle="1" w:styleId="130">
    <w:name w:val="Сетка таблицы13"/>
    <w:basedOn w:val="a5"/>
    <w:next w:val="ae"/>
    <w:uiPriority w:val="39"/>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VL">
    <w:name w:val="VL_Основной текст"/>
    <w:qFormat/>
    <w:pPr>
      <w:pBdr>
        <w:top w:val="none" w:sz="4" w:space="0" w:color="000000"/>
        <w:left w:val="none" w:sz="4" w:space="0" w:color="000000"/>
        <w:bottom w:val="none" w:sz="4" w:space="0" w:color="000000"/>
        <w:right w:val="none" w:sz="4" w:space="0" w:color="000000"/>
        <w:between w:val="none" w:sz="4" w:space="0" w:color="000000"/>
      </w:pBdr>
      <w:spacing w:before="240" w:after="0" w:line="240" w:lineRule="auto"/>
      <w:jc w:val="both"/>
    </w:pPr>
    <w:rPr>
      <w:rFonts w:eastAsia="Calibri" w:cstheme="minorHAnsi"/>
      <w:color w:val="0B1107" w:themeColor="accent6" w:themeShade="1A"/>
      <w:sz w:val="24"/>
      <w:szCs w:val="24"/>
    </w:rPr>
  </w:style>
  <w:style w:type="paragraph" w:customStyle="1" w:styleId="315">
    <w:name w:val="Основной текст с отступом 31"/>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after="0"/>
      <w:ind w:firstLine="425"/>
      <w:jc w:val="both"/>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rosseti-sib.ru/shareholders_and_investors/kontakty/" TargetMode="External"/><Relationship Id="rId21" Type="http://schemas.openxmlformats.org/officeDocument/2006/relationships/image" Target="media/image5.png"/><Relationship Id="rId42" Type="http://schemas.openxmlformats.org/officeDocument/2006/relationships/footer" Target="footer6.xml"/><Relationship Id="rId63" Type="http://schemas.openxmlformats.org/officeDocument/2006/relationships/chart" Target="charts/chart21.xml"/><Relationship Id="rId84" Type="http://schemas.openxmlformats.org/officeDocument/2006/relationships/chart" Target="charts/chart29.xml"/><Relationship Id="rId138" Type="http://schemas.openxmlformats.org/officeDocument/2006/relationships/image" Target="media/image34.png"/><Relationship Id="rId107" Type="http://schemas.openxmlformats.org/officeDocument/2006/relationships/image" Target="media/image24.png"/><Relationship Id="rId11" Type="http://schemas.openxmlformats.org/officeDocument/2006/relationships/hyperlink" Target="mailto:ir@rosseti-sib.ru" TargetMode="External"/><Relationship Id="rId32" Type="http://schemas.openxmlformats.org/officeDocument/2006/relationships/chart" Target="charts/chart2.xml"/><Relationship Id="rId53" Type="http://schemas.openxmlformats.org/officeDocument/2006/relationships/footer" Target="footer8.xml"/><Relationship Id="rId74" Type="http://schemas.openxmlformats.org/officeDocument/2006/relationships/image" Target="media/image13.emf"/><Relationship Id="rId128" Type="http://schemas.openxmlformats.org/officeDocument/2006/relationships/hyperlink" Target="consultantplus://offline/ref=3E1BE820DC37BAD4FCD0CD6F62ACC8C32F346B985EB4A6947B3C569DB408E76274072E222E038594255D841C5AN2U6F" TargetMode="External"/><Relationship Id="rId149" Type="http://schemas.openxmlformats.org/officeDocument/2006/relationships/hyperlink" Target="https://www.rosseti-sib.ru/about/dokumenty-about/upravlenie-sobstvennostyu/" TargetMode="External"/><Relationship Id="rId5" Type="http://schemas.openxmlformats.org/officeDocument/2006/relationships/webSettings" Target="webSettings.xml"/><Relationship Id="rId95" Type="http://schemas.openxmlformats.org/officeDocument/2006/relationships/image" Target="media/image21.png"/><Relationship Id="rId22" Type="http://schemas.openxmlformats.org/officeDocument/2006/relationships/image" Target="media/image6.png"/><Relationship Id="rId43" Type="http://schemas.openxmlformats.org/officeDocument/2006/relationships/image" Target="media/image11.png"/><Relationship Id="rId64" Type="http://schemas.openxmlformats.org/officeDocument/2006/relationships/chart" Target="charts/chart22.xml"/><Relationship Id="rId118" Type="http://schemas.openxmlformats.org/officeDocument/2006/relationships/hyperlink" Target="mailto:ir@rosseti-sib.ru" TargetMode="External"/><Relationship Id="rId139" Type="http://schemas.openxmlformats.org/officeDocument/2006/relationships/image" Target="media/image35.png"/><Relationship Id="rId80" Type="http://schemas.openxmlformats.org/officeDocument/2006/relationships/image" Target="media/image19.png"/><Relationship Id="rId85" Type="http://schemas.openxmlformats.org/officeDocument/2006/relationships/chart" Target="charts/chart30.xml"/><Relationship Id="rId150" Type="http://schemas.openxmlformats.org/officeDocument/2006/relationships/image" Target="media/image41.png"/><Relationship Id="rId155" Type="http://schemas.openxmlformats.org/officeDocument/2006/relationships/fontTable" Target="fontTable.xml"/><Relationship Id="rId12" Type="http://schemas.openxmlformats.org/officeDocument/2006/relationships/image" Target="media/image1.png"/><Relationship Id="rId17" Type="http://schemas.openxmlformats.org/officeDocument/2006/relationships/footer" Target="footer2.xml"/><Relationship Id="rId33" Type="http://schemas.openxmlformats.org/officeDocument/2006/relationships/chart" Target="charts/chart3.xml"/><Relationship Id="rId38" Type="http://schemas.openxmlformats.org/officeDocument/2006/relationships/chart" Target="charts/chart8.xml"/><Relationship Id="rId59" Type="http://schemas.openxmlformats.org/officeDocument/2006/relationships/chart" Target="charts/chart19.xml"/><Relationship Id="rId103" Type="http://schemas.openxmlformats.org/officeDocument/2006/relationships/hyperlink" Target="http://www.mrsk-yuga.ru/files/file/site/aud_novred.pdf" TargetMode="External"/><Relationship Id="rId108" Type="http://schemas.openxmlformats.org/officeDocument/2006/relationships/hyperlink" Target="https://www.roseltorg.ru/" TargetMode="External"/><Relationship Id="rId124" Type="http://schemas.openxmlformats.org/officeDocument/2006/relationships/hyperlink" Target="consultantplus://offline/ref=3E1BE820DC37BAD4FCD0CD6F62ACC8C32F346B985EB4A6947B3C569DB408E76274072E222E038594255D841C5AN2U6F" TargetMode="External"/><Relationship Id="rId129" Type="http://schemas.openxmlformats.org/officeDocument/2006/relationships/image" Target="media/image25.png"/><Relationship Id="rId54" Type="http://schemas.openxmlformats.org/officeDocument/2006/relationships/hyperlink" Target="http://www.&#1087;&#1086;&#1088;&#1090;&#1072;&#1083;-&#1090;&#1087;.&#1088;&#1092;/" TargetMode="External"/><Relationship Id="rId70" Type="http://schemas.microsoft.com/office/2007/relationships/diagramDrawing" Target="diagrams/drawing1.xml"/><Relationship Id="rId75" Type="http://schemas.openxmlformats.org/officeDocument/2006/relationships/image" Target="media/image14.emf"/><Relationship Id="rId91" Type="http://schemas.openxmlformats.org/officeDocument/2006/relationships/chart" Target="charts/chart34.xml"/><Relationship Id="rId96" Type="http://schemas.openxmlformats.org/officeDocument/2006/relationships/image" Target="media/image22.png"/><Relationship Id="rId140" Type="http://schemas.openxmlformats.org/officeDocument/2006/relationships/image" Target="media/image36.png"/><Relationship Id="rId145" Type="http://schemas.openxmlformats.org/officeDocument/2006/relationships/hyperlink" Target="http://www.nts-ees.ru/vozmozhnost-koordinacii-deyatelnosti-s-drugimi-subektami-edinoy-energeticheskoy-sistemy"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png"/><Relationship Id="rId28" Type="http://schemas.openxmlformats.org/officeDocument/2006/relationships/header" Target="header5.xml"/><Relationship Id="rId49" Type="http://schemas.openxmlformats.org/officeDocument/2006/relationships/chart" Target="charts/chart15.xml"/><Relationship Id="rId114" Type="http://schemas.openxmlformats.org/officeDocument/2006/relationships/chart" Target="charts/chart38.xml"/><Relationship Id="rId119" Type="http://schemas.openxmlformats.org/officeDocument/2006/relationships/hyperlink" Target="consultantplus://offline/ref=3E1BE820DC37BAD4FCD0CD6F62ACC8C32F346B985EB4A6947B3C569DB408E76274072E222E038594255D841C5AN2U6F" TargetMode="External"/><Relationship Id="rId44" Type="http://schemas.openxmlformats.org/officeDocument/2006/relationships/chart" Target="charts/chart10.xml"/><Relationship Id="rId60" Type="http://schemas.openxmlformats.org/officeDocument/2006/relationships/chart" Target="charts/chart20.xml"/><Relationship Id="rId65" Type="http://schemas.openxmlformats.org/officeDocument/2006/relationships/chart" Target="charts/chart23.xml"/><Relationship Id="rId81" Type="http://schemas.openxmlformats.org/officeDocument/2006/relationships/chart" Target="charts/chart26.xml"/><Relationship Id="rId86" Type="http://schemas.openxmlformats.org/officeDocument/2006/relationships/chart" Target="charts/chart31.xml"/><Relationship Id="rId130" Type="http://schemas.openxmlformats.org/officeDocument/2006/relationships/image" Target="media/image26.png"/><Relationship Id="rId135" Type="http://schemas.openxmlformats.org/officeDocument/2006/relationships/image" Target="media/image31.png"/><Relationship Id="rId151" Type="http://schemas.openxmlformats.org/officeDocument/2006/relationships/image" Target="media/image42.png"/><Relationship Id="rId156" Type="http://schemas.openxmlformats.org/officeDocument/2006/relationships/glossaryDocument" Target="glossary/document.xml"/><Relationship Id="rId13" Type="http://schemas.openxmlformats.org/officeDocument/2006/relationships/header" Target="header1.xml"/><Relationship Id="rId18" Type="http://schemas.openxmlformats.org/officeDocument/2006/relationships/image" Target="media/image2.png"/><Relationship Id="rId39" Type="http://schemas.openxmlformats.org/officeDocument/2006/relationships/chart" Target="charts/chart9.xml"/><Relationship Id="rId109" Type="http://schemas.openxmlformats.org/officeDocument/2006/relationships/hyperlink" Target="mailto:info@b1.ru" TargetMode="External"/><Relationship Id="rId34" Type="http://schemas.openxmlformats.org/officeDocument/2006/relationships/chart" Target="charts/chart4.xml"/><Relationship Id="rId50" Type="http://schemas.openxmlformats.org/officeDocument/2006/relationships/chart" Target="charts/chart16.xml"/><Relationship Id="rId55" Type="http://schemas.openxmlformats.org/officeDocument/2006/relationships/hyperlink" Target="https://&#1087;&#1086;&#1088;&#1090;&#1072;&#1083;-&#1090;&#1087;.&#1088;&#1092;/" TargetMode="External"/><Relationship Id="rId76" Type="http://schemas.openxmlformats.org/officeDocument/2006/relationships/image" Target="media/image15.emf"/><Relationship Id="rId97" Type="http://schemas.openxmlformats.org/officeDocument/2006/relationships/image" Target="media/image23.png"/><Relationship Id="rId104" Type="http://schemas.openxmlformats.org/officeDocument/2006/relationships/hyperlink" Target="http://www.mrsk-yuga.ru/files/file/site/aud_novred.pdf" TargetMode="External"/><Relationship Id="rId120" Type="http://schemas.openxmlformats.org/officeDocument/2006/relationships/hyperlink" Target="consultantplus://offline/ref=3E1BE820DC37BAD4FCD0CD6F62ACC8C32F346B985EB4A6947B3C569DB408E76274072E222E038594255D841C5AN2U6F" TargetMode="External"/><Relationship Id="rId125" Type="http://schemas.openxmlformats.org/officeDocument/2006/relationships/hyperlink" Target="consultantplus://offline/ref=3E1BE820DC37BAD4FCD0CD6F62ACC8C32F346B985EB4A6947B3C569DB408E76274072E222E038594255D841C5AN2U6F" TargetMode="External"/><Relationship Id="rId141" Type="http://schemas.openxmlformats.org/officeDocument/2006/relationships/image" Target="media/image37.png"/><Relationship Id="rId146" Type="http://schemas.openxmlformats.org/officeDocument/2006/relationships/hyperlink" Target="http://www.nts-ees.ru/pravo-dostupa-k-rezultatam-rabot-vypolnennyh-po-zakazu-chlenov-partnerstva" TargetMode="External"/><Relationship Id="rId7" Type="http://schemas.openxmlformats.org/officeDocument/2006/relationships/endnotes" Target="endnotes.xml"/><Relationship Id="rId71" Type="http://schemas.openxmlformats.org/officeDocument/2006/relationships/chart" Target="charts/chart24.xml"/><Relationship Id="rId92" Type="http://schemas.openxmlformats.org/officeDocument/2006/relationships/image" Target="media/image20.png"/><Relationship Id="rId2" Type="http://schemas.openxmlformats.org/officeDocument/2006/relationships/numbering" Target="numbering.xml"/><Relationship Id="rId29" Type="http://schemas.openxmlformats.org/officeDocument/2006/relationships/footer" Target="footer3.xml"/><Relationship Id="rId24" Type="http://schemas.openxmlformats.org/officeDocument/2006/relationships/image" Target="media/image8.png"/><Relationship Id="rId40" Type="http://schemas.openxmlformats.org/officeDocument/2006/relationships/header" Target="header6.xml"/><Relationship Id="rId45" Type="http://schemas.openxmlformats.org/officeDocument/2006/relationships/chart" Target="charts/chart11.xml"/><Relationship Id="rId66" Type="http://schemas.openxmlformats.org/officeDocument/2006/relationships/diagramData" Target="diagrams/data1.xml"/><Relationship Id="rId87" Type="http://schemas.openxmlformats.org/officeDocument/2006/relationships/hyperlink" Target="https://ru.wikipedia.org/wiki/%D0%93%D0%B8%D0%B1%D0%BA%D0%B8%D0%B5_%D0%BD%D0%B0%D0%B2%D1%8B%D0%BA%D0%B8" TargetMode="External"/><Relationship Id="rId110" Type="http://schemas.openxmlformats.org/officeDocument/2006/relationships/hyperlink" Target="https://tsatr-audit-services.ru/" TargetMode="External"/><Relationship Id="rId115" Type="http://schemas.openxmlformats.org/officeDocument/2006/relationships/hyperlink" Target="http://www.rosseti-sib.ru" TargetMode="External"/><Relationship Id="rId131" Type="http://schemas.openxmlformats.org/officeDocument/2006/relationships/image" Target="media/image27.png"/><Relationship Id="rId136" Type="http://schemas.openxmlformats.org/officeDocument/2006/relationships/image" Target="media/image32.png"/><Relationship Id="rId157" Type="http://schemas.openxmlformats.org/officeDocument/2006/relationships/theme" Target="theme/theme1.xml"/><Relationship Id="rId61" Type="http://schemas.openxmlformats.org/officeDocument/2006/relationships/hyperlink" Target="https://&#1089;&#1074;&#1077;&#1090;&#1083;&#1072;&#1103;&#1089;&#1090;&#1088;&#1072;&#1085;&#1072;.&#1088;&#1092;" TargetMode="External"/><Relationship Id="rId82" Type="http://schemas.openxmlformats.org/officeDocument/2006/relationships/chart" Target="charts/chart27.xml"/><Relationship Id="rId152" Type="http://schemas.openxmlformats.org/officeDocument/2006/relationships/image" Target="media/image43.png"/><Relationship Id="rId19" Type="http://schemas.openxmlformats.org/officeDocument/2006/relationships/image" Target="media/image3.png"/><Relationship Id="rId14" Type="http://schemas.openxmlformats.org/officeDocument/2006/relationships/header" Target="header2.xml"/><Relationship Id="rId30" Type="http://schemas.openxmlformats.org/officeDocument/2006/relationships/footer" Target="footer4.xml"/><Relationship Id="rId35" Type="http://schemas.openxmlformats.org/officeDocument/2006/relationships/chart" Target="charts/chart5.xml"/><Relationship Id="rId56" Type="http://schemas.openxmlformats.org/officeDocument/2006/relationships/hyperlink" Target="https://&#1087;&#1086;&#1088;&#1090;&#1072;&#1083;-&#1090;&#1087;.&#1088;&#1092;/" TargetMode="External"/><Relationship Id="rId77" Type="http://schemas.openxmlformats.org/officeDocument/2006/relationships/image" Target="media/image16.emf"/><Relationship Id="rId100" Type="http://schemas.openxmlformats.org/officeDocument/2006/relationships/footer" Target="footer10.xml"/><Relationship Id="rId105" Type="http://schemas.openxmlformats.org/officeDocument/2006/relationships/hyperlink" Target="http://www.mrsk-yuga.ru/files/file/site/aud_novred.pdf" TargetMode="External"/><Relationship Id="rId126" Type="http://schemas.openxmlformats.org/officeDocument/2006/relationships/hyperlink" Target="consultantplus://offline/ref=3E1BE820DC37BAD4FCD0CD6F62ACC8C32F346B985EB4A6947B3C569DB408E76274072E222E038594255D841C5AN2U6F" TargetMode="External"/><Relationship Id="rId147" Type="http://schemas.openxmlformats.org/officeDocument/2006/relationships/hyperlink" Target="http://www.nts-ees.ru/zashchita-interesov-chlenov-partnerstva-v-federalnom-sobranii-gosudarstvennyh-federalnyh-i" TargetMode="External"/><Relationship Id="rId8" Type="http://schemas.openxmlformats.org/officeDocument/2006/relationships/hyperlink" Target="mailto:info@rosseti-sib.ru" TargetMode="External"/><Relationship Id="rId51" Type="http://schemas.openxmlformats.org/officeDocument/2006/relationships/header" Target="header7.xml"/><Relationship Id="rId72" Type="http://schemas.openxmlformats.org/officeDocument/2006/relationships/chart" Target="charts/chart25.xml"/><Relationship Id="rId93" Type="http://schemas.openxmlformats.org/officeDocument/2006/relationships/hyperlink" Target="http://www.rosseti-sib.ru" TargetMode="External"/><Relationship Id="rId98" Type="http://schemas.openxmlformats.org/officeDocument/2006/relationships/header" Target="header8.xml"/><Relationship Id="rId121" Type="http://schemas.openxmlformats.org/officeDocument/2006/relationships/hyperlink" Target="consultantplus://offline/ref=3E1BE820DC37BAD4FCD0CD6F62ACC8C32F346B985EB4A6947B3C569DB408E76274072E222E038594255D841C5AN2U6F" TargetMode="External"/><Relationship Id="rId142" Type="http://schemas.openxmlformats.org/officeDocument/2006/relationships/image" Target="media/image38.png"/><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chart" Target="charts/chart12.xml"/><Relationship Id="rId67" Type="http://schemas.openxmlformats.org/officeDocument/2006/relationships/diagramLayout" Target="diagrams/layout1.xml"/><Relationship Id="rId116" Type="http://schemas.openxmlformats.org/officeDocument/2006/relationships/hyperlink" Target="https://e-disclosure.ru/portal/company.aspx?id=12072" TargetMode="External"/><Relationship Id="rId137" Type="http://schemas.openxmlformats.org/officeDocument/2006/relationships/image" Target="media/image33.png"/><Relationship Id="rId20" Type="http://schemas.openxmlformats.org/officeDocument/2006/relationships/image" Target="media/image4.png"/><Relationship Id="rId41" Type="http://schemas.openxmlformats.org/officeDocument/2006/relationships/footer" Target="footer5.xml"/><Relationship Id="rId62" Type="http://schemas.openxmlformats.org/officeDocument/2006/relationships/hyperlink" Target="http://www.mrsk-sib.ru" TargetMode="External"/><Relationship Id="rId83" Type="http://schemas.openxmlformats.org/officeDocument/2006/relationships/chart" Target="charts/chart28.xml"/><Relationship Id="rId88" Type="http://schemas.openxmlformats.org/officeDocument/2006/relationships/chart" Target="charts/chart32.xml"/><Relationship Id="rId111" Type="http://schemas.openxmlformats.org/officeDocument/2006/relationships/hyperlink" Target="https://tsatr-audit-services.ru/" TargetMode="External"/><Relationship Id="rId132" Type="http://schemas.openxmlformats.org/officeDocument/2006/relationships/image" Target="media/image28.png"/><Relationship Id="rId153" Type="http://schemas.openxmlformats.org/officeDocument/2006/relationships/image" Target="media/image44.png"/><Relationship Id="rId15" Type="http://schemas.openxmlformats.org/officeDocument/2006/relationships/footer" Target="footer1.xml"/><Relationship Id="rId36" Type="http://schemas.openxmlformats.org/officeDocument/2006/relationships/chart" Target="charts/chart6.xml"/><Relationship Id="rId57" Type="http://schemas.openxmlformats.org/officeDocument/2006/relationships/chart" Target="charts/chart17.xml"/><Relationship Id="rId106" Type="http://schemas.openxmlformats.org/officeDocument/2006/relationships/hyperlink" Target="http://www.mrsk-yuga.ru/files/file/site/aud_novred.pdf" TargetMode="External"/><Relationship Id="rId127" Type="http://schemas.openxmlformats.org/officeDocument/2006/relationships/hyperlink" Target="consultantplus://offline/ref=3E1BE820DC37BAD4FCD0CD6F62ACC8C32F346B985EB4A6947B3C569DB408E76274072E222E038594255D841C5AN2U6F" TargetMode="External"/><Relationship Id="rId10" Type="http://schemas.openxmlformats.org/officeDocument/2006/relationships/hyperlink" Target="http://www.e-disclosure.ru/portal/company.aspx?id=12072" TargetMode="External"/><Relationship Id="rId31" Type="http://schemas.openxmlformats.org/officeDocument/2006/relationships/chart" Target="charts/chart1.xml"/><Relationship Id="rId52" Type="http://schemas.openxmlformats.org/officeDocument/2006/relationships/footer" Target="footer7.xml"/><Relationship Id="rId73" Type="http://schemas.openxmlformats.org/officeDocument/2006/relationships/image" Target="media/image12.png"/><Relationship Id="rId78" Type="http://schemas.openxmlformats.org/officeDocument/2006/relationships/image" Target="media/image17.emf"/><Relationship Id="rId94" Type="http://schemas.openxmlformats.org/officeDocument/2006/relationships/hyperlink" Target="https://education.rosseti.ru" TargetMode="External"/><Relationship Id="rId99" Type="http://schemas.openxmlformats.org/officeDocument/2006/relationships/footer" Target="footer9.xml"/><Relationship Id="rId101" Type="http://schemas.openxmlformats.org/officeDocument/2006/relationships/chart" Target="charts/chart35.xml"/><Relationship Id="rId122" Type="http://schemas.openxmlformats.org/officeDocument/2006/relationships/hyperlink" Target="consultantplus://offline/ref=3E1BE820DC37BAD4FCD0CD6F62ACC8C32F346B985EB4A6947B3C569DB408E76274072E222E038594255D841C5AN2U6F" TargetMode="External"/><Relationship Id="rId143" Type="http://schemas.openxmlformats.org/officeDocument/2006/relationships/image" Target="media/image39.png"/><Relationship Id="rId148" Type="http://schemas.openxmlformats.org/officeDocument/2006/relationships/hyperlink" Target="http://www.energy-alttpp.ru/about/partners/services/" TargetMode="External"/><Relationship Id="rId4" Type="http://schemas.openxmlformats.org/officeDocument/2006/relationships/settings" Target="settings.xml"/><Relationship Id="rId9" Type="http://schemas.openxmlformats.org/officeDocument/2006/relationships/hyperlink" Target="https://rosseti-sib.ru/" TargetMode="External"/><Relationship Id="rId26" Type="http://schemas.openxmlformats.org/officeDocument/2006/relationships/image" Target="media/image10.png"/><Relationship Id="rId47" Type="http://schemas.openxmlformats.org/officeDocument/2006/relationships/chart" Target="charts/chart13.xml"/><Relationship Id="rId68" Type="http://schemas.openxmlformats.org/officeDocument/2006/relationships/diagramQuickStyle" Target="diagrams/quickStyle1.xml"/><Relationship Id="rId89" Type="http://schemas.openxmlformats.org/officeDocument/2006/relationships/chart" Target="charts/chart33.xml"/><Relationship Id="rId112" Type="http://schemas.openxmlformats.org/officeDocument/2006/relationships/chart" Target="charts/chart36.xml"/><Relationship Id="rId133" Type="http://schemas.openxmlformats.org/officeDocument/2006/relationships/image" Target="media/image29.png"/><Relationship Id="rId154" Type="http://schemas.openxmlformats.org/officeDocument/2006/relationships/image" Target="media/image45.png"/><Relationship Id="rId16" Type="http://schemas.openxmlformats.org/officeDocument/2006/relationships/header" Target="header3.xml"/><Relationship Id="rId37" Type="http://schemas.openxmlformats.org/officeDocument/2006/relationships/chart" Target="charts/chart7.xml"/><Relationship Id="rId58" Type="http://schemas.openxmlformats.org/officeDocument/2006/relationships/chart" Target="charts/chart18.xml"/><Relationship Id="rId79" Type="http://schemas.openxmlformats.org/officeDocument/2006/relationships/image" Target="media/image18.png"/><Relationship Id="rId102" Type="http://schemas.openxmlformats.org/officeDocument/2006/relationships/hyperlink" Target="http://www.mrsk-yuga.ru/files/file/site/aud_novred.pdf" TargetMode="External"/><Relationship Id="rId123" Type="http://schemas.openxmlformats.org/officeDocument/2006/relationships/hyperlink" Target="consultantplus://offline/ref=3E1BE820DC37BAD4FCD0CD6F62ACC8C32F346B985EB4A6947B3C569DB408E76274072E222E038594255D841C5AN2U6F" TargetMode="External"/><Relationship Id="rId144" Type="http://schemas.openxmlformats.org/officeDocument/2006/relationships/image" Target="media/image40.png"/><Relationship Id="rId90" Type="http://schemas.openxmlformats.org/officeDocument/2006/relationships/hyperlink" Target="consultantplus://offline/ref=DD1835718DDD0F9E4928D8735DE47D09B9219950DA07709839A94C9C316966E53542A0900E35FB1BC1B74096285FB612E8ED1747746F21A0s4hCI" TargetMode="External"/><Relationship Id="rId27" Type="http://schemas.openxmlformats.org/officeDocument/2006/relationships/header" Target="header4.xml"/><Relationship Id="rId48" Type="http://schemas.openxmlformats.org/officeDocument/2006/relationships/chart" Target="charts/chart14.xml"/><Relationship Id="rId69" Type="http://schemas.openxmlformats.org/officeDocument/2006/relationships/diagramColors" Target="diagrams/colors1.xml"/><Relationship Id="rId113" Type="http://schemas.openxmlformats.org/officeDocument/2006/relationships/chart" Target="charts/chart37.xml"/><Relationship Id="rId134" Type="http://schemas.openxmlformats.org/officeDocument/2006/relationships/image" Target="media/image30.png"/></Relationships>
</file>

<file path=word/_rels/footnotes.xml.rels><?xml version="1.0" encoding="UTF-8" standalone="yes"?>
<Relationships xmlns="http://schemas.openxmlformats.org/package/2006/relationships"><Relationship Id="rId2" Type="http://schemas.openxmlformats.org/officeDocument/2006/relationships/hyperlink" Target="https://www.rosseti-sib.ru/shareholders_and_investors/korporativnoe-upravlenie/vnutrennie-dokumenty/" TargetMode="External"/><Relationship Id="rId1" Type="http://schemas.openxmlformats.org/officeDocument/2006/relationships/hyperlink" Target="https://www.rosseti-sib.ru/shareholders_and_investors/korporativnoe-upravlenie/vnutrennie-dokumenty/"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2.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3.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4.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5.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6.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7.xml"/></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20.xlsx"/><Relationship Id="rId1" Type="http://schemas.openxmlformats.org/officeDocument/2006/relationships/themeOverride" Target="../theme/themeOverride8.xml"/></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21.xlsx"/></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22.xlsx"/><Relationship Id="rId1" Type="http://schemas.openxmlformats.org/officeDocument/2006/relationships/themeOverride" Target="../theme/themeOverride9.xml"/></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Excel24.xlsx"/><Relationship Id="rId1" Type="http://schemas.openxmlformats.org/officeDocument/2006/relationships/themeOverride" Target="../theme/themeOverride10.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Excel25.xlsx"/><Relationship Id="rId1" Type="http://schemas.openxmlformats.org/officeDocument/2006/relationships/themeOverride" Target="../theme/themeOverride11.xml"/></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Excel31.xlsx"/><Relationship Id="rId1" Type="http://schemas.openxmlformats.org/officeDocument/2006/relationships/themeOverride" Target="../theme/themeOverride1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Excel32.xlsx"/><Relationship Id="rId1" Type="http://schemas.openxmlformats.org/officeDocument/2006/relationships/themeOverride" Target="../theme/themeOverride1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33.xlsx"/><Relationship Id="rId1" Type="http://schemas.openxmlformats.org/officeDocument/2006/relationships/themeOverride" Target="../theme/themeOverride14.xml"/></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34.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35.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Excel36.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37.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spc="0">
                <a:solidFill>
                  <a:schemeClr val="tx1">
                    <a:lumMod val="65000"/>
                    <a:lumOff val="35000"/>
                  </a:schemeClr>
                </a:solidFill>
                <a:latin typeface="+mn-lt"/>
                <a:ea typeface="+mn-ea"/>
                <a:cs typeface="+mn-cs"/>
              </a:defRPr>
            </a:pPr>
            <a:r>
              <a:rPr lang="ru-RU" sz="1100">
                <a:latin typeface="Times New Roman"/>
                <a:cs typeface="Times New Roman"/>
              </a:rPr>
              <a:t>Выручка, чистая прибыль, млн. руб.</a:t>
            </a:r>
            <a:endParaRPr lang="ru-RU"/>
          </a:p>
        </c:rich>
      </c:tx>
      <c:layout>
        <c:manualLayout>
          <c:xMode val="edge"/>
          <c:yMode val="edge"/>
          <c:x val="0.24456"/>
          <c:y val="5.3330000000000002E-2"/>
        </c:manualLayout>
      </c:layout>
      <c:overlay val="0"/>
      <c:spPr>
        <a:prstGeom prst="rect">
          <a:avLst/>
        </a:prstGeom>
        <a:noFill/>
        <a:ln>
          <a:noFill/>
        </a:ln>
        <a:effectLst/>
      </c:spPr>
    </c:title>
    <c:autoTitleDeleted val="0"/>
    <c:plotArea>
      <c:layout>
        <c:manualLayout>
          <c:layoutTarget val="inner"/>
          <c:xMode val="edge"/>
          <c:yMode val="edge"/>
          <c:x val="0.13442999999999999"/>
          <c:y val="0.21861"/>
          <c:w val="0.82662999999999998"/>
          <c:h val="0.57835000000000003"/>
        </c:manualLayout>
      </c:layout>
      <c:barChart>
        <c:barDir val="col"/>
        <c:grouping val="clustered"/>
        <c:varyColors val="0"/>
        <c:ser>
          <c:idx val="0"/>
          <c:order val="0"/>
          <c:tx>
            <c:strRef>
              <c:f>Лист1!$A$2</c:f>
              <c:strCache>
                <c:ptCount val="1"/>
                <c:pt idx="0">
                  <c:v>Выручка</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Лист1!$B$1:$D$1</c:f>
              <c:strCache>
                <c:ptCount val="3"/>
                <c:pt idx="0">
                  <c:v>2022 г.</c:v>
                </c:pt>
                <c:pt idx="1">
                  <c:v>2023 г.</c:v>
                </c:pt>
                <c:pt idx="2">
                  <c:v>2024 г.</c:v>
                </c:pt>
              </c:strCache>
            </c:strRef>
          </c:cat>
          <c:val>
            <c:numRef>
              <c:f>Лист1!$B$2:$D$2</c:f>
              <c:numCache>
                <c:formatCode>#,##0</c:formatCode>
                <c:ptCount val="3"/>
                <c:pt idx="0">
                  <c:v>64629.1</c:v>
                </c:pt>
                <c:pt idx="1">
                  <c:v>69232</c:v>
                </c:pt>
                <c:pt idx="2">
                  <c:v>77875</c:v>
                </c:pt>
              </c:numCache>
            </c:numRef>
          </c:val>
          <c:extLst>
            <c:ext xmlns:c16="http://schemas.microsoft.com/office/drawing/2014/chart" uri="{C3380CC4-5D6E-409C-BE32-E72D297353CC}">
              <c16:uniqueId val="{00000000-804A-480E-953A-981AE9DAB65F}"/>
            </c:ext>
          </c:extLst>
        </c:ser>
        <c:ser>
          <c:idx val="1"/>
          <c:order val="1"/>
          <c:tx>
            <c:strRef>
              <c:f>Лист1!$A$3</c:f>
              <c:strCache>
                <c:ptCount val="1"/>
                <c:pt idx="0">
                  <c:v>Прибыль</c:v>
                </c:pt>
              </c:strCache>
            </c:strRef>
          </c:tx>
          <c:spPr>
            <a:prstGeom prst="rect">
              <a:avLst/>
            </a:prstGeom>
            <a:solidFill>
              <a:schemeClr val="accent2"/>
            </a:solidFill>
            <a:ln>
              <a:noFill/>
            </a:ln>
            <a:effectLst/>
          </c:spPr>
          <c:invertIfNegative val="0"/>
          <c:dLbls>
            <c:dLbl>
              <c:idx val="0"/>
              <c:layout>
                <c:manualLayout>
                  <c:x val="5.5149999999999998E-2"/>
                  <c:y val="0.10181"/>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04A-480E-953A-981AE9DAB65F}"/>
                </c:ext>
              </c:extLst>
            </c:dLbl>
            <c:dLbl>
              <c:idx val="2"/>
              <c:layout>
                <c:manualLayout>
                  <c:x val="6.4879999999999993E-2"/>
                  <c:y val="0.12121"/>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04A-480E-953A-981AE9DAB65F}"/>
                </c:ext>
              </c:extLst>
            </c:dLbl>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Лист1!$B$1:$D$1</c:f>
              <c:strCache>
                <c:ptCount val="3"/>
                <c:pt idx="0">
                  <c:v>2022 г.</c:v>
                </c:pt>
                <c:pt idx="1">
                  <c:v>2023 г.</c:v>
                </c:pt>
                <c:pt idx="2">
                  <c:v>2024 г.</c:v>
                </c:pt>
              </c:strCache>
            </c:strRef>
          </c:cat>
          <c:val>
            <c:numRef>
              <c:f>Лист1!$B$3:$D$3</c:f>
              <c:numCache>
                <c:formatCode>#,##0</c:formatCode>
                <c:ptCount val="3"/>
                <c:pt idx="0">
                  <c:v>-207</c:v>
                </c:pt>
                <c:pt idx="1">
                  <c:v>-729</c:v>
                </c:pt>
                <c:pt idx="2">
                  <c:v>-696</c:v>
                </c:pt>
              </c:numCache>
            </c:numRef>
          </c:val>
          <c:extLst>
            <c:ext xmlns:c16="http://schemas.microsoft.com/office/drawing/2014/chart" uri="{C3380CC4-5D6E-409C-BE32-E72D297353CC}">
              <c16:uniqueId val="{00000003-804A-480E-953A-981AE9DAB65F}"/>
            </c:ext>
          </c:extLst>
        </c:ser>
        <c:dLbls>
          <c:showLegendKey val="0"/>
          <c:showVal val="0"/>
          <c:showCatName val="0"/>
          <c:showSerName val="0"/>
          <c:showPercent val="0"/>
          <c:showBubbleSize val="0"/>
        </c:dLbls>
        <c:gapWidth val="219"/>
        <c:overlap val="-26"/>
        <c:axId val="317953920"/>
        <c:axId val="317955456"/>
      </c:barChart>
      <c:catAx>
        <c:axId val="317953920"/>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7955456"/>
        <c:crosses val="autoZero"/>
        <c:auto val="1"/>
        <c:lblAlgn val="ctr"/>
        <c:lblOffset val="100"/>
        <c:noMultiLvlLbl val="0"/>
      </c:catAx>
      <c:valAx>
        <c:axId val="317955456"/>
        <c:scaling>
          <c:orientation val="minMax"/>
          <c:min val="-5000"/>
        </c:scaling>
        <c:delete val="0"/>
        <c:axPos val="l"/>
        <c:majorGridlines>
          <c:spPr>
            <a:prstGeom prst="rect">
              <a:avLst/>
            </a:prstGeom>
            <a:ln w="9525" cap="flat" cmpd="sng" algn="ctr">
              <a:solidFill>
                <a:schemeClr val="tx1">
                  <a:lumMod val="15000"/>
                  <a:lumOff val="85000"/>
                </a:schemeClr>
              </a:solidFill>
              <a:round/>
            </a:ln>
            <a:effectLst/>
          </c:spPr>
        </c:majorGridlines>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7953920"/>
        <c:crosses val="autoZero"/>
        <c:crossBetween val="between"/>
      </c:valAx>
      <c:spPr>
        <a:prstGeom prst="rect">
          <a:avLst/>
        </a:prstGeom>
        <a:noFill/>
        <a:ln>
          <a:noFill/>
        </a:ln>
        <a:effectLst/>
      </c:spPr>
    </c:plotArea>
    <c:legend>
      <c:legendPos val="b"/>
      <c:layout/>
      <c:overlay val="0"/>
      <c:spPr>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6430000000000007E-2"/>
          <c:y val="3.1640000000000001E-2"/>
          <c:w val="0.88710999999999995"/>
          <c:h val="0.78156999999999999"/>
        </c:manualLayout>
      </c:layout>
      <c:barChart>
        <c:barDir val="col"/>
        <c:grouping val="stacked"/>
        <c:varyColors val="0"/>
        <c:ser>
          <c:idx val="0"/>
          <c:order val="0"/>
          <c:tx>
            <c:strRef>
              <c:f>Страница1_1!$L$8</c:f>
              <c:strCache>
                <c:ptCount val="1"/>
                <c:pt idx="0">
                  <c:v>от 5 до 35 лет</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Страница1_1!$K$9:$K$11</c:f>
              <c:numCache>
                <c:formatCode>General</c:formatCode>
                <c:ptCount val="3"/>
                <c:pt idx="0">
                  <c:v>2024</c:v>
                </c:pt>
                <c:pt idx="1">
                  <c:v>2023</c:v>
                </c:pt>
                <c:pt idx="2">
                  <c:v>2022</c:v>
                </c:pt>
              </c:numCache>
            </c:numRef>
          </c:cat>
          <c:val>
            <c:numRef>
              <c:f>Страница1_1!$L$9:$L$11</c:f>
              <c:numCache>
                <c:formatCode>0.0%</c:formatCode>
                <c:ptCount val="3"/>
                <c:pt idx="0">
                  <c:v>0.39400000000000002</c:v>
                </c:pt>
                <c:pt idx="1">
                  <c:v>0.40354816183295178</c:v>
                </c:pt>
                <c:pt idx="2">
                  <c:v>0.436</c:v>
                </c:pt>
              </c:numCache>
            </c:numRef>
          </c:val>
          <c:extLst>
            <c:ext xmlns:c16="http://schemas.microsoft.com/office/drawing/2014/chart" uri="{C3380CC4-5D6E-409C-BE32-E72D297353CC}">
              <c16:uniqueId val="{00000000-AB03-4C76-BCA4-C6EC1FB43C42}"/>
            </c:ext>
          </c:extLst>
        </c:ser>
        <c:ser>
          <c:idx val="1"/>
          <c:order val="1"/>
          <c:tx>
            <c:strRef>
              <c:f>Страница1_1!$M$8</c:f>
              <c:strCache>
                <c:ptCount val="1"/>
                <c:pt idx="0">
                  <c:v>от 35 до 53 лет</c:v>
                </c:pt>
              </c:strCache>
            </c:strRef>
          </c:tx>
          <c:spPr>
            <a:prstGeom prst="rect">
              <a:avLst/>
            </a:prstGeom>
            <a:solidFill>
              <a:schemeClr val="accent2"/>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Страница1_1!$K$9:$K$11</c:f>
              <c:numCache>
                <c:formatCode>General</c:formatCode>
                <c:ptCount val="3"/>
                <c:pt idx="0">
                  <c:v>2024</c:v>
                </c:pt>
                <c:pt idx="1">
                  <c:v>2023</c:v>
                </c:pt>
                <c:pt idx="2">
                  <c:v>2022</c:v>
                </c:pt>
              </c:numCache>
            </c:numRef>
          </c:cat>
          <c:val>
            <c:numRef>
              <c:f>Страница1_1!$M$9:$M$11</c:f>
              <c:numCache>
                <c:formatCode>0.0%</c:formatCode>
                <c:ptCount val="3"/>
                <c:pt idx="0">
                  <c:v>0.45600000000000002</c:v>
                </c:pt>
                <c:pt idx="1">
                  <c:v>0.46742214639924334</c:v>
                </c:pt>
                <c:pt idx="2">
                  <c:v>0.39500000000000002</c:v>
                </c:pt>
              </c:numCache>
            </c:numRef>
          </c:val>
          <c:extLst>
            <c:ext xmlns:c16="http://schemas.microsoft.com/office/drawing/2014/chart" uri="{C3380CC4-5D6E-409C-BE32-E72D297353CC}">
              <c16:uniqueId val="{00000001-AB03-4C76-BCA4-C6EC1FB43C42}"/>
            </c:ext>
          </c:extLst>
        </c:ser>
        <c:ser>
          <c:idx val="2"/>
          <c:order val="2"/>
          <c:tx>
            <c:strRef>
              <c:f>Страница1_1!$N$8</c:f>
              <c:strCache>
                <c:ptCount val="1"/>
                <c:pt idx="0">
                  <c:v>от 53 до 70 лет</c:v>
                </c:pt>
              </c:strCache>
            </c:strRef>
          </c:tx>
          <c:spPr>
            <a:prstGeom prst="rect">
              <a:avLst/>
            </a:prstGeom>
            <a:solidFill>
              <a:schemeClr val="accent3"/>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Страница1_1!$K$9:$K$11</c:f>
              <c:numCache>
                <c:formatCode>General</c:formatCode>
                <c:ptCount val="3"/>
                <c:pt idx="0">
                  <c:v>2024</c:v>
                </c:pt>
                <c:pt idx="1">
                  <c:v>2023</c:v>
                </c:pt>
                <c:pt idx="2">
                  <c:v>2022</c:v>
                </c:pt>
              </c:numCache>
            </c:numRef>
          </c:cat>
          <c:val>
            <c:numRef>
              <c:f>Страница1_1!$N$9:$N$11</c:f>
              <c:numCache>
                <c:formatCode>0.0%</c:formatCode>
                <c:ptCount val="3"/>
                <c:pt idx="0">
                  <c:v>0.13900000000000001</c:v>
                </c:pt>
                <c:pt idx="1">
                  <c:v>0.12231169726595302</c:v>
                </c:pt>
                <c:pt idx="2">
                  <c:v>9.0999999999999998E-2</c:v>
                </c:pt>
              </c:numCache>
            </c:numRef>
          </c:val>
          <c:extLst>
            <c:ext xmlns:c16="http://schemas.microsoft.com/office/drawing/2014/chart" uri="{C3380CC4-5D6E-409C-BE32-E72D297353CC}">
              <c16:uniqueId val="{00000002-AB03-4C76-BCA4-C6EC1FB43C42}"/>
            </c:ext>
          </c:extLst>
        </c:ser>
        <c:ser>
          <c:idx val="3"/>
          <c:order val="3"/>
          <c:tx>
            <c:strRef>
              <c:f>Страница1_1!$O$8</c:f>
              <c:strCache>
                <c:ptCount val="1"/>
                <c:pt idx="0">
                  <c:v>свыше 70 лет</c:v>
                </c:pt>
              </c:strCache>
            </c:strRef>
          </c:tx>
          <c:spPr>
            <a:prstGeom prst="rect">
              <a:avLst/>
            </a:prstGeom>
            <a:solidFill>
              <a:schemeClr val="accent4"/>
            </a:solidFill>
            <a:ln>
              <a:noFill/>
            </a:ln>
            <a:effectLst/>
          </c:spPr>
          <c:invertIfNegative val="0"/>
          <c:dLbls>
            <c:dLbl>
              <c:idx val="0"/>
              <c:layout>
                <c:manualLayout>
                  <c:x val="0"/>
                  <c:y val="-4.1660000000000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03-4C76-BCA4-C6EC1FB43C42}"/>
                </c:ext>
              </c:extLst>
            </c:dLbl>
            <c:dLbl>
              <c:idx val="1"/>
              <c:layout>
                <c:manualLayout>
                  <c:x val="-2.7699999999999999E-3"/>
                  <c:y val="-5.5550000000000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B03-4C76-BCA4-C6EC1FB43C42}"/>
                </c:ext>
              </c:extLst>
            </c:dLbl>
            <c:dLbl>
              <c:idx val="2"/>
              <c:layout>
                <c:manualLayout>
                  <c:x val="0"/>
                  <c:y val="-4.9079999999999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B03-4C76-BCA4-C6EC1FB43C42}"/>
                </c:ext>
              </c:extLst>
            </c:dLbl>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Страница1_1!$K$9:$K$11</c:f>
              <c:numCache>
                <c:formatCode>General</c:formatCode>
                <c:ptCount val="3"/>
                <c:pt idx="0">
                  <c:v>2024</c:v>
                </c:pt>
                <c:pt idx="1">
                  <c:v>2023</c:v>
                </c:pt>
                <c:pt idx="2">
                  <c:v>2022</c:v>
                </c:pt>
              </c:numCache>
            </c:numRef>
          </c:cat>
          <c:val>
            <c:numRef>
              <c:f>Страница1_1!$O$9:$O$11</c:f>
              <c:numCache>
                <c:formatCode>0.0%</c:formatCode>
                <c:ptCount val="3"/>
                <c:pt idx="0">
                  <c:v>1.2E-2</c:v>
                </c:pt>
                <c:pt idx="1">
                  <c:v>6.7179945018518679E-3</c:v>
                </c:pt>
                <c:pt idx="2">
                  <c:v>7.8E-2</c:v>
                </c:pt>
              </c:numCache>
            </c:numRef>
          </c:val>
          <c:extLst>
            <c:ext xmlns:c16="http://schemas.microsoft.com/office/drawing/2014/chart" uri="{C3380CC4-5D6E-409C-BE32-E72D297353CC}">
              <c16:uniqueId val="{00000006-AB03-4C76-BCA4-C6EC1FB43C42}"/>
            </c:ext>
          </c:extLst>
        </c:ser>
        <c:dLbls>
          <c:showLegendKey val="0"/>
          <c:showVal val="0"/>
          <c:showCatName val="0"/>
          <c:showSerName val="0"/>
          <c:showPercent val="0"/>
          <c:showBubbleSize val="0"/>
        </c:dLbls>
        <c:gapWidth val="150"/>
        <c:overlap val="100"/>
        <c:axId val="318963712"/>
        <c:axId val="318965248"/>
      </c:barChart>
      <c:catAx>
        <c:axId val="318963712"/>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965248"/>
        <c:crosses val="autoZero"/>
        <c:auto val="1"/>
        <c:lblAlgn val="ctr"/>
        <c:lblOffset val="100"/>
        <c:noMultiLvlLbl val="0"/>
      </c:catAx>
      <c:valAx>
        <c:axId val="318965248"/>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963712"/>
        <c:crosses val="autoZero"/>
        <c:crossBetween val="between"/>
      </c:valAx>
      <c:spPr>
        <a:prstGeom prst="rect">
          <a:avLst/>
        </a:prstGeom>
        <a:noFill/>
        <a:ln>
          <a:noFill/>
        </a:ln>
        <a:effectLst/>
      </c:spPr>
    </c:plotArea>
    <c:legend>
      <c:legendPos val="b"/>
      <c:layout>
        <c:manualLayout>
          <c:xMode val="edge"/>
          <c:yMode val="edge"/>
          <c:x val="0.20047999999999999"/>
          <c:y val="0.91020999999999996"/>
          <c:w val="0.65893000000000002"/>
          <c:h val="8.0930000000000002E-2"/>
        </c:manualLayout>
      </c:layout>
      <c:overlay val="0"/>
      <c:spPr>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Страница1_1!$L$13</c:f>
              <c:strCache>
                <c:ptCount val="1"/>
                <c:pt idx="0">
                  <c:v>2024</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Страница1_1!$H$12:$K$12</c:f>
              <c:strCache>
                <c:ptCount val="4"/>
                <c:pt idx="0">
                  <c:v>от 0 до 25 лет</c:v>
                </c:pt>
                <c:pt idx="1">
                  <c:v>от 25 до 37,5 лет</c:v>
                </c:pt>
                <c:pt idx="2">
                  <c:v>от 37,5 до 50 лет</c:v>
                </c:pt>
                <c:pt idx="3">
                  <c:v>свыше 50 лет</c:v>
                </c:pt>
              </c:strCache>
            </c:strRef>
          </c:cat>
          <c:val>
            <c:numRef>
              <c:f>Страница1_1!$H$13:$K$13</c:f>
              <c:numCache>
                <c:formatCode>0%</c:formatCode>
                <c:ptCount val="4"/>
                <c:pt idx="0">
                  <c:v>5.1695386325736517E-2</c:v>
                </c:pt>
                <c:pt idx="1">
                  <c:v>0.17620900500277933</c:v>
                </c:pt>
                <c:pt idx="2">
                  <c:v>0.41523068371317401</c:v>
                </c:pt>
                <c:pt idx="3">
                  <c:v>0.35686492495831018</c:v>
                </c:pt>
              </c:numCache>
            </c:numRef>
          </c:val>
          <c:extLst>
            <c:ext xmlns:c16="http://schemas.microsoft.com/office/drawing/2014/chart" uri="{C3380CC4-5D6E-409C-BE32-E72D297353CC}">
              <c16:uniqueId val="{00000000-45A4-4532-A96B-A60D1674C2B0}"/>
            </c:ext>
          </c:extLst>
        </c:ser>
        <c:ser>
          <c:idx val="1"/>
          <c:order val="1"/>
          <c:tx>
            <c:strRef>
              <c:f>Страница1_1!$L$14</c:f>
              <c:strCache>
                <c:ptCount val="1"/>
                <c:pt idx="0">
                  <c:v>2023</c:v>
                </c:pt>
              </c:strCache>
            </c:strRef>
          </c:tx>
          <c:spPr>
            <a:prstGeom prst="rect">
              <a:avLst/>
            </a:prstGeom>
            <a:solidFill>
              <a:schemeClr val="accent2"/>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Страница1_1!$H$12:$K$12</c:f>
              <c:strCache>
                <c:ptCount val="4"/>
                <c:pt idx="0">
                  <c:v>от 0 до 25 лет</c:v>
                </c:pt>
                <c:pt idx="1">
                  <c:v>от 25 до 37,5 лет</c:v>
                </c:pt>
                <c:pt idx="2">
                  <c:v>от 37,5 до 50 лет</c:v>
                </c:pt>
                <c:pt idx="3">
                  <c:v>свыше 50 лет</c:v>
                </c:pt>
              </c:strCache>
            </c:strRef>
          </c:cat>
          <c:val>
            <c:numRef>
              <c:f>Страница1_1!$H$14:$K$14</c:f>
              <c:numCache>
                <c:formatCode>0%</c:formatCode>
                <c:ptCount val="4"/>
                <c:pt idx="0">
                  <c:v>5.2280311457174641E-2</c:v>
                </c:pt>
                <c:pt idx="1">
                  <c:v>0.19688542825361513</c:v>
                </c:pt>
                <c:pt idx="2">
                  <c:v>0.40600667408231367</c:v>
                </c:pt>
                <c:pt idx="3">
                  <c:v>0.34482758620689657</c:v>
                </c:pt>
              </c:numCache>
            </c:numRef>
          </c:val>
          <c:extLst>
            <c:ext xmlns:c16="http://schemas.microsoft.com/office/drawing/2014/chart" uri="{C3380CC4-5D6E-409C-BE32-E72D297353CC}">
              <c16:uniqueId val="{00000001-45A4-4532-A96B-A60D1674C2B0}"/>
            </c:ext>
          </c:extLst>
        </c:ser>
        <c:ser>
          <c:idx val="2"/>
          <c:order val="2"/>
          <c:tx>
            <c:strRef>
              <c:f>Страница1_1!$L$15</c:f>
              <c:strCache>
                <c:ptCount val="1"/>
                <c:pt idx="0">
                  <c:v>2022</c:v>
                </c:pt>
              </c:strCache>
            </c:strRef>
          </c:tx>
          <c:spPr>
            <a:prstGeom prst="rect">
              <a:avLst/>
            </a:prstGeom>
            <a:solidFill>
              <a:schemeClr val="accent3"/>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Страница1_1!$H$12:$K$12</c:f>
              <c:strCache>
                <c:ptCount val="4"/>
                <c:pt idx="0">
                  <c:v>от 0 до 25 лет</c:v>
                </c:pt>
                <c:pt idx="1">
                  <c:v>от 25 до 37,5 лет</c:v>
                </c:pt>
                <c:pt idx="2">
                  <c:v>от 37,5 до 50 лет</c:v>
                </c:pt>
                <c:pt idx="3">
                  <c:v>свыше 50 лет</c:v>
                </c:pt>
              </c:strCache>
            </c:strRef>
          </c:cat>
          <c:val>
            <c:numRef>
              <c:f>Страница1_1!$H$15:$K$15</c:f>
              <c:numCache>
                <c:formatCode>0%</c:formatCode>
                <c:ptCount val="4"/>
                <c:pt idx="0">
                  <c:v>5.7254030016675929E-2</c:v>
                </c:pt>
                <c:pt idx="1">
                  <c:v>0.23068371317398556</c:v>
                </c:pt>
                <c:pt idx="2">
                  <c:v>0.40689271817676487</c:v>
                </c:pt>
                <c:pt idx="3">
                  <c:v>0.30516953863257368</c:v>
                </c:pt>
              </c:numCache>
            </c:numRef>
          </c:val>
          <c:extLst>
            <c:ext xmlns:c16="http://schemas.microsoft.com/office/drawing/2014/chart" uri="{C3380CC4-5D6E-409C-BE32-E72D297353CC}">
              <c16:uniqueId val="{00000002-45A4-4532-A96B-A60D1674C2B0}"/>
            </c:ext>
          </c:extLst>
        </c:ser>
        <c:dLbls>
          <c:showLegendKey val="0"/>
          <c:showVal val="0"/>
          <c:showCatName val="0"/>
          <c:showSerName val="0"/>
          <c:showPercent val="0"/>
          <c:showBubbleSize val="0"/>
        </c:dLbls>
        <c:gapWidth val="150"/>
        <c:overlap val="100"/>
        <c:axId val="319012864"/>
        <c:axId val="319014400"/>
      </c:barChart>
      <c:catAx>
        <c:axId val="319012864"/>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9014400"/>
        <c:crosses val="autoZero"/>
        <c:auto val="1"/>
        <c:lblAlgn val="ctr"/>
        <c:lblOffset val="100"/>
        <c:noMultiLvlLbl val="0"/>
      </c:catAx>
      <c:valAx>
        <c:axId val="319014400"/>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9012864"/>
        <c:crosses val="autoZero"/>
        <c:crossBetween val="between"/>
      </c:valAx>
      <c:spPr>
        <a:prstGeom prst="rect">
          <a:avLst/>
        </a:prstGeom>
        <a:noFill/>
        <a:ln>
          <a:noFill/>
        </a:ln>
        <a:effectLst/>
      </c:spPr>
    </c:plotArea>
    <c:legend>
      <c:legendPos val="b"/>
      <c:overlay val="0"/>
      <c:spPr>
        <a:prstGeom prst="rect">
          <a:avLst/>
        </a:prstGeom>
        <a:noFill/>
        <a:ln>
          <a:noFill/>
          <a:round/>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Страница1_1!$F$11</c:f>
              <c:strCache>
                <c:ptCount val="1"/>
                <c:pt idx="0">
                  <c:v>Трансформаторное оборудование</c:v>
                </c:pt>
              </c:strCache>
            </c:strRef>
          </c:tx>
          <c:spPr>
            <a:prstGeom prst="rect">
              <a:avLst/>
            </a:prstGeom>
            <a:solidFill>
              <a:schemeClr val="accent1"/>
            </a:solidFill>
            <a:ln>
              <a:noFill/>
            </a:ln>
            <a:effectLst/>
          </c:spPr>
          <c:invertIfNegative val="0"/>
          <c:dLbls>
            <c:dLbl>
              <c:idx val="1"/>
              <c:layout>
                <c:manualLayout>
                  <c:x val="0"/>
                  <c:y val="-1.8509999999999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CAA-4FCE-BEB0-92A4F7A90DFA}"/>
                </c:ext>
              </c:extLst>
            </c:dLbl>
            <c:dLbl>
              <c:idx val="2"/>
              <c:layout>
                <c:manualLayout>
                  <c:x val="0"/>
                  <c:y val="-1.3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CAA-4FCE-BEB0-92A4F7A90DFA}"/>
                </c:ext>
              </c:extLst>
            </c:dLbl>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Страница1_1!$G$10:$I$10</c:f>
              <c:numCache>
                <c:formatCode>General</c:formatCode>
                <c:ptCount val="3"/>
                <c:pt idx="0">
                  <c:v>2024</c:v>
                </c:pt>
                <c:pt idx="1">
                  <c:v>2023</c:v>
                </c:pt>
                <c:pt idx="2">
                  <c:v>2022</c:v>
                </c:pt>
              </c:numCache>
            </c:numRef>
          </c:cat>
          <c:val>
            <c:numRef>
              <c:f>Страница1_1!$G$11:$I$11</c:f>
              <c:numCache>
                <c:formatCode>0.0</c:formatCode>
                <c:ptCount val="3"/>
                <c:pt idx="0">
                  <c:v>76.19</c:v>
                </c:pt>
                <c:pt idx="1">
                  <c:v>76.77</c:v>
                </c:pt>
                <c:pt idx="2">
                  <c:v>79.709999999999994</c:v>
                </c:pt>
              </c:numCache>
            </c:numRef>
          </c:val>
          <c:extLst>
            <c:ext xmlns:c16="http://schemas.microsoft.com/office/drawing/2014/chart" uri="{C3380CC4-5D6E-409C-BE32-E72D297353CC}">
              <c16:uniqueId val="{00000002-1CAA-4FCE-BEB0-92A4F7A90DFA}"/>
            </c:ext>
          </c:extLst>
        </c:ser>
        <c:ser>
          <c:idx val="1"/>
          <c:order val="1"/>
          <c:tx>
            <c:strRef>
              <c:f>Страница1_1!$F$12</c:f>
              <c:strCache>
                <c:ptCount val="1"/>
                <c:pt idx="0">
                  <c:v>Коммутационные аппараты</c:v>
                </c:pt>
              </c:strCache>
            </c:strRef>
          </c:tx>
          <c:spPr>
            <a:prstGeom prst="rect">
              <a:avLst/>
            </a:prstGeom>
            <a:solidFill>
              <a:schemeClr val="accent2"/>
            </a:solidFill>
            <a:ln>
              <a:noFill/>
            </a:ln>
            <a:effectLst/>
          </c:spPr>
          <c:invertIfNegative val="0"/>
          <c:dLbls>
            <c:dLbl>
              <c:idx val="0"/>
              <c:layout>
                <c:manualLayout>
                  <c:x val="-4.2199999999999998E-3"/>
                  <c:y val="-4.749999999999999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CAA-4FCE-BEB0-92A4F7A90DFA}"/>
                </c:ext>
              </c:extLst>
            </c:dLbl>
            <c:dLbl>
              <c:idx val="1"/>
              <c:layout>
                <c:manualLayout>
                  <c:x val="0"/>
                  <c:y val="9.24999999999999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CAA-4FCE-BEB0-92A4F7A90DFA}"/>
                </c:ext>
              </c:extLst>
            </c:dLbl>
            <c:dLbl>
              <c:idx val="2"/>
              <c:layout>
                <c:manualLayout>
                  <c:x val="0"/>
                  <c:y val="1.8509999999999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CAA-4FCE-BEB0-92A4F7A90DFA}"/>
                </c:ext>
              </c:extLst>
            </c:dLbl>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Страница1_1!$G$10:$I$10</c:f>
              <c:numCache>
                <c:formatCode>General</c:formatCode>
                <c:ptCount val="3"/>
                <c:pt idx="0">
                  <c:v>2024</c:v>
                </c:pt>
                <c:pt idx="1">
                  <c:v>2023</c:v>
                </c:pt>
                <c:pt idx="2">
                  <c:v>2022</c:v>
                </c:pt>
              </c:numCache>
            </c:numRef>
          </c:cat>
          <c:val>
            <c:numRef>
              <c:f>Страница1_1!$G$12:$I$12</c:f>
              <c:numCache>
                <c:formatCode>0.0</c:formatCode>
                <c:ptCount val="3"/>
                <c:pt idx="0">
                  <c:v>80.05</c:v>
                </c:pt>
                <c:pt idx="1">
                  <c:v>81.7</c:v>
                </c:pt>
                <c:pt idx="2">
                  <c:v>76.7</c:v>
                </c:pt>
              </c:numCache>
            </c:numRef>
          </c:val>
          <c:extLst>
            <c:ext xmlns:c16="http://schemas.microsoft.com/office/drawing/2014/chart" uri="{C3380CC4-5D6E-409C-BE32-E72D297353CC}">
              <c16:uniqueId val="{00000006-1CAA-4FCE-BEB0-92A4F7A90DFA}"/>
            </c:ext>
          </c:extLst>
        </c:ser>
        <c:ser>
          <c:idx val="2"/>
          <c:order val="2"/>
          <c:tx>
            <c:strRef>
              <c:f>Страница1_1!$F$13</c:f>
              <c:strCache>
                <c:ptCount val="1"/>
                <c:pt idx="0">
                  <c:v>ВЛ 0,4-20 кВ</c:v>
                </c:pt>
              </c:strCache>
            </c:strRef>
          </c:tx>
          <c:spPr>
            <a:prstGeom prst="rect">
              <a:avLst/>
            </a:prstGeom>
            <a:solidFill>
              <a:schemeClr val="accent3"/>
            </a:solidFill>
            <a:ln>
              <a:noFill/>
            </a:ln>
            <a:effectLst/>
          </c:spPr>
          <c:invertIfNegative val="0"/>
          <c:dLbls>
            <c:dLbl>
              <c:idx val="1"/>
              <c:layout>
                <c:manualLayout>
                  <c:x val="-2.2000000000000001E-3"/>
                  <c:y val="-3.2399999999999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CAA-4FCE-BEB0-92A4F7A90DFA}"/>
                </c:ext>
              </c:extLst>
            </c:dLbl>
            <c:dLbl>
              <c:idx val="2"/>
              <c:layout>
                <c:manualLayout>
                  <c:x val="0"/>
                  <c:y val="-2.7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CAA-4FCE-BEB0-92A4F7A90DFA}"/>
                </c:ext>
              </c:extLst>
            </c:dLbl>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Страница1_1!$G$10:$I$10</c:f>
              <c:numCache>
                <c:formatCode>General</c:formatCode>
                <c:ptCount val="3"/>
                <c:pt idx="0">
                  <c:v>2024</c:v>
                </c:pt>
                <c:pt idx="1">
                  <c:v>2023</c:v>
                </c:pt>
                <c:pt idx="2">
                  <c:v>2022</c:v>
                </c:pt>
              </c:numCache>
            </c:numRef>
          </c:cat>
          <c:val>
            <c:numRef>
              <c:f>Страница1_1!$G$13:$I$13</c:f>
              <c:numCache>
                <c:formatCode>0.0</c:formatCode>
                <c:ptCount val="3"/>
                <c:pt idx="0">
                  <c:v>79.873480000000001</c:v>
                </c:pt>
                <c:pt idx="1">
                  <c:v>80.28</c:v>
                </c:pt>
                <c:pt idx="2">
                  <c:v>75.89</c:v>
                </c:pt>
              </c:numCache>
            </c:numRef>
          </c:val>
          <c:extLst>
            <c:ext xmlns:c16="http://schemas.microsoft.com/office/drawing/2014/chart" uri="{C3380CC4-5D6E-409C-BE32-E72D297353CC}">
              <c16:uniqueId val="{00000009-1CAA-4FCE-BEB0-92A4F7A90DFA}"/>
            </c:ext>
          </c:extLst>
        </c:ser>
        <c:ser>
          <c:idx val="3"/>
          <c:order val="3"/>
          <c:tx>
            <c:strRef>
              <c:f>Страница1_1!$F$14</c:f>
              <c:strCache>
                <c:ptCount val="1"/>
                <c:pt idx="0">
                  <c:v>ВЛ 35-220 кВ</c:v>
                </c:pt>
              </c:strCache>
            </c:strRef>
          </c:tx>
          <c:spPr>
            <a:prstGeom prst="rect">
              <a:avLst/>
            </a:prstGeom>
            <a:solidFill>
              <a:schemeClr val="accent4"/>
            </a:solidFill>
            <a:ln>
              <a:noFill/>
            </a:ln>
            <a:effectLst/>
          </c:spPr>
          <c:invertIfNegative val="0"/>
          <c:dLbls>
            <c:dLbl>
              <c:idx val="0"/>
              <c:layout>
                <c:manualLayout>
                  <c:x val="8.330000000000000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CAA-4FCE-BEB0-92A4F7A90DFA}"/>
                </c:ext>
              </c:extLst>
            </c:dLbl>
            <c:dLbl>
              <c:idx val="1"/>
              <c:layout>
                <c:manualLayout>
                  <c:x val="2.7699999999999999E-3"/>
                  <c:y val="1.3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CAA-4FCE-BEB0-92A4F7A90DFA}"/>
                </c:ext>
              </c:extLst>
            </c:dLbl>
            <c:spPr>
              <a:noFill/>
              <a:ln>
                <a:noFill/>
                <a:beve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Страница1_1!$G$10:$I$10</c:f>
              <c:numCache>
                <c:formatCode>General</c:formatCode>
                <c:ptCount val="3"/>
                <c:pt idx="0">
                  <c:v>2024</c:v>
                </c:pt>
                <c:pt idx="1">
                  <c:v>2023</c:v>
                </c:pt>
                <c:pt idx="2">
                  <c:v>2022</c:v>
                </c:pt>
              </c:numCache>
            </c:numRef>
          </c:cat>
          <c:val>
            <c:numRef>
              <c:f>Страница1_1!$G$14:$I$14</c:f>
              <c:numCache>
                <c:formatCode>0.00</c:formatCode>
                <c:ptCount val="3"/>
                <c:pt idx="0" formatCode="0.0">
                  <c:v>85.98</c:v>
                </c:pt>
                <c:pt idx="1">
                  <c:v>86.17</c:v>
                </c:pt>
                <c:pt idx="2" formatCode="0.0">
                  <c:v>74.66</c:v>
                </c:pt>
              </c:numCache>
            </c:numRef>
          </c:val>
          <c:extLst>
            <c:ext xmlns:c16="http://schemas.microsoft.com/office/drawing/2014/chart" uri="{C3380CC4-5D6E-409C-BE32-E72D297353CC}">
              <c16:uniqueId val="{0000000C-1CAA-4FCE-BEB0-92A4F7A90DFA}"/>
            </c:ext>
          </c:extLst>
        </c:ser>
        <c:ser>
          <c:idx val="4"/>
          <c:order val="4"/>
          <c:tx>
            <c:strRef>
              <c:f>Страница1_1!$F$15</c:f>
              <c:strCache>
                <c:ptCount val="1"/>
                <c:pt idx="0">
                  <c:v>КЛ 0,4-20 кВ</c:v>
                </c:pt>
              </c:strCache>
            </c:strRef>
          </c:tx>
          <c:spPr>
            <a:prstGeom prst="rect">
              <a:avLst/>
            </a:prstGeom>
            <a:solidFill>
              <a:schemeClr val="accent5"/>
            </a:solidFill>
            <a:ln>
              <a:noFill/>
              <a:bevel/>
            </a:ln>
            <a:effectLst/>
          </c:spPr>
          <c:invertIfNegative val="0"/>
          <c:dLbls>
            <c:dLbl>
              <c:idx val="1"/>
              <c:layout>
                <c:manualLayout>
                  <c:x val="8.3300000000000006E-3"/>
                  <c:y val="1.3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CAA-4FCE-BEB0-92A4F7A90DFA}"/>
                </c:ext>
              </c:extLst>
            </c:dLbl>
            <c:dLbl>
              <c:idx val="2"/>
              <c:layout>
                <c:manualLayout>
                  <c:x val="0"/>
                  <c:y val="-3.2399999999999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CAA-4FCE-BEB0-92A4F7A90DFA}"/>
                </c:ext>
              </c:extLst>
            </c:dLbl>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Страница1_1!$G$10:$I$10</c:f>
              <c:numCache>
                <c:formatCode>General</c:formatCode>
                <c:ptCount val="3"/>
                <c:pt idx="0">
                  <c:v>2024</c:v>
                </c:pt>
                <c:pt idx="1">
                  <c:v>2023</c:v>
                </c:pt>
                <c:pt idx="2">
                  <c:v>2022</c:v>
                </c:pt>
              </c:numCache>
            </c:numRef>
          </c:cat>
          <c:val>
            <c:numRef>
              <c:f>Страница1_1!$G$15:$I$15</c:f>
              <c:numCache>
                <c:formatCode>0.0</c:formatCode>
                <c:ptCount val="3"/>
                <c:pt idx="0">
                  <c:v>67.248739999999998</c:v>
                </c:pt>
                <c:pt idx="1">
                  <c:v>68.099999999999994</c:v>
                </c:pt>
                <c:pt idx="2">
                  <c:v>69.23</c:v>
                </c:pt>
              </c:numCache>
            </c:numRef>
          </c:val>
          <c:extLst>
            <c:ext xmlns:c16="http://schemas.microsoft.com/office/drawing/2014/chart" uri="{C3380CC4-5D6E-409C-BE32-E72D297353CC}">
              <c16:uniqueId val="{0000000F-1CAA-4FCE-BEB0-92A4F7A90DFA}"/>
            </c:ext>
          </c:extLst>
        </c:ser>
        <c:ser>
          <c:idx val="5"/>
          <c:order val="5"/>
          <c:tx>
            <c:strRef>
              <c:f>Страница1_1!$F$16</c:f>
              <c:strCache>
                <c:ptCount val="1"/>
                <c:pt idx="0">
                  <c:v>КЛ 35-110 кВ</c:v>
                </c:pt>
              </c:strCache>
            </c:strRef>
          </c:tx>
          <c:spPr>
            <a:prstGeom prst="rect">
              <a:avLst/>
            </a:prstGeom>
            <a:solidFill>
              <a:schemeClr val="accent6"/>
            </a:solidFill>
            <a:ln>
              <a:noFill/>
              <a:miter/>
            </a:ln>
            <a:effectLst/>
          </c:spPr>
          <c:invertIfNegative val="0"/>
          <c:dLbls>
            <c:dLbl>
              <c:idx val="0"/>
              <c:layout>
                <c:manualLayout>
                  <c:x val="1.666000000000000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CAA-4FCE-BEB0-92A4F7A90DFA}"/>
                </c:ext>
              </c:extLst>
            </c:dLbl>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Страница1_1!$G$10:$I$10</c:f>
              <c:numCache>
                <c:formatCode>General</c:formatCode>
                <c:ptCount val="3"/>
                <c:pt idx="0">
                  <c:v>2024</c:v>
                </c:pt>
                <c:pt idx="1">
                  <c:v>2023</c:v>
                </c:pt>
                <c:pt idx="2">
                  <c:v>2022</c:v>
                </c:pt>
              </c:numCache>
            </c:numRef>
          </c:cat>
          <c:val>
            <c:numRef>
              <c:f>Страница1_1!$G$16:$I$16</c:f>
              <c:numCache>
                <c:formatCode>0.0</c:formatCode>
                <c:ptCount val="3"/>
                <c:pt idx="0">
                  <c:v>37.528939999999999</c:v>
                </c:pt>
                <c:pt idx="1">
                  <c:v>37.53</c:v>
                </c:pt>
                <c:pt idx="2">
                  <c:v>24.69</c:v>
                </c:pt>
              </c:numCache>
            </c:numRef>
          </c:val>
          <c:extLst>
            <c:ext xmlns:c16="http://schemas.microsoft.com/office/drawing/2014/chart" uri="{C3380CC4-5D6E-409C-BE32-E72D297353CC}">
              <c16:uniqueId val="{00000011-1CAA-4FCE-BEB0-92A4F7A90DFA}"/>
            </c:ext>
          </c:extLst>
        </c:ser>
        <c:dLbls>
          <c:showLegendKey val="0"/>
          <c:showVal val="0"/>
          <c:showCatName val="0"/>
          <c:showSerName val="0"/>
          <c:showPercent val="0"/>
          <c:showBubbleSize val="0"/>
        </c:dLbls>
        <c:gapWidth val="219"/>
        <c:overlap val="-26"/>
        <c:axId val="318631296"/>
        <c:axId val="319038592"/>
      </c:barChart>
      <c:catAx>
        <c:axId val="318631296"/>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9038592"/>
        <c:crosses val="autoZero"/>
        <c:auto val="1"/>
        <c:lblAlgn val="ctr"/>
        <c:lblOffset val="100"/>
        <c:noMultiLvlLbl val="0"/>
      </c:catAx>
      <c:valAx>
        <c:axId val="319038592"/>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631296"/>
        <c:crosses val="autoZero"/>
        <c:crossBetween val="between"/>
      </c:valAx>
      <c:spPr>
        <a:prstGeom prst="rect">
          <a:avLst/>
        </a:prstGeom>
        <a:noFill/>
        <a:ln>
          <a:noFill/>
        </a:ln>
        <a:effectLst/>
      </c:spPr>
    </c:plotArea>
    <c:legend>
      <c:legendPos val="b"/>
      <c:overlay val="0"/>
      <c:spPr>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9570000000000001E-2"/>
          <c:y val="8.7080000000000005E-2"/>
          <c:w val="0.92915999999999999"/>
          <c:h val="0.61838000000000004"/>
        </c:manualLayout>
      </c:layout>
      <c:barChart>
        <c:barDir val="col"/>
        <c:grouping val="stacked"/>
        <c:varyColors val="0"/>
        <c:ser>
          <c:idx val="0"/>
          <c:order val="0"/>
          <c:tx>
            <c:strRef>
              <c:f>Лист1!$B$2</c:f>
              <c:strCache>
                <c:ptCount val="1"/>
                <c:pt idx="0">
                  <c:v>в т.ч. с успешным АПВ</c:v>
                </c:pt>
              </c:strCache>
            </c:strRef>
          </c:tx>
          <c:spPr>
            <a:prstGeom prst="rect">
              <a:avLst/>
            </a:prstGeom>
            <a:solidFill>
              <a:schemeClr val="accent1"/>
            </a:solidFill>
            <a:ln>
              <a:noFill/>
              <a:miter/>
            </a:ln>
            <a:effectLst/>
          </c:spPr>
          <c:invertIfNegative val="0"/>
          <c:dLbls>
            <c:spPr>
              <a:noFill/>
              <a:ln>
                <a:noFill/>
              </a:ln>
              <a:effectLst/>
            </c:spPr>
            <c:txPr>
              <a:bodyPr rot="0" spcFirstLastPara="1" vertOverflow="ellipsis" vert="horz" wrap="square" lIns="38098" tIns="19048" rIns="38098" bIns="19048" anchor="ctr" anchorCtr="1">
                <a:spAutoFit/>
              </a:bodyPr>
              <a:lstStyle/>
              <a:p>
                <a:pPr>
                  <a:defRPr sz="1200" b="1" i="0" u="none" strike="noStrike">
                    <a:solidFill>
                      <a:schemeClr val="tx1">
                        <a:lumMod val="75000"/>
                        <a:lumOff val="25000"/>
                      </a:schemeClr>
                    </a:solidFill>
                    <a:latin typeface="Times New Roman"/>
                    <a:ea typeface="+mn-ea"/>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Лист1!$A$3:$A$5</c:f>
              <c:strCache>
                <c:ptCount val="3"/>
                <c:pt idx="0">
                  <c:v>2022 год</c:v>
                </c:pt>
                <c:pt idx="1">
                  <c:v>2023 год</c:v>
                </c:pt>
                <c:pt idx="2">
                  <c:v>2024 год</c:v>
                </c:pt>
              </c:strCache>
            </c:strRef>
          </c:cat>
          <c:val>
            <c:numRef>
              <c:f>Лист1!$B$3:$B$5</c:f>
              <c:numCache>
                <c:formatCode>General</c:formatCode>
                <c:ptCount val="3"/>
                <c:pt idx="0">
                  <c:v>822</c:v>
                </c:pt>
                <c:pt idx="1">
                  <c:v>837</c:v>
                </c:pt>
                <c:pt idx="2">
                  <c:v>806</c:v>
                </c:pt>
              </c:numCache>
            </c:numRef>
          </c:val>
          <c:extLst>
            <c:ext xmlns:c16="http://schemas.microsoft.com/office/drawing/2014/chart" uri="{C3380CC4-5D6E-409C-BE32-E72D297353CC}">
              <c16:uniqueId val="{00000000-5462-4315-BCBD-DA17E8ED52CD}"/>
            </c:ext>
          </c:extLst>
        </c:ser>
        <c:ser>
          <c:idx val="1"/>
          <c:order val="1"/>
          <c:tx>
            <c:strRef>
              <c:f>Лист1!$C$2</c:f>
              <c:strCache>
                <c:ptCount val="1"/>
              </c:strCache>
            </c:strRef>
          </c:tx>
          <c:spPr>
            <a:prstGeom prst="rect">
              <a:avLst/>
            </a:prstGeom>
            <a:solidFill>
              <a:schemeClr val="accent2"/>
            </a:solidFill>
            <a:ln>
              <a:noFill/>
            </a:ln>
            <a:effectLst/>
          </c:spPr>
          <c:invertIfNegative val="0"/>
          <c:dLbls>
            <c:dLbl>
              <c:idx val="0"/>
              <c:layout>
                <c:manualLayout>
                  <c:x val="5.5500000000000002E-3"/>
                  <c:y val="-0.15276000000000001"/>
                </c:manualLayout>
              </c:layout>
              <c:tx>
                <c:rich>
                  <a:bodyPr/>
                  <a:lstStyle/>
                  <a:p>
                    <a:r>
                      <a:rPr lang="en-US"/>
                      <a:t>1262</a:t>
                    </a:r>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462-4315-BCBD-DA17E8ED52CD}"/>
                </c:ext>
              </c:extLst>
            </c:dLbl>
            <c:dLbl>
              <c:idx val="1"/>
              <c:layout>
                <c:manualLayout>
                  <c:x val="-5.5500000000000002E-3"/>
                  <c:y val="-0.17129"/>
                </c:manualLayout>
              </c:layout>
              <c:tx>
                <c:rich>
                  <a:bodyPr/>
                  <a:lstStyle/>
                  <a:p>
                    <a:r>
                      <a:rPr lang="en-US"/>
                      <a:t>1392</a:t>
                    </a:r>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462-4315-BCBD-DA17E8ED52CD}"/>
                </c:ext>
              </c:extLst>
            </c:dLbl>
            <c:dLbl>
              <c:idx val="2"/>
              <c:layout>
                <c:manualLayout>
                  <c:x val="0"/>
                  <c:y val="-0.16666"/>
                </c:manualLayout>
              </c:layout>
              <c:tx>
                <c:rich>
                  <a:bodyPr/>
                  <a:lstStyle/>
                  <a:p>
                    <a:r>
                      <a:rPr lang="en-US"/>
                      <a:t>1316</a:t>
                    </a:r>
                    <a:endParaRP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462-4315-BCBD-DA17E8ED52CD}"/>
                </c:ext>
              </c:extLst>
            </c:dLbl>
            <c:spPr>
              <a:noFill/>
              <a:ln>
                <a:noFill/>
              </a:ln>
              <a:effectLst/>
            </c:spPr>
            <c:txPr>
              <a:bodyPr rot="0" spcFirstLastPara="1" vertOverflow="ellipsis" vert="horz" wrap="square" lIns="38098" tIns="19048" rIns="38098" bIns="19048" anchor="ctr" anchorCtr="1">
                <a:spAutoFit/>
              </a:bodyPr>
              <a:lstStyle/>
              <a:p>
                <a:pPr>
                  <a:defRPr sz="1200" b="1" i="0" u="none" strike="noStrike">
                    <a:solidFill>
                      <a:schemeClr val="tx1">
                        <a:lumMod val="75000"/>
                        <a:lumOff val="25000"/>
                      </a:schemeClr>
                    </a:solidFill>
                    <a:latin typeface="Times New Roman"/>
                    <a:ea typeface="+mn-ea"/>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Лист1!$A$3:$A$5</c:f>
              <c:strCache>
                <c:ptCount val="3"/>
                <c:pt idx="0">
                  <c:v>2022 год</c:v>
                </c:pt>
                <c:pt idx="1">
                  <c:v>2023 год</c:v>
                </c:pt>
                <c:pt idx="2">
                  <c:v>2024 год</c:v>
                </c:pt>
              </c:strCache>
            </c:strRef>
          </c:cat>
          <c:val>
            <c:numRef>
              <c:f>Лист1!$C$3:$C$5</c:f>
              <c:numCache>
                <c:formatCode>General</c:formatCode>
                <c:ptCount val="3"/>
                <c:pt idx="0">
                  <c:v>440</c:v>
                </c:pt>
                <c:pt idx="1">
                  <c:v>555</c:v>
                </c:pt>
                <c:pt idx="2">
                  <c:v>510</c:v>
                </c:pt>
              </c:numCache>
            </c:numRef>
          </c:val>
          <c:extLst>
            <c:ext xmlns:c16="http://schemas.microsoft.com/office/drawing/2014/chart" uri="{C3380CC4-5D6E-409C-BE32-E72D297353CC}">
              <c16:uniqueId val="{00000004-5462-4315-BCBD-DA17E8ED52CD}"/>
            </c:ext>
          </c:extLst>
        </c:ser>
        <c:dLbls>
          <c:showLegendKey val="0"/>
          <c:showVal val="0"/>
          <c:showCatName val="0"/>
          <c:showSerName val="0"/>
          <c:showPercent val="0"/>
          <c:showBubbleSize val="0"/>
        </c:dLbls>
        <c:gapWidth val="150"/>
        <c:overlap val="100"/>
        <c:axId val="327115521"/>
        <c:axId val="327115522"/>
      </c:barChart>
      <c:catAx>
        <c:axId val="327115521"/>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27115522"/>
        <c:crosses val="autoZero"/>
        <c:auto val="1"/>
        <c:lblAlgn val="ctr"/>
        <c:lblOffset val="100"/>
        <c:noMultiLvlLbl val="0"/>
      </c:catAx>
      <c:valAx>
        <c:axId val="327115522"/>
        <c:scaling>
          <c:orientation val="minMax"/>
        </c:scaling>
        <c:delete val="1"/>
        <c:axPos val="l"/>
        <c:numFmt formatCode="General" sourceLinked="1"/>
        <c:majorTickMark val="none"/>
        <c:minorTickMark val="none"/>
        <c:tickLblPos val="nextTo"/>
        <c:crossAx val="327115521"/>
        <c:crosses val="autoZero"/>
        <c:crossBetween val="between"/>
      </c:valAx>
      <c:spPr>
        <a:prstGeom prst="rect">
          <a:avLst/>
        </a:prstGeom>
        <a:noFill/>
        <a:ln>
          <a:noFill/>
        </a:ln>
        <a:effectLst/>
      </c:spPr>
    </c:plotArea>
    <c:legend>
      <c:legendPos val="b"/>
      <c:legendEntry>
        <c:idx val="1"/>
        <c:delete val="1"/>
      </c:legendEntry>
      <c:layout>
        <c:manualLayout>
          <c:xMode val="edge"/>
          <c:yMode val="edge"/>
          <c:x val="0.32589000000000001"/>
          <c:y val="0.89409000000000005"/>
          <c:w val="0.29820000000000002"/>
          <c:h val="7.8109999999999999E-2"/>
        </c:manualLayout>
      </c:layout>
      <c:overlay val="0"/>
      <c:spPr>
        <a:prstGeom prst="rect">
          <a:avLst/>
        </a:prstGeom>
        <a:noFill/>
        <a:ln>
          <a:noFill/>
          <a:miter/>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xfrm>
      <a:off x="0" y="0"/>
      <a:ext cx="0" cy="0"/>
    </a:xfrm>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1029999999999997E-2"/>
          <c:y val="7.0050000000000001E-2"/>
          <c:w val="0.41998999999999997"/>
          <c:h val="0.86870000000000003"/>
        </c:manualLayout>
      </c:layout>
      <c:doughnutChart>
        <c:varyColors val="1"/>
        <c:ser>
          <c:idx val="0"/>
          <c:order val="0"/>
          <c:tx>
            <c:strRef>
              <c:f>Лист1!$B$1</c:f>
              <c:strCache>
                <c:ptCount val="1"/>
                <c:pt idx="0">
                  <c:v>Столбец1</c:v>
                </c:pt>
              </c:strCache>
            </c:strRef>
          </c:tx>
          <c:spPr>
            <a:prstGeom prst="rect">
              <a:avLst/>
            </a:prstGeom>
            <a:solidFill>
              <a:schemeClr val="accent1">
                <a:lumMod val="40000"/>
                <a:lumOff val="60000"/>
              </a:schemeClr>
            </a:solidFill>
            <a:ln w="9525">
              <a:noFill/>
            </a:ln>
          </c:spPr>
          <c:dPt>
            <c:idx val="0"/>
            <c:bubble3D val="0"/>
            <c:spPr>
              <a:prstGeom prst="rect">
                <a:avLst/>
              </a:prstGeom>
              <a:solidFill>
                <a:schemeClr val="accent6">
                  <a:lumMod val="60000"/>
                  <a:lumOff val="40000"/>
                </a:schemeClr>
              </a:solidFill>
              <a:ln w="9525">
                <a:noFill/>
              </a:ln>
            </c:spPr>
            <c:extLst>
              <c:ext xmlns:c16="http://schemas.microsoft.com/office/drawing/2014/chart" uri="{C3380CC4-5D6E-409C-BE32-E72D297353CC}">
                <c16:uniqueId val="{00000001-E1BE-48FF-A6CA-C39C555D4D70}"/>
              </c:ext>
            </c:extLst>
          </c:dPt>
          <c:dPt>
            <c:idx val="2"/>
            <c:bubble3D val="0"/>
            <c:spPr>
              <a:prstGeom prst="rect">
                <a:avLst/>
              </a:prstGeom>
              <a:solidFill>
                <a:srgbClr val="ED7D31">
                  <a:lumMod val="40000"/>
                  <a:lumOff val="60000"/>
                </a:srgbClr>
              </a:solidFill>
              <a:ln w="9525">
                <a:noFill/>
              </a:ln>
            </c:spPr>
            <c:extLst>
              <c:ext xmlns:c16="http://schemas.microsoft.com/office/drawing/2014/chart" uri="{C3380CC4-5D6E-409C-BE32-E72D297353CC}">
                <c16:uniqueId val="{00000003-E1BE-48FF-A6CA-C39C555D4D70}"/>
              </c:ext>
            </c:extLst>
          </c:dPt>
          <c:dPt>
            <c:idx val="3"/>
            <c:bubble3D val="0"/>
            <c:spPr>
              <a:prstGeom prst="rect">
                <a:avLst/>
              </a:prstGeom>
              <a:solidFill>
                <a:srgbClr val="ED7D31">
                  <a:lumMod val="75000"/>
                </a:srgbClr>
              </a:solidFill>
              <a:ln w="9525">
                <a:noFill/>
              </a:ln>
            </c:spPr>
            <c:extLst>
              <c:ext xmlns:c16="http://schemas.microsoft.com/office/drawing/2014/chart" uri="{C3380CC4-5D6E-409C-BE32-E72D297353CC}">
                <c16:uniqueId val="{00000005-E1BE-48FF-A6CA-C39C555D4D70}"/>
              </c:ext>
            </c:extLst>
          </c:dPt>
          <c:dLbls>
            <c:dLbl>
              <c:idx val="0"/>
              <c:layout>
                <c:manualLayout>
                  <c:x val="-5.4000000000000001E-4"/>
                  <c:y val="2.7E-2"/>
                </c:manualLayout>
              </c:layout>
              <c:spPr>
                <a:noFill/>
                <a:ln>
                  <a:noFill/>
                  <a:bevel/>
                </a:ln>
                <a:effectLst/>
              </c:spPr>
              <c:txPr>
                <a:bodyPr wrap="square" lIns="38098" tIns="19048" rIns="38098" bIns="19048" anchor="ctr">
                  <a:noAutofit/>
                </a:bodyPr>
                <a:lstStyle/>
                <a:p>
                  <a:pPr>
                    <a:defRPr sz="1200"/>
                  </a:pPr>
                  <a:endParaRPr lang="ru-RU"/>
                </a:p>
              </c:tx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E1BE-48FF-A6CA-C39C555D4D70}"/>
                </c:ext>
              </c:extLst>
            </c:dLbl>
            <c:dLbl>
              <c:idx val="3"/>
              <c:layout>
                <c:manualLayout>
                  <c:x val="-2.0400000000000001E-3"/>
                  <c:y val="-1.22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1BE-48FF-A6CA-C39C555D4D70}"/>
                </c:ext>
              </c:extLst>
            </c:dLbl>
            <c:spPr>
              <a:noFill/>
              <a:ln>
                <a:noFill/>
              </a:ln>
              <a:effectLst/>
            </c:spPr>
            <c:txPr>
              <a:bodyPr wrap="square" lIns="38098" tIns="19048" rIns="38098" bIns="19048" anchor="ctr">
                <a:spAutoFit/>
              </a:bodyPr>
              <a:lstStyle/>
              <a:p>
                <a:pPr>
                  <a:defRPr sz="1200"/>
                </a:pPr>
                <a:endParaRPr lang="ru-RU"/>
              </a:p>
            </c:txPr>
            <c:showLegendKey val="0"/>
            <c:showVal val="0"/>
            <c:showCatName val="0"/>
            <c:showSerName val="0"/>
            <c:showPercent val="1"/>
            <c:showBubbleSize val="0"/>
            <c:showLeaderLines val="0"/>
            <c:extLst>
              <c:ext xmlns:c15="http://schemas.microsoft.com/office/drawing/2012/chart" uri="{CE6537A1-D6FC-4f65-9D91-7224C49458BB}">
                <c15:spPr xmlns:c15="http://schemas.microsoft.com/office/drawing/2012/chart">
                  <a:prstGeom prst="rect">
                    <a:avLst/>
                  </a:prstGeom>
                </c15:spPr>
              </c:ext>
            </c:extLst>
          </c:dLbls>
          <c:cat>
            <c:strRef>
              <c:f>Лист1!$A$2:$A$5</c:f>
              <c:strCache>
                <c:ptCount val="4"/>
                <c:pt idx="0">
                  <c:v>Природные воздействия</c:v>
                </c:pt>
                <c:pt idx="1">
                  <c:v>Сторонние воздействия</c:v>
                </c:pt>
                <c:pt idx="2">
                  <c:v>Износ</c:v>
                </c:pt>
                <c:pt idx="3">
                  <c:v>Недостатки эксплуатации</c:v>
                </c:pt>
              </c:strCache>
            </c:strRef>
          </c:cat>
          <c:val>
            <c:numRef>
              <c:f>Лист1!$B$2:$B$5</c:f>
              <c:numCache>
                <c:formatCode>###,###,###,##0</c:formatCode>
                <c:ptCount val="4"/>
                <c:pt idx="0" formatCode="0">
                  <c:v>726</c:v>
                </c:pt>
                <c:pt idx="1">
                  <c:v>290</c:v>
                </c:pt>
                <c:pt idx="2">
                  <c:v>249</c:v>
                </c:pt>
                <c:pt idx="3">
                  <c:v>102</c:v>
                </c:pt>
              </c:numCache>
            </c:numRef>
          </c:val>
          <c:extLst>
            <c:ext xmlns:c16="http://schemas.microsoft.com/office/drawing/2014/chart" uri="{C3380CC4-5D6E-409C-BE32-E72D297353CC}">
              <c16:uniqueId val="{00000006-E1BE-48FF-A6CA-C39C555D4D70}"/>
            </c:ext>
          </c:extLst>
        </c:ser>
        <c:dLbls>
          <c:showLegendKey val="0"/>
          <c:showVal val="1"/>
          <c:showCatName val="0"/>
          <c:showSerName val="0"/>
          <c:showPercent val="0"/>
          <c:showBubbleSize val="0"/>
          <c:showLeaderLines val="0"/>
        </c:dLbls>
        <c:firstSliceAng val="0"/>
        <c:holeSize val="50"/>
      </c:doughnutChart>
      <c:spPr>
        <a:effectLst>
          <a:glow rad="50800">
            <a:schemeClr val="accent1">
              <a:alpha val="40000"/>
            </a:schemeClr>
          </a:glow>
          <a:softEdge rad="0"/>
        </a:effectLst>
      </c:spPr>
    </c:plotArea>
    <c:legend>
      <c:legendPos val="r"/>
      <c:layout>
        <c:manualLayout>
          <c:xMode val="edge"/>
          <c:yMode val="edge"/>
          <c:x val="0.50326000000000004"/>
          <c:y val="9.9379999999999996E-2"/>
          <c:w val="0.49417"/>
          <c:h val="0.76766000000000001"/>
        </c:manualLayout>
      </c:layout>
      <c:overlay val="0"/>
    </c:legend>
    <c:plotVisOnly val="1"/>
    <c:dispBlanksAs val="gap"/>
    <c:showDLblsOverMax val="0"/>
  </c:chart>
  <c:spPr>
    <a:xfrm>
      <a:off x="0" y="0"/>
      <a:ext cx="0" cy="0"/>
    </a:xfrm>
    <a:prstGeom prst="rect">
      <a:avLst/>
    </a:prstGeom>
    <a:ln>
      <a:noFill/>
      <a:miter/>
    </a:ln>
  </c:spPr>
  <c:txPr>
    <a:bodyPr/>
    <a:lstStyle/>
    <a:p>
      <a:pPr>
        <a:defRPr sz="1200">
          <a:latin typeface="Arial Narrow"/>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272E-2"/>
          <c:y val="8.831E-2"/>
          <c:w val="0.96087"/>
          <c:h val="0.59674000000000005"/>
        </c:manualLayout>
      </c:layout>
      <c:barChart>
        <c:barDir val="col"/>
        <c:grouping val="clustered"/>
        <c:varyColors val="0"/>
        <c:ser>
          <c:idx val="0"/>
          <c:order val="0"/>
          <c:tx>
            <c:strRef>
              <c:f>Лист1!$B$1</c:f>
              <c:strCache>
                <c:ptCount val="1"/>
                <c:pt idx="0">
                  <c:v>Начисление, млн руб.</c:v>
                </c:pt>
              </c:strCache>
            </c:strRef>
          </c:tx>
          <c:spPr>
            <a:prstGeom prst="rect">
              <a:avLst/>
            </a:prstGeom>
            <a:solidFill>
              <a:srgbClr val="0070C0"/>
            </a:solidFill>
            <a:ln>
              <a:solidFill>
                <a:srgbClr val="0070C0"/>
              </a:solidFill>
              <a:miter/>
            </a:ln>
          </c:spPr>
          <c:invertIfNegative val="0"/>
          <c:dPt>
            <c:idx val="0"/>
            <c:invertIfNegative val="0"/>
            <c:bubble3D val="0"/>
            <c:extLst>
              <c:ext xmlns:c16="http://schemas.microsoft.com/office/drawing/2014/chart" uri="{C3380CC4-5D6E-409C-BE32-E72D297353CC}">
                <c16:uniqueId val="{00000000-8BB0-47FC-BBCE-0B7BCAF3941F}"/>
              </c:ext>
            </c:extLst>
          </c:dPt>
          <c:dPt>
            <c:idx val="1"/>
            <c:invertIfNegative val="0"/>
            <c:bubble3D val="0"/>
            <c:extLst>
              <c:ext xmlns:c16="http://schemas.microsoft.com/office/drawing/2014/chart" uri="{C3380CC4-5D6E-409C-BE32-E72D297353CC}">
                <c16:uniqueId val="{00000001-8BB0-47FC-BBCE-0B7BCAF3941F}"/>
              </c:ext>
            </c:extLst>
          </c:dPt>
          <c:dPt>
            <c:idx val="2"/>
            <c:invertIfNegative val="0"/>
            <c:bubble3D val="0"/>
            <c:extLst>
              <c:ext xmlns:c16="http://schemas.microsoft.com/office/drawing/2014/chart" uri="{C3380CC4-5D6E-409C-BE32-E72D297353CC}">
                <c16:uniqueId val="{00000002-8BB0-47FC-BBCE-0B7BCAF3941F}"/>
              </c:ext>
            </c:extLst>
          </c:dPt>
          <c:dPt>
            <c:idx val="3"/>
            <c:invertIfNegative val="0"/>
            <c:bubble3D val="0"/>
            <c:extLst>
              <c:ext xmlns:c16="http://schemas.microsoft.com/office/drawing/2014/chart" uri="{C3380CC4-5D6E-409C-BE32-E72D297353CC}">
                <c16:uniqueId val="{00000003-8BB0-47FC-BBCE-0B7BCAF3941F}"/>
              </c:ext>
            </c:extLst>
          </c:dPt>
          <c:dPt>
            <c:idx val="4"/>
            <c:invertIfNegative val="0"/>
            <c:bubble3D val="0"/>
            <c:extLst>
              <c:ext xmlns:c16="http://schemas.microsoft.com/office/drawing/2014/chart" uri="{C3380CC4-5D6E-409C-BE32-E72D297353CC}">
                <c16:uniqueId val="{00000004-8BB0-47FC-BBCE-0B7BCAF3941F}"/>
              </c:ext>
            </c:extLst>
          </c:dPt>
          <c:dPt>
            <c:idx val="5"/>
            <c:invertIfNegative val="0"/>
            <c:bubble3D val="0"/>
            <c:extLst>
              <c:ext xmlns:c16="http://schemas.microsoft.com/office/drawing/2014/chart" uri="{C3380CC4-5D6E-409C-BE32-E72D297353CC}">
                <c16:uniqueId val="{00000005-8BB0-47FC-BBCE-0B7BCAF3941F}"/>
              </c:ext>
            </c:extLst>
          </c:dPt>
          <c:dLbls>
            <c:numFmt formatCode="#,##0" sourceLinked="0"/>
            <c:spPr>
              <a:noFill/>
              <a:ln>
                <a:noFill/>
              </a:ln>
              <a:effectLst/>
            </c:spPr>
            <c:txPr>
              <a:bodyPr/>
              <a:lstStyle/>
              <a:p>
                <a:pPr>
                  <a:defRPr sz="900" b="1">
                    <a:solidFill>
                      <a:schemeClr val="bg1"/>
                    </a:solidFill>
                    <a:latin typeface="Arial"/>
                    <a:cs typeface="Arial"/>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Лист1!$A$2:$A$9</c:f>
              <c:strCache>
                <c:ptCount val="8"/>
                <c:pt idx="0">
                  <c:v>Алтайэнерго</c:v>
                </c:pt>
                <c:pt idx="1">
                  <c:v>Бурятэнерго</c:v>
                </c:pt>
                <c:pt idx="2">
                  <c:v>Красноярскэнерго</c:v>
                </c:pt>
                <c:pt idx="3">
                  <c:v>Кузбассэнерго-РЭС</c:v>
                </c:pt>
                <c:pt idx="4">
                  <c:v>Омскэнерго</c:v>
                </c:pt>
                <c:pt idx="5">
                  <c:v>Хакасэнерго</c:v>
                </c:pt>
                <c:pt idx="6">
                  <c:v>Читаэнерго</c:v>
                </c:pt>
                <c:pt idx="7">
                  <c:v>Россети Сибирь*</c:v>
                </c:pt>
              </c:strCache>
            </c:strRef>
          </c:cat>
          <c:val>
            <c:numRef>
              <c:f>Лист1!$B$2:$B$9</c:f>
              <c:numCache>
                <c:formatCode>#\ ##0.000;\-#\ ##0.000</c:formatCode>
                <c:ptCount val="8"/>
                <c:pt idx="0">
                  <c:v>14467.334000000001</c:v>
                </c:pt>
                <c:pt idx="1">
                  <c:v>10941.876</c:v>
                </c:pt>
                <c:pt idx="2">
                  <c:v>22879.27</c:v>
                </c:pt>
                <c:pt idx="3">
                  <c:v>13855.883</c:v>
                </c:pt>
                <c:pt idx="4">
                  <c:v>11031.045</c:v>
                </c:pt>
                <c:pt idx="5">
                  <c:v>4276.0590000000002</c:v>
                </c:pt>
                <c:pt idx="6">
                  <c:v>11008.049000000001</c:v>
                </c:pt>
                <c:pt idx="7">
                  <c:v>8845.9516032720003</c:v>
                </c:pt>
              </c:numCache>
            </c:numRef>
          </c:val>
          <c:extLst>
            <c:ext xmlns:c16="http://schemas.microsoft.com/office/drawing/2014/chart" uri="{C3380CC4-5D6E-409C-BE32-E72D297353CC}">
              <c16:uniqueId val="{00000006-8BB0-47FC-BBCE-0B7BCAF3941F}"/>
            </c:ext>
          </c:extLst>
        </c:ser>
        <c:dLbls>
          <c:showLegendKey val="0"/>
          <c:showVal val="0"/>
          <c:showCatName val="0"/>
          <c:showSerName val="0"/>
          <c:showPercent val="0"/>
          <c:showBubbleSize val="0"/>
        </c:dLbls>
        <c:gapWidth val="20"/>
        <c:axId val="1866169481"/>
        <c:axId val="1866169482"/>
      </c:barChart>
      <c:lineChart>
        <c:grouping val="standard"/>
        <c:varyColors val="0"/>
        <c:ser>
          <c:idx val="1"/>
          <c:order val="1"/>
          <c:tx>
            <c:strRef>
              <c:f>Лист1!$C$1</c:f>
              <c:strCache>
                <c:ptCount val="1"/>
                <c:pt idx="0">
                  <c:v>Уровень оплаты, %</c:v>
                </c:pt>
              </c:strCache>
            </c:strRef>
          </c:tx>
          <c:spPr>
            <a:prstGeom prst="rect">
              <a:avLst/>
            </a:prstGeom>
            <a:ln w="38100">
              <a:solidFill>
                <a:schemeClr val="bg1">
                  <a:lumMod val="50000"/>
                </a:schemeClr>
              </a:solidFill>
            </a:ln>
          </c:spPr>
          <c:marker>
            <c:symbol val="circle"/>
            <c:size val="8"/>
            <c:spPr>
              <a:prstGeom prst="rect">
                <a:avLst/>
              </a:prstGeom>
              <a:solidFill>
                <a:schemeClr val="bg1"/>
              </a:solidFill>
              <a:ln w="38100">
                <a:solidFill>
                  <a:schemeClr val="bg1">
                    <a:lumMod val="50000"/>
                  </a:schemeClr>
                </a:solidFill>
              </a:ln>
            </c:spPr>
          </c:marker>
          <c:dLbls>
            <c:numFmt formatCode="0.0%" sourceLinked="0"/>
            <c:spPr>
              <a:noFill/>
              <a:ln>
                <a:noFill/>
              </a:ln>
              <a:effectLst/>
            </c:spPr>
            <c:txPr>
              <a:bodyPr/>
              <a:lstStyle/>
              <a:p>
                <a:pPr>
                  <a:defRPr sz="900" b="1">
                    <a:latin typeface="Arial"/>
                    <a:cs typeface="Arial"/>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Лист1!$A$2:$A$9</c:f>
              <c:strCache>
                <c:ptCount val="8"/>
                <c:pt idx="0">
                  <c:v>Алтайэнерго</c:v>
                </c:pt>
                <c:pt idx="1">
                  <c:v>Бурятэнерго</c:v>
                </c:pt>
                <c:pt idx="2">
                  <c:v>Красноярскэнерго</c:v>
                </c:pt>
                <c:pt idx="3">
                  <c:v>Кузбассэнерго-РЭС</c:v>
                </c:pt>
                <c:pt idx="4">
                  <c:v>Омскэнерго</c:v>
                </c:pt>
                <c:pt idx="5">
                  <c:v>Хакасэнерго</c:v>
                </c:pt>
                <c:pt idx="6">
                  <c:v>Читаэнерго</c:v>
                </c:pt>
                <c:pt idx="7">
                  <c:v>Россети Сибирь*</c:v>
                </c:pt>
              </c:strCache>
            </c:strRef>
          </c:cat>
          <c:val>
            <c:numRef>
              <c:f>Лист1!$C$2:$C$9</c:f>
              <c:numCache>
                <c:formatCode>0.0%</c:formatCode>
                <c:ptCount val="8"/>
                <c:pt idx="0">
                  <c:v>0.98584217382414752</c:v>
                </c:pt>
                <c:pt idx="1">
                  <c:v>1.0406374555880544</c:v>
                </c:pt>
                <c:pt idx="2">
                  <c:v>0.97601199688626428</c:v>
                </c:pt>
                <c:pt idx="3">
                  <c:v>0.94889636409314371</c:v>
                </c:pt>
                <c:pt idx="4">
                  <c:v>0.88016511581631651</c:v>
                </c:pt>
                <c:pt idx="5">
                  <c:v>1.0140917138888867</c:v>
                </c:pt>
                <c:pt idx="6">
                  <c:v>1.0329695116727768</c:v>
                </c:pt>
                <c:pt idx="7">
                  <c:v>0.97834255914478008</c:v>
                </c:pt>
              </c:numCache>
            </c:numRef>
          </c:val>
          <c:smooth val="0"/>
          <c:extLst>
            <c:ext xmlns:c16="http://schemas.microsoft.com/office/drawing/2014/chart" uri="{C3380CC4-5D6E-409C-BE32-E72D297353CC}">
              <c16:uniqueId val="{00000007-8BB0-47FC-BBCE-0B7BCAF3941F}"/>
            </c:ext>
          </c:extLst>
        </c:ser>
        <c:dLbls>
          <c:showLegendKey val="0"/>
          <c:showVal val="0"/>
          <c:showCatName val="0"/>
          <c:showSerName val="0"/>
          <c:showPercent val="0"/>
          <c:showBubbleSize val="0"/>
        </c:dLbls>
        <c:marker val="1"/>
        <c:smooth val="0"/>
        <c:axId val="1866169484"/>
        <c:axId val="1866169483"/>
      </c:lineChart>
      <c:catAx>
        <c:axId val="1866169481"/>
        <c:scaling>
          <c:orientation val="minMax"/>
        </c:scaling>
        <c:delete val="0"/>
        <c:axPos val="b"/>
        <c:numFmt formatCode="General" sourceLinked="1"/>
        <c:majorTickMark val="out"/>
        <c:minorTickMark val="none"/>
        <c:tickLblPos val="nextTo"/>
        <c:spPr>
          <a:prstGeom prst="rect">
            <a:avLst/>
          </a:prstGeom>
          <a:ln>
            <a:noFill/>
          </a:ln>
        </c:spPr>
        <c:txPr>
          <a:bodyPr/>
          <a:lstStyle/>
          <a:p>
            <a:pPr>
              <a:defRPr sz="700" b="0">
                <a:latin typeface="Arial"/>
                <a:cs typeface="Arial"/>
              </a:defRPr>
            </a:pPr>
            <a:endParaRPr lang="ru-RU"/>
          </a:p>
        </c:txPr>
        <c:crossAx val="1866169482"/>
        <c:crosses val="autoZero"/>
        <c:auto val="1"/>
        <c:lblAlgn val="ctr"/>
        <c:lblOffset val="100"/>
        <c:noMultiLvlLbl val="0"/>
      </c:catAx>
      <c:valAx>
        <c:axId val="1866169482"/>
        <c:scaling>
          <c:orientation val="minMax"/>
        </c:scaling>
        <c:delete val="0"/>
        <c:axPos val="l"/>
        <c:numFmt formatCode="#\ ##0.000;\-#\ ##0.000" sourceLinked="1"/>
        <c:majorTickMark val="none"/>
        <c:minorTickMark val="none"/>
        <c:tickLblPos val="none"/>
        <c:spPr>
          <a:prstGeom prst="rect">
            <a:avLst/>
          </a:prstGeom>
          <a:ln>
            <a:noFill/>
          </a:ln>
        </c:spPr>
        <c:crossAx val="1866169481"/>
        <c:crosses val="autoZero"/>
        <c:crossBetween val="between"/>
      </c:valAx>
      <c:valAx>
        <c:axId val="1866169483"/>
        <c:scaling>
          <c:orientation val="minMax"/>
        </c:scaling>
        <c:delete val="0"/>
        <c:axPos val="r"/>
        <c:numFmt formatCode="0.0%" sourceLinked="1"/>
        <c:majorTickMark val="none"/>
        <c:minorTickMark val="none"/>
        <c:tickLblPos val="none"/>
        <c:spPr>
          <a:prstGeom prst="rect">
            <a:avLst/>
          </a:prstGeom>
          <a:ln>
            <a:noFill/>
          </a:ln>
        </c:spPr>
        <c:crossAx val="1866169484"/>
        <c:crosses val="max"/>
        <c:crossBetween val="between"/>
      </c:valAx>
      <c:catAx>
        <c:axId val="1866169484"/>
        <c:scaling>
          <c:orientation val="minMax"/>
        </c:scaling>
        <c:delete val="1"/>
        <c:axPos val="b"/>
        <c:numFmt formatCode="General" sourceLinked="1"/>
        <c:majorTickMark val="out"/>
        <c:minorTickMark val="none"/>
        <c:tickLblPos val="nextTo"/>
        <c:crossAx val="1866169483"/>
        <c:crosses val="autoZero"/>
        <c:auto val="1"/>
        <c:lblAlgn val="ctr"/>
        <c:lblOffset val="100"/>
        <c:noMultiLvlLbl val="0"/>
      </c:catAx>
    </c:plotArea>
    <c:legend>
      <c:legendPos val="b"/>
      <c:layout>
        <c:manualLayout>
          <c:xMode val="edge"/>
          <c:yMode val="edge"/>
          <c:x val="0.24159"/>
          <c:y val="0.91495000000000004"/>
          <c:w val="0.51680000000000004"/>
          <c:h val="6.6979999999999998E-2"/>
        </c:manualLayout>
      </c:layout>
      <c:overlay val="0"/>
      <c:txPr>
        <a:bodyPr/>
        <a:lstStyle/>
        <a:p>
          <a:pPr>
            <a:defRPr sz="800">
              <a:latin typeface="Arial"/>
              <a:cs typeface="Arial"/>
            </a:defRPr>
          </a:pPr>
          <a:endParaRPr lang="ru-RU"/>
        </a:p>
      </c:txPr>
    </c:legend>
    <c:plotVisOnly val="1"/>
    <c:dispBlanksAs val="gap"/>
    <c:showDLblsOverMax val="0"/>
  </c:chart>
  <c:spPr>
    <a:xfrm>
      <a:off x="0" y="0"/>
      <a:ext cx="0" cy="0"/>
    </a:xfrm>
    <a:prstGeom prst="rect">
      <a:avLst/>
    </a:prstGeom>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272E-2"/>
          <c:y val="3.4840000000000003E-2"/>
          <c:w val="0.96087"/>
          <c:h val="0.66827000000000003"/>
        </c:manualLayout>
      </c:layout>
      <c:barChart>
        <c:barDir val="col"/>
        <c:grouping val="clustered"/>
        <c:varyColors val="0"/>
        <c:ser>
          <c:idx val="0"/>
          <c:order val="0"/>
          <c:tx>
            <c:strRef>
              <c:f>Лист1!$B$1</c:f>
              <c:strCache>
                <c:ptCount val="1"/>
                <c:pt idx="0">
                  <c:v>Начисление, млн руб.</c:v>
                </c:pt>
              </c:strCache>
            </c:strRef>
          </c:tx>
          <c:spPr>
            <a:prstGeom prst="rect">
              <a:avLst/>
            </a:prstGeom>
            <a:solidFill>
              <a:srgbClr val="0070C0"/>
            </a:solidFill>
            <a:ln>
              <a:solidFill>
                <a:srgbClr val="0070C0"/>
              </a:solidFill>
            </a:ln>
          </c:spPr>
          <c:invertIfNegative val="0"/>
          <c:dPt>
            <c:idx val="0"/>
            <c:invertIfNegative val="0"/>
            <c:bubble3D val="0"/>
            <c:extLst>
              <c:ext xmlns:c16="http://schemas.microsoft.com/office/drawing/2014/chart" uri="{C3380CC4-5D6E-409C-BE32-E72D297353CC}">
                <c16:uniqueId val="{00000000-BC6B-4195-8642-0B76ECD81989}"/>
              </c:ext>
            </c:extLst>
          </c:dPt>
          <c:dPt>
            <c:idx val="1"/>
            <c:invertIfNegative val="0"/>
            <c:bubble3D val="0"/>
            <c:extLst>
              <c:ext xmlns:c16="http://schemas.microsoft.com/office/drawing/2014/chart" uri="{C3380CC4-5D6E-409C-BE32-E72D297353CC}">
                <c16:uniqueId val="{00000001-BC6B-4195-8642-0B76ECD81989}"/>
              </c:ext>
            </c:extLst>
          </c:dPt>
          <c:dPt>
            <c:idx val="2"/>
            <c:invertIfNegative val="0"/>
            <c:bubble3D val="0"/>
            <c:extLst>
              <c:ext xmlns:c16="http://schemas.microsoft.com/office/drawing/2014/chart" uri="{C3380CC4-5D6E-409C-BE32-E72D297353CC}">
                <c16:uniqueId val="{00000002-BC6B-4195-8642-0B76ECD81989}"/>
              </c:ext>
            </c:extLst>
          </c:dPt>
          <c:dPt>
            <c:idx val="3"/>
            <c:invertIfNegative val="0"/>
            <c:bubble3D val="0"/>
            <c:extLst>
              <c:ext xmlns:c16="http://schemas.microsoft.com/office/drawing/2014/chart" uri="{C3380CC4-5D6E-409C-BE32-E72D297353CC}">
                <c16:uniqueId val="{00000003-BC6B-4195-8642-0B76ECD81989}"/>
              </c:ext>
            </c:extLst>
          </c:dPt>
          <c:dPt>
            <c:idx val="4"/>
            <c:invertIfNegative val="0"/>
            <c:bubble3D val="0"/>
            <c:extLst>
              <c:ext xmlns:c16="http://schemas.microsoft.com/office/drawing/2014/chart" uri="{C3380CC4-5D6E-409C-BE32-E72D297353CC}">
                <c16:uniqueId val="{00000004-BC6B-4195-8642-0B76ECD81989}"/>
              </c:ext>
            </c:extLst>
          </c:dPt>
          <c:dPt>
            <c:idx val="5"/>
            <c:invertIfNegative val="0"/>
            <c:bubble3D val="0"/>
            <c:extLst>
              <c:ext xmlns:c16="http://schemas.microsoft.com/office/drawing/2014/chart" uri="{C3380CC4-5D6E-409C-BE32-E72D297353CC}">
                <c16:uniqueId val="{00000005-BC6B-4195-8642-0B76ECD81989}"/>
              </c:ext>
            </c:extLst>
          </c:dPt>
          <c:dLbls>
            <c:numFmt formatCode="#,##0" sourceLinked="0"/>
            <c:spPr>
              <a:noFill/>
              <a:ln>
                <a:noFill/>
              </a:ln>
              <a:effectLst/>
            </c:spPr>
            <c:txPr>
              <a:bodyPr/>
              <a:lstStyle/>
              <a:p>
                <a:pPr>
                  <a:defRPr sz="900" b="1">
                    <a:solidFill>
                      <a:schemeClr val="tx1"/>
                    </a:solidFill>
                    <a:latin typeface="Arial"/>
                    <a:cs typeface="Arial"/>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Лист1!$A$2:$A$9</c:f>
              <c:strCache>
                <c:ptCount val="8"/>
                <c:pt idx="0">
                  <c:v>Алтайэнерго</c:v>
                </c:pt>
                <c:pt idx="1">
                  <c:v>Бурятэнерго</c:v>
                </c:pt>
                <c:pt idx="2">
                  <c:v>Красноярскэнерго</c:v>
                </c:pt>
                <c:pt idx="3">
                  <c:v>Кузбассэнерго-РЭС</c:v>
                </c:pt>
                <c:pt idx="4">
                  <c:v>Омскэнерго</c:v>
                </c:pt>
                <c:pt idx="5">
                  <c:v>Хакасэнерго</c:v>
                </c:pt>
                <c:pt idx="6">
                  <c:v>Читаэнерго</c:v>
                </c:pt>
                <c:pt idx="7">
                  <c:v>Россети Сибирь*</c:v>
                </c:pt>
              </c:strCache>
            </c:strRef>
          </c:cat>
          <c:val>
            <c:numRef>
              <c:f>Лист1!$B$2:$B$9</c:f>
              <c:numCache>
                <c:formatCode>0</c:formatCode>
                <c:ptCount val="8"/>
                <c:pt idx="0">
                  <c:v>648</c:v>
                </c:pt>
                <c:pt idx="1">
                  <c:v>171</c:v>
                </c:pt>
                <c:pt idx="2">
                  <c:v>954</c:v>
                </c:pt>
                <c:pt idx="3" formatCode="0.00">
                  <c:v>0</c:v>
                </c:pt>
                <c:pt idx="4">
                  <c:v>313</c:v>
                </c:pt>
                <c:pt idx="5">
                  <c:v>612</c:v>
                </c:pt>
                <c:pt idx="6">
                  <c:v>1115</c:v>
                </c:pt>
                <c:pt idx="7">
                  <c:v>3813</c:v>
                </c:pt>
              </c:numCache>
            </c:numRef>
          </c:val>
          <c:extLst>
            <c:ext xmlns:c16="http://schemas.microsoft.com/office/drawing/2014/chart" uri="{C3380CC4-5D6E-409C-BE32-E72D297353CC}">
              <c16:uniqueId val="{00000006-BC6B-4195-8642-0B76ECD81989}"/>
            </c:ext>
          </c:extLst>
        </c:ser>
        <c:dLbls>
          <c:showLegendKey val="0"/>
          <c:showVal val="0"/>
          <c:showCatName val="0"/>
          <c:showSerName val="0"/>
          <c:showPercent val="0"/>
          <c:showBubbleSize val="0"/>
        </c:dLbls>
        <c:gapWidth val="20"/>
        <c:axId val="1866169485"/>
        <c:axId val="1866169486"/>
      </c:barChart>
      <c:lineChart>
        <c:grouping val="standard"/>
        <c:varyColors val="0"/>
        <c:ser>
          <c:idx val="1"/>
          <c:order val="1"/>
          <c:tx>
            <c:strRef>
              <c:f>Лист1!$C$1</c:f>
              <c:strCache>
                <c:ptCount val="1"/>
                <c:pt idx="0">
                  <c:v>Уровень оплаты, %</c:v>
                </c:pt>
              </c:strCache>
            </c:strRef>
          </c:tx>
          <c:spPr>
            <a:prstGeom prst="rect">
              <a:avLst/>
            </a:prstGeom>
            <a:ln w="38100">
              <a:solidFill>
                <a:schemeClr val="bg1">
                  <a:lumMod val="50000"/>
                </a:schemeClr>
              </a:solidFill>
              <a:round/>
            </a:ln>
          </c:spPr>
          <c:marker>
            <c:symbol val="circle"/>
            <c:size val="8"/>
            <c:spPr>
              <a:prstGeom prst="rect">
                <a:avLst/>
              </a:prstGeom>
              <a:solidFill>
                <a:schemeClr val="bg1"/>
              </a:solidFill>
              <a:ln w="38100">
                <a:solidFill>
                  <a:schemeClr val="bg1">
                    <a:lumMod val="50000"/>
                  </a:schemeClr>
                </a:solidFill>
              </a:ln>
            </c:spPr>
          </c:marker>
          <c:dLbls>
            <c:numFmt formatCode="0.0%" sourceLinked="0"/>
            <c:spPr>
              <a:noFill/>
              <a:ln>
                <a:noFill/>
                <a:miter/>
              </a:ln>
              <a:effectLst/>
            </c:spPr>
            <c:txPr>
              <a:bodyPr/>
              <a:lstStyle/>
              <a:p>
                <a:pPr>
                  <a:defRPr sz="900" b="1">
                    <a:latin typeface="Arial"/>
                    <a:cs typeface="Arial"/>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Лист1!$A$2:$A$9</c:f>
              <c:strCache>
                <c:ptCount val="8"/>
                <c:pt idx="0">
                  <c:v>Алтайэнерго</c:v>
                </c:pt>
                <c:pt idx="1">
                  <c:v>Бурятэнерго</c:v>
                </c:pt>
                <c:pt idx="2">
                  <c:v>Красноярскэнерго</c:v>
                </c:pt>
                <c:pt idx="3">
                  <c:v>Кузбассэнерго-РЭС</c:v>
                </c:pt>
                <c:pt idx="4">
                  <c:v>Омскэнерго</c:v>
                </c:pt>
                <c:pt idx="5">
                  <c:v>Хакасэнерго</c:v>
                </c:pt>
                <c:pt idx="6">
                  <c:v>Читаэнерго</c:v>
                </c:pt>
                <c:pt idx="7">
                  <c:v>Россети Сибирь*</c:v>
                </c:pt>
              </c:strCache>
            </c:strRef>
          </c:cat>
          <c:val>
            <c:numRef>
              <c:f>Лист1!$C$2:$C$9</c:f>
              <c:numCache>
                <c:formatCode>0.0%</c:formatCode>
                <c:ptCount val="8"/>
                <c:pt idx="0">
                  <c:v>1</c:v>
                </c:pt>
                <c:pt idx="1">
                  <c:v>1</c:v>
                </c:pt>
                <c:pt idx="2">
                  <c:v>1</c:v>
                </c:pt>
                <c:pt idx="3">
                  <c:v>0</c:v>
                </c:pt>
                <c:pt idx="4">
                  <c:v>0.99</c:v>
                </c:pt>
                <c:pt idx="5">
                  <c:v>1.08</c:v>
                </c:pt>
                <c:pt idx="6">
                  <c:v>0.97</c:v>
                </c:pt>
                <c:pt idx="7">
                  <c:v>1.0029999999999999</c:v>
                </c:pt>
              </c:numCache>
            </c:numRef>
          </c:val>
          <c:smooth val="0"/>
          <c:extLst>
            <c:ext xmlns:c16="http://schemas.microsoft.com/office/drawing/2014/chart" uri="{C3380CC4-5D6E-409C-BE32-E72D297353CC}">
              <c16:uniqueId val="{00000007-BC6B-4195-8642-0B76ECD81989}"/>
            </c:ext>
          </c:extLst>
        </c:ser>
        <c:dLbls>
          <c:showLegendKey val="0"/>
          <c:showVal val="0"/>
          <c:showCatName val="0"/>
          <c:showSerName val="0"/>
          <c:showPercent val="0"/>
          <c:showBubbleSize val="0"/>
        </c:dLbls>
        <c:marker val="1"/>
        <c:smooth val="0"/>
        <c:axId val="1866169488"/>
        <c:axId val="1866169487"/>
      </c:lineChart>
      <c:catAx>
        <c:axId val="1866169485"/>
        <c:scaling>
          <c:orientation val="minMax"/>
        </c:scaling>
        <c:delete val="0"/>
        <c:axPos val="b"/>
        <c:numFmt formatCode="General" sourceLinked="1"/>
        <c:majorTickMark val="out"/>
        <c:minorTickMark val="none"/>
        <c:tickLblPos val="nextTo"/>
        <c:spPr>
          <a:prstGeom prst="rect">
            <a:avLst/>
          </a:prstGeom>
          <a:ln>
            <a:noFill/>
          </a:ln>
        </c:spPr>
        <c:txPr>
          <a:bodyPr/>
          <a:lstStyle/>
          <a:p>
            <a:pPr>
              <a:defRPr sz="700" b="0">
                <a:latin typeface="Arial"/>
                <a:cs typeface="Arial"/>
              </a:defRPr>
            </a:pPr>
            <a:endParaRPr lang="ru-RU"/>
          </a:p>
        </c:txPr>
        <c:crossAx val="1866169486"/>
        <c:crosses val="autoZero"/>
        <c:auto val="1"/>
        <c:lblAlgn val="ctr"/>
        <c:lblOffset val="100"/>
        <c:noMultiLvlLbl val="0"/>
      </c:catAx>
      <c:valAx>
        <c:axId val="1866169486"/>
        <c:scaling>
          <c:orientation val="minMax"/>
        </c:scaling>
        <c:delete val="0"/>
        <c:axPos val="l"/>
        <c:numFmt formatCode="0" sourceLinked="1"/>
        <c:majorTickMark val="none"/>
        <c:minorTickMark val="none"/>
        <c:tickLblPos val="none"/>
        <c:spPr>
          <a:prstGeom prst="rect">
            <a:avLst/>
          </a:prstGeom>
          <a:ln>
            <a:noFill/>
          </a:ln>
        </c:spPr>
        <c:crossAx val="1866169485"/>
        <c:crosses val="autoZero"/>
        <c:crossBetween val="between"/>
      </c:valAx>
      <c:valAx>
        <c:axId val="1866169487"/>
        <c:scaling>
          <c:orientation val="minMax"/>
        </c:scaling>
        <c:delete val="0"/>
        <c:axPos val="r"/>
        <c:numFmt formatCode="0.0%" sourceLinked="1"/>
        <c:majorTickMark val="none"/>
        <c:minorTickMark val="none"/>
        <c:tickLblPos val="none"/>
        <c:spPr>
          <a:prstGeom prst="rect">
            <a:avLst/>
          </a:prstGeom>
          <a:ln>
            <a:noFill/>
          </a:ln>
        </c:spPr>
        <c:crossAx val="1866169488"/>
        <c:crosses val="max"/>
        <c:crossBetween val="between"/>
      </c:valAx>
      <c:catAx>
        <c:axId val="1866169488"/>
        <c:scaling>
          <c:orientation val="minMax"/>
        </c:scaling>
        <c:delete val="1"/>
        <c:axPos val="b"/>
        <c:numFmt formatCode="General" sourceLinked="1"/>
        <c:majorTickMark val="out"/>
        <c:minorTickMark val="none"/>
        <c:tickLblPos val="nextTo"/>
        <c:crossAx val="1866169487"/>
        <c:crosses val="autoZero"/>
        <c:auto val="1"/>
        <c:lblAlgn val="ctr"/>
        <c:lblOffset val="100"/>
        <c:noMultiLvlLbl val="0"/>
      </c:catAx>
      <c:spPr>
        <a:prstGeom prst="rect">
          <a:avLst/>
        </a:prstGeom>
        <a:ln>
          <a:solidFill>
            <a:srgbClr val="0070C0"/>
          </a:solidFill>
          <a:round/>
        </a:ln>
      </c:spPr>
    </c:plotArea>
    <c:legend>
      <c:legendPos val="b"/>
      <c:overlay val="0"/>
      <c:txPr>
        <a:bodyPr/>
        <a:lstStyle/>
        <a:p>
          <a:pPr>
            <a:defRPr sz="800">
              <a:latin typeface="Arial"/>
              <a:cs typeface="Arial"/>
            </a:defRPr>
          </a:pPr>
          <a:endParaRPr lang="ru-RU"/>
        </a:p>
      </c:txPr>
    </c:legend>
    <c:plotVisOnly val="1"/>
    <c:dispBlanksAs val="gap"/>
    <c:showDLblsOverMax val="0"/>
  </c:chart>
  <c:spPr>
    <a:xfrm>
      <a:off x="0" y="0"/>
      <a:ext cx="0" cy="0"/>
    </a:xfrm>
    <a:prstGeom prst="rect">
      <a:avLst/>
    </a:prstGeom>
    <a:ln>
      <a:no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2022</a:t>
            </a:r>
            <a:endParaRPr lang="en-US"/>
          </a:p>
        </c:rich>
      </c:tx>
      <c:overlay val="0"/>
    </c:title>
    <c:autoTitleDeleted val="0"/>
    <c:plotArea>
      <c:layout/>
      <c:pie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15:spPr xmlns:c15="http://schemas.microsoft.com/office/drawing/2012/chart">
                  <a:prstGeom prst="rect">
                    <a:avLst/>
                  </a:prstGeom>
                </c15:spPr>
              </c:ext>
            </c:extLst>
          </c:dLbls>
          <c:cat>
            <c:strRef>
              <c:f>'с субсидией и с ВН-1'!$A$83:$A$84</c:f>
              <c:strCache>
                <c:ptCount val="2"/>
                <c:pt idx="0">
                  <c:v>Доля НВВ ПАО "Россети Сибирь"</c:v>
                </c:pt>
                <c:pt idx="1">
                  <c:v>Доля прочих ТСО </c:v>
                </c:pt>
              </c:strCache>
            </c:strRef>
          </c:cat>
          <c:val>
            <c:numRef>
              <c:f>'с субсидией и с ВН-1'!$L$83:$L$84</c:f>
              <c:numCache>
                <c:formatCode>0%</c:formatCode>
                <c:ptCount val="2"/>
                <c:pt idx="0">
                  <c:v>0.62606358136261342</c:v>
                </c:pt>
                <c:pt idx="1">
                  <c:v>0.37393641863738658</c:v>
                </c:pt>
              </c:numCache>
            </c:numRef>
          </c:val>
          <c:extLst>
            <c:ext xmlns:c16="http://schemas.microsoft.com/office/drawing/2014/chart" uri="{C3380CC4-5D6E-409C-BE32-E72D297353CC}">
              <c16:uniqueId val="{00000000-37F3-4536-BA6E-6EA22038073C}"/>
            </c:ext>
          </c:extLst>
        </c:ser>
        <c:dLbls>
          <c:showLegendKey val="0"/>
          <c:showVal val="0"/>
          <c:showCatName val="0"/>
          <c:showSerName val="0"/>
          <c:showPercent val="0"/>
          <c:showBubbleSize val="0"/>
          <c:showLeaderLines val="1"/>
        </c:dLbls>
        <c:firstSliceAng val="0"/>
      </c:pieChart>
      <c:spPr>
        <a:prstGeom prst="rect">
          <a:avLst/>
        </a:prstGeom>
        <a:noFill/>
        <a:ln w="25449">
          <a:noFill/>
        </a:ln>
      </c:spPr>
    </c:plotArea>
    <c:legend>
      <c:legendPos val="r"/>
      <c:layout>
        <c:manualLayout>
          <c:xMode val="edge"/>
          <c:yMode val="edge"/>
          <c:x val="0.59092"/>
          <c:y val="0.28462999999999999"/>
          <c:w val="0.35398000000000002"/>
          <c:h val="0.54852000000000001"/>
        </c:manualLayout>
      </c:layout>
      <c:overlay val="0"/>
      <c:txPr>
        <a:bodyPr/>
        <a:lstStyle/>
        <a:p>
          <a:pPr>
            <a:defRPr/>
          </a:pPr>
          <a:endParaRPr lang="ru-RU"/>
        </a:p>
      </c:txPr>
    </c:legend>
    <c:plotVisOnly val="1"/>
    <c:dispBlanksAs val="zero"/>
    <c:showDLblsOverMax val="0"/>
  </c:chart>
  <c:spPr>
    <a:xfrm>
      <a:off x="0" y="0"/>
      <a:ext cx="0" cy="0"/>
    </a:xfrm>
    <a:prstGeom prst="rect">
      <a:avLst/>
    </a:prstGeom>
    <a:ln>
      <a:noFill/>
    </a:ln>
  </c:spPr>
  <c:txPr>
    <a:bodyPr/>
    <a:lstStyle/>
    <a:p>
      <a:pPr>
        <a:defRPr sz="800">
          <a:latin typeface="Arial Narrow"/>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2023</a:t>
            </a:r>
            <a:endParaRPr lang="en-US"/>
          </a:p>
        </c:rich>
      </c:tx>
      <c:overlay val="0"/>
    </c:title>
    <c:autoTitleDeleted val="0"/>
    <c:plotArea>
      <c:layout/>
      <c:pie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15:spPr xmlns:c15="http://schemas.microsoft.com/office/drawing/2012/chart">
                  <a:prstGeom prst="rect">
                    <a:avLst/>
                  </a:prstGeom>
                </c15:spPr>
              </c:ext>
            </c:extLst>
          </c:dLbls>
          <c:cat>
            <c:strRef>
              <c:f>'с субсидией и с ВН-1'!$A$83:$A$84</c:f>
              <c:strCache>
                <c:ptCount val="2"/>
                <c:pt idx="0">
                  <c:v>Доля НВВ ПАО "Россети Сибирь"</c:v>
                </c:pt>
                <c:pt idx="1">
                  <c:v>Доля прочих ТСО </c:v>
                </c:pt>
              </c:strCache>
            </c:strRef>
          </c:cat>
          <c:val>
            <c:numRef>
              <c:f>'с субсидией и с ВН-1'!$N$83:$N$84</c:f>
              <c:numCache>
                <c:formatCode>0%</c:formatCode>
                <c:ptCount val="2"/>
                <c:pt idx="0">
                  <c:v>0.64432550120150167</c:v>
                </c:pt>
                <c:pt idx="1">
                  <c:v>0.35567449879849833</c:v>
                </c:pt>
              </c:numCache>
            </c:numRef>
          </c:val>
          <c:extLst>
            <c:ext xmlns:c16="http://schemas.microsoft.com/office/drawing/2014/chart" uri="{C3380CC4-5D6E-409C-BE32-E72D297353CC}">
              <c16:uniqueId val="{00000000-69B7-4B77-9730-5BEB6441EFC1}"/>
            </c:ext>
          </c:extLst>
        </c:ser>
        <c:dLbls>
          <c:showLegendKey val="0"/>
          <c:showVal val="0"/>
          <c:showCatName val="0"/>
          <c:showSerName val="0"/>
          <c:showPercent val="0"/>
          <c:showBubbleSize val="0"/>
          <c:showLeaderLines val="1"/>
        </c:dLbls>
        <c:firstSliceAng val="0"/>
      </c:pieChart>
      <c:spPr>
        <a:prstGeom prst="rect">
          <a:avLst/>
        </a:prstGeom>
        <a:noFill/>
        <a:ln w="25449">
          <a:noFill/>
        </a:ln>
      </c:spPr>
    </c:plotArea>
    <c:legend>
      <c:legendPos val="r"/>
      <c:layout>
        <c:manualLayout>
          <c:xMode val="edge"/>
          <c:yMode val="edge"/>
          <c:x val="0.59092"/>
          <c:y val="0.28462999999999999"/>
          <c:w val="0.35398000000000002"/>
          <c:h val="0.54852000000000001"/>
        </c:manualLayout>
      </c:layout>
      <c:overlay val="0"/>
      <c:txPr>
        <a:bodyPr/>
        <a:lstStyle/>
        <a:p>
          <a:pPr>
            <a:defRPr/>
          </a:pPr>
          <a:endParaRPr lang="ru-RU"/>
        </a:p>
      </c:txPr>
    </c:legend>
    <c:plotVisOnly val="1"/>
    <c:dispBlanksAs val="zero"/>
    <c:showDLblsOverMax val="0"/>
  </c:chart>
  <c:spPr>
    <a:xfrm>
      <a:off x="0" y="0"/>
      <a:ext cx="0" cy="0"/>
    </a:xfrm>
    <a:prstGeom prst="rect">
      <a:avLst/>
    </a:prstGeom>
    <a:ln>
      <a:noFill/>
    </a:ln>
  </c:spPr>
  <c:txPr>
    <a:bodyPr/>
    <a:lstStyle/>
    <a:p>
      <a:pPr>
        <a:defRPr sz="800">
          <a:latin typeface="Arial Narrow"/>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2024</a:t>
            </a:r>
            <a:endParaRPr lang="en-US"/>
          </a:p>
        </c:rich>
      </c:tx>
      <c:overlay val="0"/>
    </c:title>
    <c:autoTitleDeleted val="0"/>
    <c:plotArea>
      <c:layout/>
      <c:pieChart>
        <c:varyColors val="1"/>
        <c:ser>
          <c:idx val="0"/>
          <c:order val="0"/>
          <c:dLbls>
            <c:dLbl>
              <c:idx val="0"/>
              <c:tx>
                <c:rich>
                  <a:bodyPr/>
                  <a:lstStyle/>
                  <a:p>
                    <a:pPr>
                      <a:defRPr/>
                    </a:pPr>
                    <a:r>
                      <a:rPr lang="en-US"/>
                      <a:t>66%</a:t>
                    </a:r>
                    <a:endParaRPr/>
                  </a:p>
                </c:rich>
              </c:tx>
              <c:spPr>
                <a:noFill/>
                <a:ln>
                  <a:noFill/>
                </a:ln>
              </c:spPr>
              <c:dLblPos val="bestFi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CD37-4040-9A9A-946D9F0B910D}"/>
                </c:ext>
              </c:extLst>
            </c:dLbl>
            <c:dLbl>
              <c:idx val="1"/>
              <c:tx>
                <c:rich>
                  <a:bodyPr/>
                  <a:lstStyle/>
                  <a:p>
                    <a:pPr>
                      <a:defRPr/>
                    </a:pPr>
                    <a:r>
                      <a:rPr lang="en-US"/>
                      <a:t>34%</a:t>
                    </a:r>
                    <a:endParaRPr/>
                  </a:p>
                </c:rich>
              </c:tx>
              <c:spPr>
                <a:noFill/>
                <a:ln>
                  <a:noFill/>
                </a:ln>
              </c:spPr>
              <c:dLblPos val="bestFi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CD37-4040-9A9A-946D9F0B910D}"/>
                </c:ext>
              </c:extLst>
            </c:dLbl>
            <c:spPr>
              <a:noFill/>
              <a:ln>
                <a:noFill/>
                <a:bevel/>
              </a:ln>
              <a:effectLst/>
            </c:spPr>
            <c:showLegendKey val="0"/>
            <c:showVal val="1"/>
            <c:showCatName val="0"/>
            <c:showSerName val="0"/>
            <c:showPercent val="0"/>
            <c:showBubbleSize val="0"/>
            <c:showLeaderLines val="1"/>
            <c:extLst>
              <c:ext xmlns:c15="http://schemas.microsoft.com/office/drawing/2012/chart" uri="{CE6537A1-D6FC-4f65-9D91-7224C49458BB}">
                <c15:spPr xmlns:c15="http://schemas.microsoft.com/office/drawing/2012/chart">
                  <a:prstGeom prst="rect">
                    <a:avLst/>
                  </a:prstGeom>
                </c15:spPr>
              </c:ext>
            </c:extLst>
          </c:dLbls>
          <c:cat>
            <c:strRef>
              <c:f>'с субсидией и с ВН-1'!$A$83:$A$84</c:f>
              <c:strCache>
                <c:ptCount val="2"/>
                <c:pt idx="0">
                  <c:v>Доля НВВ ПАО "Россети Сибирь"</c:v>
                </c:pt>
                <c:pt idx="1">
                  <c:v>Доля прочих ТСО </c:v>
                </c:pt>
              </c:strCache>
            </c:strRef>
          </c:cat>
          <c:val>
            <c:numRef>
              <c:f>'с субсидией и с ВН-1'!$J$83:$J$84</c:f>
              <c:numCache>
                <c:formatCode>0%</c:formatCode>
                <c:ptCount val="2"/>
                <c:pt idx="0">
                  <c:v>0.62791468846459353</c:v>
                </c:pt>
                <c:pt idx="1">
                  <c:v>0.37208531153540647</c:v>
                </c:pt>
              </c:numCache>
            </c:numRef>
          </c:val>
          <c:extLst>
            <c:ext xmlns:c16="http://schemas.microsoft.com/office/drawing/2014/chart" uri="{C3380CC4-5D6E-409C-BE32-E72D297353CC}">
              <c16:uniqueId val="{00000002-CD37-4040-9A9A-946D9F0B910D}"/>
            </c:ext>
          </c:extLst>
        </c:ser>
        <c:dLbls>
          <c:showLegendKey val="0"/>
          <c:showVal val="0"/>
          <c:showCatName val="0"/>
          <c:showSerName val="0"/>
          <c:showPercent val="0"/>
          <c:showBubbleSize val="0"/>
          <c:showLeaderLines val="1"/>
        </c:dLbls>
        <c:firstSliceAng val="0"/>
      </c:pieChart>
      <c:spPr>
        <a:prstGeom prst="rect">
          <a:avLst/>
        </a:prstGeom>
        <a:noFill/>
        <a:ln w="25449">
          <a:noFill/>
        </a:ln>
      </c:spPr>
    </c:plotArea>
    <c:legend>
      <c:legendPos val="r"/>
      <c:layout>
        <c:manualLayout>
          <c:xMode val="edge"/>
          <c:yMode val="edge"/>
          <c:x val="0.59092"/>
          <c:y val="0.28462999999999999"/>
          <c:w val="0.35398000000000002"/>
          <c:h val="0.54852000000000001"/>
        </c:manualLayout>
      </c:layout>
      <c:overlay val="0"/>
      <c:txPr>
        <a:bodyPr/>
        <a:lstStyle/>
        <a:p>
          <a:pPr>
            <a:defRPr/>
          </a:pPr>
          <a:endParaRPr lang="ru-RU"/>
        </a:p>
      </c:txPr>
    </c:legend>
    <c:plotVisOnly val="1"/>
    <c:dispBlanksAs val="zero"/>
    <c:showDLblsOverMax val="0"/>
  </c:chart>
  <c:spPr>
    <a:xfrm>
      <a:off x="0" y="0"/>
      <a:ext cx="1841951" cy="1934208"/>
    </a:xfrm>
    <a:prstGeom prst="rect">
      <a:avLst/>
    </a:prstGeom>
    <a:ln>
      <a:noFill/>
    </a:ln>
  </c:spPr>
  <c:txPr>
    <a:bodyPr/>
    <a:lstStyle/>
    <a:p>
      <a:pPr>
        <a:defRPr sz="800">
          <a:latin typeface="Arial Narrow"/>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spc="0">
                <a:solidFill>
                  <a:schemeClr val="tx1">
                    <a:lumMod val="65000"/>
                    <a:lumOff val="35000"/>
                  </a:schemeClr>
                </a:solidFill>
                <a:latin typeface="Times New Roman"/>
                <a:ea typeface="+mn-ea"/>
                <a:cs typeface="Times New Roman"/>
              </a:defRPr>
            </a:pPr>
            <a:r>
              <a:rPr lang="en-US">
                <a:latin typeface="Times New Roman"/>
                <a:cs typeface="Times New Roman"/>
              </a:rPr>
              <a:t> </a:t>
            </a:r>
            <a:r>
              <a:rPr lang="en-US" sz="1100">
                <a:latin typeface="Times New Roman"/>
                <a:cs typeface="Times New Roman"/>
              </a:rPr>
              <a:t>EBITDA</a:t>
            </a:r>
            <a:r>
              <a:rPr lang="ru-RU" sz="1100">
                <a:latin typeface="Times New Roman"/>
                <a:cs typeface="Times New Roman"/>
              </a:rPr>
              <a:t>, млн. руб</a:t>
            </a:r>
            <a:r>
              <a:rPr lang="ru-RU">
                <a:latin typeface="Times New Roman"/>
                <a:cs typeface="Times New Roman"/>
              </a:rPr>
              <a:t>.</a:t>
            </a:r>
            <a:endParaRPr lang="en-US">
              <a:latin typeface="Times New Roman"/>
              <a:cs typeface="Times New Roman"/>
            </a:endParaRPr>
          </a:p>
        </c:rich>
      </c:tx>
      <c:layout/>
      <c:overlay val="0"/>
      <c:spPr>
        <a:prstGeom prst="rect">
          <a:avLst/>
        </a:prstGeom>
        <a:noFill/>
        <a:ln>
          <a:noFill/>
        </a:ln>
        <a:effectLst/>
      </c:spPr>
    </c:title>
    <c:autoTitleDeleted val="0"/>
    <c:plotArea>
      <c:layout/>
      <c:barChart>
        <c:barDir val="col"/>
        <c:grouping val="clustered"/>
        <c:varyColors val="0"/>
        <c:ser>
          <c:idx val="0"/>
          <c:order val="0"/>
          <c:tx>
            <c:strRef>
              <c:f>Лист1!$A$4</c:f>
              <c:strCache>
                <c:ptCount val="1"/>
                <c:pt idx="0">
                  <c:v> EBITDA</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Лист1!$B$1:$D$1</c:f>
              <c:strCache>
                <c:ptCount val="3"/>
                <c:pt idx="0">
                  <c:v>2022 г.</c:v>
                </c:pt>
                <c:pt idx="1">
                  <c:v>2023 г.</c:v>
                </c:pt>
                <c:pt idx="2">
                  <c:v>2024 г.</c:v>
                </c:pt>
              </c:strCache>
            </c:strRef>
          </c:cat>
          <c:val>
            <c:numRef>
              <c:f>Лист1!$B$4:$D$4</c:f>
              <c:numCache>
                <c:formatCode>#,##0</c:formatCode>
                <c:ptCount val="3"/>
                <c:pt idx="0">
                  <c:v>9439</c:v>
                </c:pt>
                <c:pt idx="1">
                  <c:v>9171</c:v>
                </c:pt>
                <c:pt idx="2">
                  <c:v>13196</c:v>
                </c:pt>
              </c:numCache>
            </c:numRef>
          </c:val>
          <c:extLst>
            <c:ext xmlns:c16="http://schemas.microsoft.com/office/drawing/2014/chart" uri="{C3380CC4-5D6E-409C-BE32-E72D297353CC}">
              <c16:uniqueId val="{00000000-2D7F-42F1-A17E-0989EF3B9E59}"/>
            </c:ext>
          </c:extLst>
        </c:ser>
        <c:dLbls>
          <c:showLegendKey val="0"/>
          <c:showVal val="0"/>
          <c:showCatName val="0"/>
          <c:showSerName val="0"/>
          <c:showPercent val="0"/>
          <c:showBubbleSize val="0"/>
        </c:dLbls>
        <c:gapWidth val="219"/>
        <c:overlap val="-26"/>
        <c:axId val="318738432"/>
        <c:axId val="318739968"/>
      </c:barChart>
      <c:catAx>
        <c:axId val="318738432"/>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739968"/>
        <c:crosses val="autoZero"/>
        <c:auto val="1"/>
        <c:lblAlgn val="ctr"/>
        <c:lblOffset val="100"/>
        <c:noMultiLvlLbl val="0"/>
      </c:catAx>
      <c:valAx>
        <c:axId val="318739968"/>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738432"/>
        <c:crosses val="autoZero"/>
        <c:crossBetween val="between"/>
      </c:valAx>
      <c:spPr>
        <a:prstGeom prst="rect">
          <a:avLst/>
        </a:prstGeom>
        <a:noFill/>
        <a:ln>
          <a:noFill/>
        </a:ln>
        <a:effectLst/>
      </c:spPr>
    </c:plotArea>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50" b="1" i="0" u="none" strike="noStrike" spc="0">
                <a:solidFill>
                  <a:schemeClr val="tx1">
                    <a:lumMod val="65000"/>
                    <a:lumOff val="35000"/>
                  </a:schemeClr>
                </a:solidFill>
                <a:latin typeface="Times New Roman"/>
                <a:ea typeface="+mn-ea"/>
                <a:cs typeface="Times New Roman"/>
              </a:defRPr>
            </a:pPr>
            <a:r>
              <a:rPr lang="ru-RU" b="1"/>
              <a:t>Реализация нетарифных услуг</a:t>
            </a:r>
            <a:endParaRPr lang="ru-RU"/>
          </a:p>
        </c:rich>
      </c:tx>
      <c:overlay val="0"/>
      <c:spPr>
        <a:prstGeom prst="rect">
          <a:avLst/>
        </a:prstGeom>
        <a:noFill/>
        <a:ln>
          <a:noFill/>
        </a:ln>
        <a:effectLst/>
      </c:spPr>
    </c:title>
    <c:autoTitleDeleted val="0"/>
    <c:plotArea>
      <c:layout/>
      <c:barChart>
        <c:barDir val="col"/>
        <c:grouping val="stacked"/>
        <c:varyColors val="0"/>
        <c:ser>
          <c:idx val="0"/>
          <c:order val="0"/>
          <c:tx>
            <c:strRef>
              <c:f>Лист3!$A$2</c:f>
              <c:strCache>
                <c:ptCount val="1"/>
                <c:pt idx="0">
                  <c:v>Доп. услуги, млн руб.</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200" b="0" i="0" u="none" strike="noStrike">
                    <a:solidFill>
                      <a:schemeClr val="tx1">
                        <a:lumMod val="75000"/>
                        <a:lumOff val="25000"/>
                      </a:schemeClr>
                    </a:solidFill>
                    <a:latin typeface="Times New Roman"/>
                    <a:ea typeface="+mn-ea"/>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Лист3!$B$1:$E$1</c:f>
              <c:strCache>
                <c:ptCount val="4"/>
                <c:pt idx="0">
                  <c:v>Факт 2021</c:v>
                </c:pt>
                <c:pt idx="1">
                  <c:v>Факт 2022</c:v>
                </c:pt>
                <c:pt idx="2">
                  <c:v>Факт 2023</c:v>
                </c:pt>
                <c:pt idx="3">
                  <c:v>Факт 2024</c:v>
                </c:pt>
              </c:strCache>
            </c:strRef>
          </c:cat>
          <c:val>
            <c:numRef>
              <c:f>Лист3!$B$2:$E$2</c:f>
              <c:numCache>
                <c:formatCode>General</c:formatCode>
                <c:ptCount val="4"/>
                <c:pt idx="0">
                  <c:v>461</c:v>
                </c:pt>
                <c:pt idx="1">
                  <c:v>622</c:v>
                </c:pt>
                <c:pt idx="2">
                  <c:v>883</c:v>
                </c:pt>
                <c:pt idx="3">
                  <c:v>1343</c:v>
                </c:pt>
              </c:numCache>
            </c:numRef>
          </c:val>
          <c:extLst>
            <c:ext xmlns:c16="http://schemas.microsoft.com/office/drawing/2014/chart" uri="{C3380CC4-5D6E-409C-BE32-E72D297353CC}">
              <c16:uniqueId val="{00000000-1757-46C4-8414-8261F1B8F3EE}"/>
            </c:ext>
          </c:extLst>
        </c:ser>
        <c:ser>
          <c:idx val="1"/>
          <c:order val="1"/>
          <c:tx>
            <c:strRef>
              <c:f>Лист3!$A$3</c:f>
              <c:strCache>
                <c:ptCount val="1"/>
                <c:pt idx="0">
                  <c:v>Услуги по переустройству, млн руб.</c:v>
                </c:pt>
              </c:strCache>
            </c:strRef>
          </c:tx>
          <c:spPr>
            <a:prstGeom prst="rect">
              <a:avLst/>
            </a:prstGeom>
            <a:solidFill>
              <a:schemeClr val="accent6">
                <a:lumMod val="75000"/>
              </a:schemeClr>
            </a:solidFill>
            <a:ln>
              <a:noFill/>
            </a:ln>
            <a:effectLst/>
          </c:spPr>
          <c:invertIfNegative val="0"/>
          <c:dLbls>
            <c:spPr>
              <a:noFill/>
              <a:ln>
                <a:noFill/>
              </a:ln>
              <a:effectLst/>
            </c:spPr>
            <c:txPr>
              <a:bodyPr rot="0" spcFirstLastPara="1" vertOverflow="ellipsis" vert="horz" wrap="square" anchor="ctr" anchorCtr="1"/>
              <a:lstStyle/>
              <a:p>
                <a:pPr>
                  <a:defRPr sz="1200" b="0" i="0" u="none" strike="noStrike">
                    <a:solidFill>
                      <a:schemeClr val="tx1">
                        <a:lumMod val="75000"/>
                        <a:lumOff val="25000"/>
                      </a:schemeClr>
                    </a:solidFill>
                    <a:latin typeface="Times New Roman"/>
                    <a:ea typeface="+mn-ea"/>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Лист3!$B$1:$E$1</c:f>
              <c:strCache>
                <c:ptCount val="4"/>
                <c:pt idx="0">
                  <c:v>Факт 2021</c:v>
                </c:pt>
                <c:pt idx="1">
                  <c:v>Факт 2022</c:v>
                </c:pt>
                <c:pt idx="2">
                  <c:v>Факт 2023</c:v>
                </c:pt>
                <c:pt idx="3">
                  <c:v>Факт 2024</c:v>
                </c:pt>
              </c:strCache>
            </c:strRef>
          </c:cat>
          <c:val>
            <c:numRef>
              <c:f>Лист3!$B$3:$E$3</c:f>
              <c:numCache>
                <c:formatCode>General</c:formatCode>
                <c:ptCount val="4"/>
                <c:pt idx="0">
                  <c:v>457</c:v>
                </c:pt>
                <c:pt idx="1">
                  <c:v>737</c:v>
                </c:pt>
                <c:pt idx="2">
                  <c:v>657</c:v>
                </c:pt>
                <c:pt idx="3">
                  <c:v>501</c:v>
                </c:pt>
              </c:numCache>
            </c:numRef>
          </c:val>
          <c:extLst>
            <c:ext xmlns:c16="http://schemas.microsoft.com/office/drawing/2014/chart" uri="{C3380CC4-5D6E-409C-BE32-E72D297353CC}">
              <c16:uniqueId val="{00000001-1757-46C4-8414-8261F1B8F3EE}"/>
            </c:ext>
          </c:extLst>
        </c:ser>
        <c:dLbls>
          <c:showLegendKey val="0"/>
          <c:showVal val="0"/>
          <c:showCatName val="0"/>
          <c:showSerName val="0"/>
          <c:showPercent val="0"/>
          <c:showBubbleSize val="0"/>
        </c:dLbls>
        <c:gapWidth val="150"/>
        <c:overlap val="100"/>
        <c:axId val="319817217"/>
        <c:axId val="319817218"/>
      </c:barChart>
      <c:catAx>
        <c:axId val="319817217"/>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a:solidFill>
                  <a:schemeClr val="tx1">
                    <a:lumMod val="65000"/>
                    <a:lumOff val="35000"/>
                  </a:schemeClr>
                </a:solidFill>
                <a:latin typeface="Times New Roman"/>
                <a:ea typeface="Arial"/>
                <a:cs typeface="Times New Roman"/>
              </a:defRPr>
            </a:pPr>
            <a:endParaRPr lang="ru-RU"/>
          </a:p>
        </c:txPr>
        <c:crossAx val="319817218"/>
        <c:crosses val="autoZero"/>
        <c:auto val="1"/>
        <c:lblAlgn val="ctr"/>
        <c:lblOffset val="100"/>
        <c:noMultiLvlLbl val="0"/>
      </c:catAx>
      <c:valAx>
        <c:axId val="319817218"/>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General"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1200" b="0" i="0" u="none" strike="noStrike">
                <a:solidFill>
                  <a:schemeClr val="tx1">
                    <a:lumMod val="65000"/>
                    <a:lumOff val="35000"/>
                  </a:schemeClr>
                </a:solidFill>
                <a:latin typeface="Times New Roman"/>
                <a:ea typeface="Arial"/>
                <a:cs typeface="Times New Roman"/>
              </a:defRPr>
            </a:pPr>
            <a:endParaRPr lang="ru-RU"/>
          </a:p>
        </c:txPr>
        <c:crossAx val="319817217"/>
        <c:crosses val="autoZero"/>
        <c:crossBetween val="between"/>
        <c:majorUnit val="200"/>
      </c:valAx>
      <c:spPr>
        <a:prstGeom prst="rect">
          <a:avLst/>
        </a:prstGeom>
        <a:noFill/>
        <a:ln>
          <a:noFill/>
        </a:ln>
        <a:effectLst/>
      </c:spPr>
    </c:plotArea>
    <c:legend>
      <c:legendPos val="b"/>
      <c:overlay val="0"/>
      <c:spPr>
        <a:prstGeom prst="rect">
          <a:avLst/>
        </a:prstGeom>
        <a:noFill/>
        <a:ln>
          <a:noFill/>
        </a:ln>
        <a:effectLst/>
      </c:spPr>
      <c:txPr>
        <a:bodyPr rot="0" spcFirstLastPara="1" vertOverflow="ellipsis" vert="horz" wrap="square" anchor="ctr" anchorCtr="1"/>
        <a:lstStyle/>
        <a:p>
          <a:pPr>
            <a:defRPr sz="1200" b="0" i="0" u="none" strike="noStrike">
              <a:solidFill>
                <a:schemeClr val="tx1">
                  <a:lumMod val="65000"/>
                  <a:lumOff val="35000"/>
                </a:schemeClr>
              </a:solidFill>
              <a:latin typeface="Times New Roman"/>
              <a:ea typeface="+mn-ea"/>
              <a:cs typeface="Times New Roman"/>
            </a:defRPr>
          </a:pPr>
          <a:endParaRPr lang="ru-RU"/>
        </a:p>
      </c:txPr>
    </c:legend>
    <c:plotVisOnly val="1"/>
    <c:dispBlanksAs val="gap"/>
    <c:showDLblsOverMax val="0"/>
  </c:chart>
  <c:spPr>
    <a:xfrm>
      <a:off x="0" y="0"/>
      <a:ext cx="0" cy="0"/>
    </a:xfrm>
    <a:prstGeom prst="rect">
      <a:avLst/>
    </a:prstGeom>
    <a:solidFill>
      <a:schemeClr val="bg1"/>
    </a:solidFill>
    <a:ln w="9525" cap="flat" cmpd="sng" algn="ctr">
      <a:solidFill>
        <a:schemeClr val="tx1">
          <a:lumMod val="15000"/>
          <a:lumOff val="85000"/>
        </a:schemeClr>
      </a:solidFill>
      <a:round/>
    </a:ln>
    <a:effectLst/>
  </c:spPr>
  <c:txPr>
    <a:bodyPr/>
    <a:lstStyle/>
    <a:p>
      <a:pPr>
        <a:defRPr sz="1200">
          <a:latin typeface="Times New Roman"/>
          <a:cs typeface="Times New Roman"/>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768999999999999"/>
          <c:y val="3.1669999999999997E-2"/>
          <c:w val="0.30747000000000002"/>
          <c:h val="0.96469000000000005"/>
        </c:manualLayout>
      </c:layout>
      <c:doughnutChart>
        <c:varyColors val="1"/>
        <c:ser>
          <c:idx val="0"/>
          <c:order val="0"/>
          <c:tx>
            <c:strRef>
              <c:f>Лист1!$B$1</c:f>
              <c:strCache>
                <c:ptCount val="1"/>
                <c:pt idx="0">
                  <c:v>Продажи</c:v>
                </c:pt>
              </c:strCache>
            </c:strRef>
          </c:tx>
          <c:dPt>
            <c:idx val="4"/>
            <c:bubble3D val="0"/>
            <c:spPr>
              <a:prstGeom prst="rect">
                <a:avLst/>
              </a:prstGeom>
              <a:solidFill>
                <a:sysClr val="window" lastClr="FFFFFF">
                  <a:lumMod val="65000"/>
                </a:sysClr>
              </a:solidFill>
            </c:spPr>
            <c:extLst>
              <c:ext xmlns:c16="http://schemas.microsoft.com/office/drawing/2014/chart" uri="{C3380CC4-5D6E-409C-BE32-E72D297353CC}">
                <c16:uniqueId val="{00000001-7081-4448-AF91-CCBB77C92532}"/>
              </c:ext>
            </c:extLst>
          </c:dPt>
          <c:dLbls>
            <c:dLbl>
              <c:idx val="2"/>
              <c:layout>
                <c:manualLayout>
                  <c:x val="-8.7290000000000006E-2"/>
                  <c:y val="-5.5109999999999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81-4448-AF91-CCBB77C92532}"/>
                </c:ext>
              </c:extLst>
            </c:dLbl>
            <c:dLbl>
              <c:idx val="3"/>
              <c:layout>
                <c:manualLayout>
                  <c:x val="-8.7660000000000002E-2"/>
                  <c:y val="-0.167720000000000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081-4448-AF91-CCBB77C92532}"/>
                </c:ext>
              </c:extLst>
            </c:dLbl>
            <c:dLbl>
              <c:idx val="4"/>
              <c:delete val="1"/>
              <c:extLst>
                <c:ext xmlns:c15="http://schemas.microsoft.com/office/drawing/2012/chart" uri="{CE6537A1-D6FC-4f65-9D91-7224C49458BB}"/>
                <c:ext xmlns:c16="http://schemas.microsoft.com/office/drawing/2014/chart" uri="{C3380CC4-5D6E-409C-BE32-E72D297353CC}">
                  <c16:uniqueId val="{00000001-7081-4448-AF91-CCBB77C92532}"/>
                </c:ext>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15:spPr xmlns:c15="http://schemas.microsoft.com/office/drawing/2012/chart">
                  <a:prstGeom prst="rect">
                    <a:avLst/>
                  </a:prstGeom>
                </c15:spPr>
              </c:ext>
            </c:extLst>
          </c:dLbls>
          <c:cat>
            <c:strRef>
              <c:f>Лист1!$A$2:$A$7</c:f>
              <c:strCache>
                <c:ptCount val="6"/>
                <c:pt idx="0">
                  <c:v>ТП</c:v>
                </c:pt>
                <c:pt idx="1">
                  <c:v>ТПиР</c:v>
                </c:pt>
                <c:pt idx="2">
                  <c:v>СиПР</c:v>
                </c:pt>
                <c:pt idx="3">
                  <c:v>Прочее новое строительство</c:v>
                </c:pt>
                <c:pt idx="4">
                  <c:v>Покупка земельных участков</c:v>
                </c:pt>
                <c:pt idx="5">
                  <c:v>Прочие проекты</c:v>
                </c:pt>
              </c:strCache>
            </c:strRef>
          </c:cat>
          <c:val>
            <c:numRef>
              <c:f>Лист1!$B$2:$B$7</c:f>
              <c:numCache>
                <c:formatCode>0.0%</c:formatCode>
                <c:ptCount val="6"/>
                <c:pt idx="0">
                  <c:v>0.61299999999999999</c:v>
                </c:pt>
                <c:pt idx="1">
                  <c:v>0.19500000000000001</c:v>
                </c:pt>
                <c:pt idx="2">
                  <c:v>2E-3</c:v>
                </c:pt>
                <c:pt idx="3" formatCode="0%">
                  <c:v>0.03</c:v>
                </c:pt>
                <c:pt idx="4" formatCode="0%">
                  <c:v>0</c:v>
                </c:pt>
                <c:pt idx="5" formatCode="0%">
                  <c:v>0.16</c:v>
                </c:pt>
              </c:numCache>
            </c:numRef>
          </c:val>
          <c:extLst>
            <c:ext xmlns:c16="http://schemas.microsoft.com/office/drawing/2014/chart" uri="{C3380CC4-5D6E-409C-BE32-E72D297353CC}">
              <c16:uniqueId val="{00000004-7081-4448-AF91-CCBB77C92532}"/>
            </c:ext>
          </c:extLst>
        </c:ser>
        <c:dLbls>
          <c:showLegendKey val="0"/>
          <c:showVal val="1"/>
          <c:showCatName val="0"/>
          <c:showSerName val="0"/>
          <c:showPercent val="0"/>
          <c:showBubbleSize val="0"/>
          <c:showLeaderLines val="1"/>
        </c:dLbls>
        <c:firstSliceAng val="0"/>
        <c:holeSize val="50"/>
      </c:doughnutChart>
    </c:plotArea>
    <c:legend>
      <c:legendPos val="r"/>
      <c:overlay val="0"/>
    </c:legend>
    <c:plotVisOnly val="1"/>
    <c:dispBlanksAs val="gap"/>
    <c:showDLblsOverMax val="0"/>
  </c:chart>
  <c:spPr>
    <a:prstGeom prst="rect">
      <a:avLst/>
    </a:prstGeom>
    <a:ln>
      <a:noFill/>
    </a:ln>
  </c:sp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Лист4!$B$7</c:f>
              <c:strCache>
                <c:ptCount val="1"/>
                <c:pt idx="0">
                  <c:v>Плата за техприсоединение
</c:v>
                </c:pt>
              </c:strCache>
            </c:strRef>
          </c:tx>
          <c:spPr>
            <a:prstGeom prst="rect">
              <a:avLst/>
            </a:prstGeom>
            <a:solidFill>
              <a:schemeClr val="accent3">
                <a:lumMod val="75000"/>
              </a:schemeClr>
            </a:solidFill>
            <a:ln>
              <a:noFill/>
            </a:ln>
            <a:effectLst/>
          </c:spPr>
          <c:invertIfNegative val="0"/>
          <c:dPt>
            <c:idx val="0"/>
            <c:invertIfNegative val="0"/>
            <c:bubble3D val="0"/>
            <c:spPr>
              <a:prstGeom prst="rect">
                <a:avLst/>
              </a:prstGeom>
              <a:solidFill>
                <a:srgbClr val="77933C"/>
              </a:solidFill>
              <a:ln>
                <a:noFill/>
              </a:ln>
              <a:effectLst/>
            </c:spPr>
            <c:extLst>
              <c:ext xmlns:c16="http://schemas.microsoft.com/office/drawing/2014/chart" uri="{C3380CC4-5D6E-409C-BE32-E72D297353CC}">
                <c16:uniqueId val="{00000001-A6F9-47B2-98DA-66E503D12DD2}"/>
              </c:ext>
            </c:extLst>
          </c:dPt>
          <c:dLbls>
            <c:spPr>
              <a:noFill/>
              <a:ln>
                <a:noFill/>
              </a:ln>
              <a:effectLst/>
            </c:spPr>
            <c:txPr>
              <a:bodyPr rot="0" spcFirstLastPara="1" vertOverflow="ellipsis" vert="horz" wrap="square" lIns="38099" tIns="19049" rIns="38099" bIns="19049" anchor="ctr" anchorCtr="1">
                <a:spAutoFit/>
              </a:bodyPr>
              <a:lstStyle/>
              <a:p>
                <a:pPr>
                  <a:defRPr sz="1100" b="1" i="0" u="none" strike="noStrike">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val>
            <c:numRef>
              <c:f>Лист4!$C$7</c:f>
              <c:numCache>
                <c:formatCode>General</c:formatCode>
                <c:ptCount val="1"/>
                <c:pt idx="0">
                  <c:v>4442</c:v>
                </c:pt>
              </c:numCache>
            </c:numRef>
          </c:val>
          <c:extLst>
            <c:ext xmlns:c16="http://schemas.microsoft.com/office/drawing/2014/chart" uri="{C3380CC4-5D6E-409C-BE32-E72D297353CC}">
              <c16:uniqueId val="{00000002-A6F9-47B2-98DA-66E503D12DD2}"/>
            </c:ext>
          </c:extLst>
        </c:ser>
        <c:ser>
          <c:idx val="1"/>
          <c:order val="1"/>
          <c:tx>
            <c:strRef>
              <c:f>Лист4!$B$8</c:f>
              <c:strCache>
                <c:ptCount val="1"/>
                <c:pt idx="0">
                  <c:v>Привлечение средств</c:v>
                </c:pt>
              </c:strCache>
            </c:strRef>
          </c:tx>
          <c:spPr>
            <a:prstGeom prst="rect">
              <a:avLst/>
            </a:prstGeom>
            <a:solidFill>
              <a:srgbClr val="CD5A51"/>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1100" b="1" i="0" u="none" strike="noStrike">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val>
            <c:numRef>
              <c:f>Лист4!$C$8</c:f>
              <c:numCache>
                <c:formatCode>General</c:formatCode>
                <c:ptCount val="1"/>
                <c:pt idx="0">
                  <c:v>3065</c:v>
                </c:pt>
              </c:numCache>
            </c:numRef>
          </c:val>
          <c:extLst>
            <c:ext xmlns:c16="http://schemas.microsoft.com/office/drawing/2014/chart" uri="{C3380CC4-5D6E-409C-BE32-E72D297353CC}">
              <c16:uniqueId val="{00000003-A6F9-47B2-98DA-66E503D12DD2}"/>
            </c:ext>
          </c:extLst>
        </c:ser>
        <c:ser>
          <c:idx val="2"/>
          <c:order val="2"/>
          <c:tx>
            <c:strRef>
              <c:f>Лист4!$B$9</c:f>
              <c:strCache>
                <c:ptCount val="1"/>
                <c:pt idx="0">
                  <c:v>Собственные средства</c:v>
                </c:pt>
              </c:strCache>
            </c:strRef>
          </c:tx>
          <c:spPr>
            <a:prstGeom prst="rect">
              <a:avLst/>
            </a:prstGeom>
            <a:solidFill>
              <a:schemeClr val="accent1"/>
            </a:solidFill>
            <a:ln>
              <a:noFill/>
            </a:ln>
            <a:effectLst/>
          </c:spPr>
          <c:invertIfNegative val="0"/>
          <c:dLbls>
            <c:dLbl>
              <c:idx val="0"/>
              <c:spPr>
                <a:noFill/>
                <a:ln>
                  <a:noFill/>
                </a:ln>
                <a:effectLst/>
              </c:spPr>
              <c:txPr>
                <a:bodyPr rot="0" spcFirstLastPara="1" vertOverflow="ellipsis" vert="horz" wrap="square" lIns="38099" tIns="19049" rIns="38099" bIns="19049" anchor="ctr" anchorCtr="1">
                  <a:spAutoFit/>
                </a:bodyPr>
                <a:lstStyle/>
                <a:p>
                  <a:pPr>
                    <a:defRPr sz="1100" b="1" i="0" u="none" strike="noStrike">
                      <a:solidFill>
                        <a:schemeClr val="bg1"/>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A6F9-47B2-98DA-66E503D12DD2}"/>
                </c:ext>
              </c:extLst>
            </c:dLbl>
            <c:spPr>
              <a:noFill/>
              <a:ln>
                <a:noFill/>
              </a:ln>
              <a:effectLst/>
            </c:spPr>
            <c:txPr>
              <a:bodyPr rot="0" spcFirstLastPara="1" vertOverflow="ellipsis" vert="horz" wrap="square" lIns="38099" tIns="19049" rIns="38099" bIns="19049" anchor="ctr" anchorCtr="1">
                <a:spAutoFit/>
              </a:bodyPr>
              <a:lstStyle/>
              <a:p>
                <a:pPr>
                  <a:defRPr sz="1100" b="1"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val>
            <c:numRef>
              <c:f>Лист4!$C$9</c:f>
              <c:numCache>
                <c:formatCode>General</c:formatCode>
                <c:ptCount val="1"/>
                <c:pt idx="0">
                  <c:v>6329</c:v>
                </c:pt>
              </c:numCache>
            </c:numRef>
          </c:val>
          <c:extLst>
            <c:ext xmlns:c16="http://schemas.microsoft.com/office/drawing/2014/chart" uri="{C3380CC4-5D6E-409C-BE32-E72D297353CC}">
              <c16:uniqueId val="{00000005-A6F9-47B2-98DA-66E503D12DD2}"/>
            </c:ext>
          </c:extLst>
        </c:ser>
        <c:ser>
          <c:idx val="3"/>
          <c:order val="3"/>
          <c:tx>
            <c:strRef>
              <c:f>Лист4!$B$10</c:f>
              <c:strCache>
                <c:ptCount val="1"/>
                <c:pt idx="0">
                  <c:v>Прочие</c:v>
                </c:pt>
              </c:strCache>
            </c:strRef>
          </c:tx>
          <c:spPr>
            <a:prstGeom prst="rect">
              <a:avLst/>
            </a:prstGeom>
            <a:solidFill>
              <a:srgbClr val="8064A2"/>
            </a:solidFill>
            <a:ln>
              <a:noFill/>
            </a:ln>
            <a:effectLst/>
          </c:spPr>
          <c:invertIfNegative val="0"/>
          <c:dLbls>
            <c:dLbl>
              <c:idx val="0"/>
              <c:layout>
                <c:manualLayout>
                  <c:x val="-4.3400000000000001E-3"/>
                  <c:y val="1.04499999999999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6F9-47B2-98DA-66E503D12DD2}"/>
                </c:ext>
              </c:extLst>
            </c:dLbl>
            <c:spPr>
              <a:noFill/>
              <a:ln>
                <a:noFill/>
              </a:ln>
              <a:effectLst/>
            </c:spPr>
            <c:txPr>
              <a:bodyPr rot="0" spcFirstLastPara="1" vertOverflow="ellipsis" vert="horz" wrap="square" lIns="38099" tIns="19049" rIns="38099" bIns="19049" anchor="ctr" anchorCtr="1">
                <a:spAutoFit/>
              </a:bodyPr>
              <a:lstStyle/>
              <a:p>
                <a:pPr>
                  <a:defRPr sz="1100" b="1" i="0" u="none" strike="noStrike">
                    <a:solidFill>
                      <a:schemeClr val="bg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val>
            <c:numRef>
              <c:f>Лист4!$C$10</c:f>
              <c:numCache>
                <c:formatCode>General</c:formatCode>
                <c:ptCount val="1"/>
                <c:pt idx="0">
                  <c:v>198</c:v>
                </c:pt>
              </c:numCache>
            </c:numRef>
          </c:val>
          <c:extLst>
            <c:ext xmlns:c16="http://schemas.microsoft.com/office/drawing/2014/chart" uri="{C3380CC4-5D6E-409C-BE32-E72D297353CC}">
              <c16:uniqueId val="{00000007-A6F9-47B2-98DA-66E503D12DD2}"/>
            </c:ext>
          </c:extLst>
        </c:ser>
        <c:dLbls>
          <c:showLegendKey val="0"/>
          <c:showVal val="0"/>
          <c:showCatName val="0"/>
          <c:showSerName val="0"/>
          <c:showPercent val="0"/>
          <c:showBubbleSize val="0"/>
        </c:dLbls>
        <c:gapWidth val="150"/>
        <c:overlap val="100"/>
        <c:axId val="319947904"/>
        <c:axId val="319949440"/>
      </c:barChart>
      <c:catAx>
        <c:axId val="319947904"/>
        <c:scaling>
          <c:orientation val="minMax"/>
        </c:scaling>
        <c:delete val="1"/>
        <c:axPos val="b"/>
        <c:numFmt formatCode="General" sourceLinked="1"/>
        <c:majorTickMark val="none"/>
        <c:minorTickMark val="none"/>
        <c:tickLblPos val="nextTo"/>
        <c:crossAx val="319949440"/>
        <c:crosses val="autoZero"/>
        <c:auto val="1"/>
        <c:lblAlgn val="ctr"/>
        <c:lblOffset val="100"/>
        <c:noMultiLvlLbl val="0"/>
      </c:catAx>
      <c:valAx>
        <c:axId val="319949440"/>
        <c:scaling>
          <c:orientation val="minMax"/>
          <c:max val="14100"/>
          <c:min val="0"/>
        </c:scaling>
        <c:delete val="0"/>
        <c:axPos val="l"/>
        <c:majorGridlines>
          <c:spPr>
            <a:prstGeom prst="rect">
              <a:avLst/>
            </a:prstGeom>
            <a:ln w="9525" cap="flat" cmpd="sng" algn="ctr">
              <a:solidFill>
                <a:schemeClr val="tx1">
                  <a:lumMod val="15000"/>
                  <a:lumOff val="85000"/>
                </a:schemeClr>
              </a:solidFill>
              <a:round/>
            </a:ln>
            <a:effectLst/>
          </c:spPr>
        </c:majorGridlines>
        <c:numFmt formatCode="General"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9947904"/>
        <c:crosses val="autoZero"/>
        <c:crossBetween val="between"/>
      </c:valAx>
      <c:spPr>
        <a:prstGeom prst="rect">
          <a:avLst/>
        </a:prstGeom>
        <a:noFill/>
        <a:ln>
          <a:noFill/>
        </a:ln>
        <a:effectLst/>
      </c:spPr>
    </c:plotArea>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936"/>
          <c:y val="4.0890000000000003E-2"/>
          <c:w val="0.79037000000000002"/>
          <c:h val="0.95909999999999995"/>
        </c:manualLayout>
      </c:layout>
      <c:doughnutChart>
        <c:varyColors val="1"/>
        <c:ser>
          <c:idx val="0"/>
          <c:order val="0"/>
          <c:tx>
            <c:strRef>
              <c:f>Лист1!$B$1</c:f>
              <c:strCache>
                <c:ptCount val="1"/>
                <c:pt idx="0">
                  <c:v>Структура финансирования инвестиционной программы в 2024 году</c:v>
                </c:pt>
              </c:strCache>
            </c:strRef>
          </c:tx>
          <c:dLbls>
            <c:dLbl>
              <c:idx val="2"/>
              <c:layout>
                <c:manualLayout>
                  <c:x val="-8.4899999999999993E-3"/>
                  <c:y val="1.159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BEE2-4881-A3FE-A0CB27A441EF}"/>
                </c:ext>
              </c:extLst>
            </c:dLbl>
            <c:dLbl>
              <c:idx val="3"/>
              <c:layout>
                <c:manualLayout>
                  <c:x val="4.2399999999999998E-3"/>
                  <c:y val="-1.159E-2"/>
                </c:manualLayout>
              </c:layout>
              <c:spPr>
                <a:noFill/>
                <a:ln>
                  <a:noFill/>
                </a:ln>
                <a:effectLst/>
              </c:spPr>
              <c:txPr>
                <a:bodyPr wrap="square" lIns="38099" tIns="19049" rIns="38099" bIns="19049" anchor="ctr">
                  <a:noAutofit/>
                </a:bodyPr>
                <a:lstStyle/>
                <a:p>
                  <a:pPr>
                    <a:defRPr/>
                  </a:pPr>
                  <a:endParaRPr lang="ru-RU"/>
                </a:p>
              </c:txPr>
              <c:showLegendKey val="0"/>
              <c:showVal val="1"/>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BEE2-4881-A3FE-A0CB27A441EF}"/>
                </c:ext>
              </c:extLst>
            </c:dLbl>
            <c:spPr>
              <a:noFill/>
              <a:ln>
                <a:noFill/>
              </a:ln>
              <a:effectLst/>
            </c:spPr>
            <c:showLegendKey val="0"/>
            <c:showVal val="1"/>
            <c:showCatName val="0"/>
            <c:showSerName val="0"/>
            <c:showPercent val="1"/>
            <c:showBubbleSize val="0"/>
            <c:showLeaderLines val="1"/>
            <c:extLst>
              <c:ext xmlns:c15="http://schemas.microsoft.com/office/drawing/2012/chart" uri="{CE6537A1-D6FC-4f65-9D91-7224C49458BB}">
                <c15:spPr xmlns:c15="http://schemas.microsoft.com/office/drawing/2012/chart">
                  <a:prstGeom prst="rect">
                    <a:avLst/>
                  </a:prstGeom>
                </c15:spPr>
              </c:ext>
            </c:extLst>
          </c:dLbls>
          <c:cat>
            <c:strRef>
              <c:f>Лист1!$A$2:$A$5</c:f>
              <c:strCache>
                <c:ptCount val="4"/>
                <c:pt idx="0">
                  <c:v>Собственные средства</c:v>
                </c:pt>
                <c:pt idx="1">
                  <c:v>Привлеченные средства</c:v>
                </c:pt>
                <c:pt idx="2">
                  <c:v>Плата за техприсоединение</c:v>
                </c:pt>
                <c:pt idx="3">
                  <c:v>Прочие</c:v>
                </c:pt>
              </c:strCache>
            </c:strRef>
          </c:cat>
          <c:val>
            <c:numRef>
              <c:f>Лист1!$B$2:$B$5</c:f>
              <c:numCache>
                <c:formatCode>0</c:formatCode>
                <c:ptCount val="4"/>
                <c:pt idx="0">
                  <c:v>6329</c:v>
                </c:pt>
                <c:pt idx="1">
                  <c:v>3065</c:v>
                </c:pt>
                <c:pt idx="2">
                  <c:v>4442</c:v>
                </c:pt>
                <c:pt idx="3">
                  <c:v>198</c:v>
                </c:pt>
              </c:numCache>
            </c:numRef>
          </c:val>
          <c:extLst>
            <c:ext xmlns:c16="http://schemas.microsoft.com/office/drawing/2014/chart" uri="{C3380CC4-5D6E-409C-BE32-E72D297353CC}">
              <c16:uniqueId val="{00000002-BEE2-4881-A3FE-A0CB27A441EF}"/>
            </c:ext>
          </c:extLst>
        </c:ser>
        <c:dLbls>
          <c:showLegendKey val="0"/>
          <c:showVal val="1"/>
          <c:showCatName val="0"/>
          <c:showSerName val="0"/>
          <c:showPercent val="0"/>
          <c:showBubbleSize val="0"/>
          <c:showLeaderLines val="1"/>
        </c:dLbls>
        <c:firstSliceAng val="0"/>
        <c:holeSize val="50"/>
      </c:doughnutChart>
      <c:spPr>
        <a:prstGeom prst="rect">
          <a:avLst/>
        </a:prstGeom>
        <a:noFill/>
        <a:ln w="25400">
          <a:noFill/>
        </a:ln>
      </c:spPr>
    </c:plotArea>
    <c:plotVisOnly val="1"/>
    <c:dispBlanksAs val="zero"/>
    <c:showDLblsOverMax val="0"/>
  </c:chart>
  <c:spPr>
    <a:prstGeom prst="rect">
      <a:avLst/>
    </a:prstGeom>
    <a:ln>
      <a:noFill/>
    </a:ln>
  </c:sp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Ряд 1</c:v>
                </c:pt>
              </c:strCache>
            </c:strRef>
          </c:tx>
          <c:invertIfNegative val="0"/>
          <c:dLbls>
            <c:dLbl>
              <c:idx val="0"/>
              <c:layout>
                <c:manualLayout>
                  <c:x val="0"/>
                  <c:y val="-4.3950000000000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BF5-4714-A5C0-09AD92EBF95D}"/>
                </c:ext>
              </c:extLst>
            </c:dLbl>
            <c:dLbl>
              <c:idx val="1"/>
              <c:layout>
                <c:manualLayout>
                  <c:x val="2.4099999999999998E-3"/>
                  <c:y val="-1.6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BF5-4714-A5C0-09AD92EBF95D}"/>
                </c:ext>
              </c:extLst>
            </c:dLbl>
            <c:dLbl>
              <c:idx val="2"/>
              <c:layout>
                <c:manualLayout>
                  <c:x val="0"/>
                  <c:y val="-8.46000000000000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BF5-4714-A5C0-09AD92EBF95D}"/>
                </c:ext>
              </c:extLst>
            </c:dLbl>
            <c:dLbl>
              <c:idx val="4"/>
              <c:layout>
                <c:manualLayout>
                  <c:x val="-2.4099999999999998E-3"/>
                  <c:y val="-6.4100000000000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BF5-4714-A5C0-09AD92EBF95D}"/>
                </c:ext>
              </c:extLst>
            </c:dLbl>
            <c:dLbl>
              <c:idx val="5"/>
              <c:layout>
                <c:manualLayout>
                  <c:x val="0"/>
                  <c:y val="5.329999999999999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BF5-4714-A5C0-09AD92EBF95D}"/>
                </c:ext>
              </c:extLst>
            </c:dLbl>
            <c:dLbl>
              <c:idx val="6"/>
              <c:layout>
                <c:manualLayout>
                  <c:x val="0"/>
                  <c:y val="2.279999999999999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BF5-4714-A5C0-09AD92EBF95D}"/>
                </c:ext>
              </c:extLst>
            </c:dLbl>
            <c:spPr>
              <a:noFill/>
              <a:ln>
                <a:noFill/>
              </a:ln>
              <a:effectLst/>
            </c:spPr>
            <c:txPr>
              <a:bodyPr wrap="square" lIns="38099" tIns="19049" rIns="38099" bIns="19049" anchor="ctr">
                <a:spAutoFit/>
              </a:bodyPr>
              <a:lstStyle/>
              <a:p>
                <a:pPr>
                  <a:defRPr>
                    <a:latin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Лист1!$A$2:$A$9</c:f>
              <c:strCache>
                <c:ptCount val="8"/>
                <c:pt idx="0">
                  <c:v>2022 
факт</c:v>
                </c:pt>
                <c:pt idx="1">
                  <c:v>2023
факт</c:v>
                </c:pt>
                <c:pt idx="2">
                  <c:v>2024
факт</c:v>
                </c:pt>
                <c:pt idx="3">
                  <c:v>2025 
план</c:v>
                </c:pt>
                <c:pt idx="4">
                  <c:v>2026 
план</c:v>
                </c:pt>
                <c:pt idx="5">
                  <c:v>2027
план</c:v>
                </c:pt>
                <c:pt idx="6">
                  <c:v>2028
план</c:v>
                </c:pt>
                <c:pt idx="7">
                  <c:v>2029
план</c:v>
                </c:pt>
              </c:strCache>
            </c:strRef>
          </c:cat>
          <c:val>
            <c:numRef>
              <c:f>Лист1!$B$2:$B$9</c:f>
              <c:numCache>
                <c:formatCode>0</c:formatCode>
                <c:ptCount val="8"/>
                <c:pt idx="0">
                  <c:v>7990</c:v>
                </c:pt>
                <c:pt idx="1">
                  <c:v>13518</c:v>
                </c:pt>
                <c:pt idx="2">
                  <c:v>14034</c:v>
                </c:pt>
                <c:pt idx="3">
                  <c:v>16297</c:v>
                </c:pt>
                <c:pt idx="4">
                  <c:v>12430</c:v>
                </c:pt>
                <c:pt idx="5">
                  <c:v>11795</c:v>
                </c:pt>
                <c:pt idx="6" formatCode="General">
                  <c:v>11775</c:v>
                </c:pt>
                <c:pt idx="7" formatCode="General">
                  <c:v>11729</c:v>
                </c:pt>
              </c:numCache>
            </c:numRef>
          </c:val>
          <c:extLst>
            <c:ext xmlns:c16="http://schemas.microsoft.com/office/drawing/2014/chart" uri="{C3380CC4-5D6E-409C-BE32-E72D297353CC}">
              <c16:uniqueId val="{00000006-5BF5-4714-A5C0-09AD92EBF95D}"/>
            </c:ext>
          </c:extLst>
        </c:ser>
        <c:dLbls>
          <c:showLegendKey val="0"/>
          <c:showVal val="0"/>
          <c:showCatName val="0"/>
          <c:showSerName val="0"/>
          <c:showPercent val="0"/>
          <c:showBubbleSize val="0"/>
        </c:dLbls>
        <c:gapWidth val="150"/>
        <c:axId val="320172416"/>
        <c:axId val="320173952"/>
      </c:barChart>
      <c:catAx>
        <c:axId val="320172416"/>
        <c:scaling>
          <c:orientation val="minMax"/>
        </c:scaling>
        <c:delete val="0"/>
        <c:axPos val="b"/>
        <c:numFmt formatCode="General" sourceLinked="1"/>
        <c:majorTickMark val="out"/>
        <c:minorTickMark val="none"/>
        <c:tickLblPos val="nextTo"/>
        <c:txPr>
          <a:bodyPr/>
          <a:lstStyle/>
          <a:p>
            <a:pPr>
              <a:defRPr>
                <a:latin typeface="Times New Roman"/>
                <a:cs typeface="Times New Roman"/>
              </a:defRPr>
            </a:pPr>
            <a:endParaRPr lang="ru-RU"/>
          </a:p>
        </c:txPr>
        <c:crossAx val="320173952"/>
        <c:crosses val="autoZero"/>
        <c:auto val="1"/>
        <c:lblAlgn val="ctr"/>
        <c:lblOffset val="100"/>
        <c:noMultiLvlLbl val="0"/>
      </c:catAx>
      <c:valAx>
        <c:axId val="320173952"/>
        <c:scaling>
          <c:orientation val="minMax"/>
        </c:scaling>
        <c:delete val="0"/>
        <c:axPos val="l"/>
        <c:majorGridlines/>
        <c:numFmt formatCode="0" sourceLinked="1"/>
        <c:majorTickMark val="out"/>
        <c:minorTickMark val="none"/>
        <c:tickLblPos val="nextTo"/>
        <c:crossAx val="320172416"/>
        <c:crosses val="autoZero"/>
        <c:crossBetween val="between"/>
      </c:valAx>
    </c:plotArea>
    <c:plotVisOnly val="1"/>
    <c:dispBlanksAs val="gap"/>
    <c:showDLblsOverMax val="0"/>
  </c:chart>
  <c:spPr>
    <a:prstGeom prst="rect">
      <a:avLst/>
    </a:prstGeom>
    <a:ln>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803000000000001"/>
          <c:y val="0.12481"/>
          <c:w val="0.23130000000000001"/>
          <c:h val="0.85463"/>
        </c:manualLayout>
      </c:layout>
      <c:doughnutChart>
        <c:varyColors val="1"/>
        <c:ser>
          <c:idx val="0"/>
          <c:order val="0"/>
          <c:tx>
            <c:strRef>
              <c:f>Лист1!$B$1</c:f>
              <c:strCache>
                <c:ptCount val="1"/>
                <c:pt idx="0">
                  <c:v>Продажи</c:v>
                </c:pt>
              </c:strCache>
            </c:strRef>
          </c:tx>
          <c:dPt>
            <c:idx val="4"/>
            <c:bubble3D val="0"/>
            <c:spPr>
              <a:prstGeom prst="rect">
                <a:avLst/>
              </a:prstGeom>
              <a:solidFill>
                <a:sysClr val="window" lastClr="FFFFFF">
                  <a:lumMod val="65000"/>
                </a:sysClr>
              </a:solidFill>
            </c:spPr>
            <c:extLst>
              <c:ext xmlns:c16="http://schemas.microsoft.com/office/drawing/2014/chart" uri="{C3380CC4-5D6E-409C-BE32-E72D297353CC}">
                <c16:uniqueId val="{00000001-773B-4281-A535-5369F0BEB16B}"/>
              </c:ext>
            </c:extLst>
          </c:dPt>
          <c:dLbls>
            <c:dLbl>
              <c:idx val="2"/>
              <c:layout>
                <c:manualLayout>
                  <c:x val="-6.11E-3"/>
                  <c:y val="-3.6459999999999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73B-4281-A535-5369F0BEB16B}"/>
                </c:ext>
              </c:extLst>
            </c:dLbl>
            <c:dLbl>
              <c:idx val="3"/>
              <c:layout>
                <c:manualLayout>
                  <c:x val="-5.0959999999999998E-2"/>
                  <c:y val="-0.1581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73B-4281-A535-5369F0BEB16B}"/>
                </c:ext>
              </c:extLst>
            </c:dLbl>
            <c:dLbl>
              <c:idx val="4"/>
              <c:delete val="1"/>
              <c:extLst>
                <c:ext xmlns:c15="http://schemas.microsoft.com/office/drawing/2012/chart" uri="{CE6537A1-D6FC-4f65-9D91-7224C49458BB}"/>
                <c:ext xmlns:c16="http://schemas.microsoft.com/office/drawing/2014/chart" uri="{C3380CC4-5D6E-409C-BE32-E72D297353CC}">
                  <c16:uniqueId val="{00000001-773B-4281-A535-5369F0BEB16B}"/>
                </c:ext>
              </c:extLst>
            </c:dLbl>
            <c:dLbl>
              <c:idx val="5"/>
              <c:layout>
                <c:manualLayout>
                  <c:x val="8.7000000000000001E-4"/>
                  <c:y val="-2.587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73B-4281-A535-5369F0BEB16B}"/>
                </c:ext>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15:spPr xmlns:c15="http://schemas.microsoft.com/office/drawing/2012/chart">
                  <a:prstGeom prst="rect">
                    <a:avLst/>
                  </a:prstGeom>
                </c15:spPr>
              </c:ext>
            </c:extLst>
          </c:dLbls>
          <c:cat>
            <c:strRef>
              <c:f>Лист1!$A$2:$A$7</c:f>
              <c:strCache>
                <c:ptCount val="6"/>
                <c:pt idx="0">
                  <c:v>ТП</c:v>
                </c:pt>
                <c:pt idx="1">
                  <c:v>ТПиР</c:v>
                </c:pt>
                <c:pt idx="2">
                  <c:v>СиПР</c:v>
                </c:pt>
                <c:pt idx="3">
                  <c:v>Прочее новое строительство</c:v>
                </c:pt>
                <c:pt idx="4">
                  <c:v>Покупка земельных участков</c:v>
                </c:pt>
                <c:pt idx="5">
                  <c:v>Прочие проекты</c:v>
                </c:pt>
              </c:strCache>
            </c:strRef>
          </c:cat>
          <c:val>
            <c:numRef>
              <c:f>Лист1!$B$2:$B$7</c:f>
              <c:numCache>
                <c:formatCode>0%</c:formatCode>
                <c:ptCount val="6"/>
                <c:pt idx="0">
                  <c:v>0.51</c:v>
                </c:pt>
                <c:pt idx="1">
                  <c:v>0.36</c:v>
                </c:pt>
                <c:pt idx="2">
                  <c:v>0.03</c:v>
                </c:pt>
                <c:pt idx="3">
                  <c:v>0.02</c:v>
                </c:pt>
                <c:pt idx="4">
                  <c:v>0</c:v>
                </c:pt>
                <c:pt idx="5">
                  <c:v>0.08</c:v>
                </c:pt>
              </c:numCache>
            </c:numRef>
          </c:val>
          <c:extLst>
            <c:ext xmlns:c16="http://schemas.microsoft.com/office/drawing/2014/chart" uri="{C3380CC4-5D6E-409C-BE32-E72D297353CC}">
              <c16:uniqueId val="{00000005-773B-4281-A535-5369F0BEB16B}"/>
            </c:ext>
          </c:extLst>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gap"/>
    <c:showDLblsOverMax val="0"/>
  </c:chart>
  <c:spPr>
    <a:prstGeom prst="rect">
      <a:avLst/>
    </a:prstGeom>
    <a:ln>
      <a:noFill/>
      <a:miter/>
    </a:ln>
  </c:sp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Ряд 1</c:v>
                </c:pt>
              </c:strCache>
            </c:strRef>
          </c:tx>
          <c:spPr>
            <a:prstGeom prst="rect">
              <a:avLst/>
            </a:prstGeom>
            <a:solidFill>
              <a:schemeClr val="accent1"/>
            </a:solidFill>
            <a:ln>
              <a:noFill/>
            </a:ln>
            <a:effectLst/>
          </c:spPr>
          <c:invertIfNegative val="0"/>
          <c:dLbls>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Лист1!$A$2:$A$4</c:f>
              <c:numCache>
                <c:formatCode>General</c:formatCode>
                <c:ptCount val="3"/>
                <c:pt idx="0">
                  <c:v>2022</c:v>
                </c:pt>
                <c:pt idx="1">
                  <c:v>2023</c:v>
                </c:pt>
                <c:pt idx="2">
                  <c:v>2024</c:v>
                </c:pt>
              </c:numCache>
            </c:numRef>
          </c:cat>
          <c:val>
            <c:numRef>
              <c:f>Лист1!$B$2:$B$4</c:f>
              <c:numCache>
                <c:formatCode>0</c:formatCode>
                <c:ptCount val="3"/>
                <c:pt idx="0">
                  <c:v>18909</c:v>
                </c:pt>
                <c:pt idx="1">
                  <c:v>18603</c:v>
                </c:pt>
                <c:pt idx="2">
                  <c:v>18095</c:v>
                </c:pt>
              </c:numCache>
            </c:numRef>
          </c:val>
          <c:extLst>
            <c:ext xmlns:c16="http://schemas.microsoft.com/office/drawing/2014/chart" uri="{C3380CC4-5D6E-409C-BE32-E72D297353CC}">
              <c16:uniqueId val="{00000000-4F09-4150-BF47-A8865F594266}"/>
            </c:ext>
          </c:extLst>
        </c:ser>
        <c:dLbls>
          <c:showLegendKey val="0"/>
          <c:showVal val="0"/>
          <c:showCatName val="0"/>
          <c:showSerName val="0"/>
          <c:showPercent val="0"/>
          <c:showBubbleSize val="0"/>
        </c:dLbls>
        <c:gapWidth val="150"/>
        <c:axId val="320219392"/>
        <c:axId val="320266240"/>
      </c:barChart>
      <c:catAx>
        <c:axId val="320219392"/>
        <c:scaling>
          <c:orientation val="minMax"/>
        </c:scaling>
        <c:delete val="0"/>
        <c:axPos val="b"/>
        <c:numFmt formatCode="General" sourceLinked="0"/>
        <c:majorTickMark val="out"/>
        <c:minorTickMark val="none"/>
        <c:tickLblPos val="nextTo"/>
        <c:spPr>
          <a:prstGeom prst="rect">
            <a:avLst/>
          </a:prstGeom>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a:solidFill>
                  <a:schemeClr val="tx1"/>
                </a:solidFill>
                <a:latin typeface="Times New Roman"/>
                <a:ea typeface="Arial"/>
                <a:cs typeface="Arial"/>
              </a:defRPr>
            </a:pPr>
            <a:endParaRPr lang="ru-RU"/>
          </a:p>
        </c:txPr>
        <c:crossAx val="320266240"/>
        <c:crosses val="autoZero"/>
        <c:auto val="1"/>
        <c:lblAlgn val="ctr"/>
        <c:lblOffset val="100"/>
        <c:noMultiLvlLbl val="0"/>
      </c:catAx>
      <c:valAx>
        <c:axId val="320266240"/>
        <c:scaling>
          <c:orientation val="minMax"/>
          <c:max val="20300"/>
          <c:min val="16000"/>
        </c:scaling>
        <c:delete val="0"/>
        <c:axPos val="l"/>
        <c:majorGridlines>
          <c:spPr>
            <a:prstGeom prst="rect">
              <a:avLst/>
            </a:prstGeom>
            <a:ln w="9525" cap="flat" cmpd="sng" algn="ctr">
              <a:solidFill>
                <a:schemeClr val="tx1">
                  <a:tint val="75000"/>
                  <a:shade val="95000"/>
                  <a:satMod val="105000"/>
                </a:schemeClr>
              </a:solidFill>
              <a:prstDash val="solid"/>
              <a:round/>
            </a:ln>
            <a:effectLst/>
          </c:spPr>
        </c:majorGridlines>
        <c:numFmt formatCode="0" sourceLinked="1"/>
        <c:majorTickMark val="out"/>
        <c:minorTickMark val="none"/>
        <c:tickLblPos val="nextTo"/>
        <c:spPr>
          <a:prstGeom prst="rect">
            <a:avLst/>
          </a:prstGeom>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a:solidFill>
                  <a:schemeClr val="tx1"/>
                </a:solidFill>
                <a:latin typeface="Times New Roman"/>
                <a:ea typeface="Arial"/>
                <a:cs typeface="Arial"/>
              </a:defRPr>
            </a:pPr>
            <a:endParaRPr lang="ru-RU"/>
          </a:p>
        </c:txPr>
        <c:crossAx val="320219392"/>
        <c:crosses val="autoZero"/>
        <c:crossBetween val="between"/>
      </c:valAx>
      <c:spPr>
        <a:prstGeom prst="rect">
          <a:avLst/>
        </a:prstGeom>
        <a:solidFill>
          <a:schemeClr val="bg1"/>
        </a:solidFill>
        <a:ln>
          <a:noFill/>
        </a:ln>
        <a:effectLst/>
      </c:spPr>
    </c:plotArea>
    <c:plotVisOnly val="1"/>
    <c:dispBlanksAs val="gap"/>
    <c:showDLblsOverMax val="0"/>
  </c:chart>
  <c:spPr>
    <a:prstGeom prst="rect">
      <a:avLst/>
    </a:prstGeom>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a:cs typeface="Times New Roman"/>
              </a:defRPr>
            </a:pPr>
            <a:r>
              <a:rPr lang="ru-RU" sz="1200">
                <a:latin typeface="Times New Roman"/>
                <a:cs typeface="Times New Roman"/>
              </a:rPr>
              <a:t>Распределение численности перонала в 2024 году</a:t>
            </a:r>
            <a:endParaRPr lang="ru-RU"/>
          </a:p>
        </c:rich>
      </c:tx>
      <c:layout>
        <c:manualLayout>
          <c:xMode val="edge"/>
          <c:yMode val="edge"/>
          <c:x val="0.20963999999999999"/>
          <c:y val="2.0080000000000001E-2"/>
        </c:manualLayout>
      </c:layout>
      <c:overlay val="0"/>
    </c:title>
    <c:autoTitleDeleted val="0"/>
    <c:plotArea>
      <c:layout/>
      <c:pieChart>
        <c:varyColors val="1"/>
        <c:ser>
          <c:idx val="0"/>
          <c:order val="0"/>
          <c:dLbls>
            <c:dLbl>
              <c:idx val="2"/>
              <c:layout>
                <c:manualLayout>
                  <c:x val="1.533E-2"/>
                  <c:y val="1.15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C7C-4AC3-9DD1-D89B5F3B67E5}"/>
                </c:ext>
              </c:extLst>
            </c:dLbl>
            <c:dLbl>
              <c:idx val="9"/>
              <c:layout>
                <c:manualLayout>
                  <c:x val="4.5500000000000002E-3"/>
                  <c:y val="-9.5899999999999996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C7C-4AC3-9DD1-D89B5F3B67E5}"/>
                </c:ext>
              </c:extLst>
            </c:dLbl>
            <c:spPr>
              <a:noFill/>
              <a:ln>
                <a:noFill/>
              </a:ln>
              <a:effectLst/>
            </c:spPr>
            <c:txPr>
              <a:bodyPr/>
              <a:lstStyle/>
              <a:p>
                <a:pPr>
                  <a:defRPr b="1">
                    <a:latin typeface="Times New Roman"/>
                    <a:cs typeface="Times New Roman"/>
                  </a:defRPr>
                </a:pPr>
                <a:endParaRPr lang="ru-RU"/>
              </a:p>
            </c:txPr>
            <c:showLegendKey val="0"/>
            <c:showVal val="0"/>
            <c:showCatName val="0"/>
            <c:showSerName val="0"/>
            <c:showPercent val="1"/>
            <c:showBubbleSize val="0"/>
            <c:showLeaderLines val="1"/>
            <c:extLst>
              <c:ext xmlns:c15="http://schemas.microsoft.com/office/drawing/2012/chart" uri="{CE6537A1-D6FC-4f65-9D91-7224C49458BB}">
                <c15:spPr xmlns:c15="http://schemas.microsoft.com/office/drawing/2012/chart">
                  <a:prstGeom prst="rect">
                    <a:avLst/>
                  </a:prstGeom>
                </c15:spPr>
              </c:ext>
            </c:extLst>
          </c:dLbls>
          <c:cat>
            <c:strRef>
              <c:f>ССЧ!$A$38:$A$46</c:f>
              <c:strCache>
                <c:ptCount val="9"/>
                <c:pt idx="0">
                  <c:v>Алтайэнерго</c:v>
                </c:pt>
                <c:pt idx="1">
                  <c:v>Бурятэнерго</c:v>
                </c:pt>
                <c:pt idx="2">
                  <c:v>ГАЭС</c:v>
                </c:pt>
                <c:pt idx="3">
                  <c:v>Красноярскэнерго</c:v>
                </c:pt>
                <c:pt idx="4">
                  <c:v>Кузбассэнерго-РЭС</c:v>
                </c:pt>
                <c:pt idx="5">
                  <c:v>Омскэнерго</c:v>
                </c:pt>
                <c:pt idx="6">
                  <c:v>Хакасэнерго</c:v>
                </c:pt>
                <c:pt idx="7">
                  <c:v>Читаэнерго</c:v>
                </c:pt>
                <c:pt idx="8">
                  <c:v>Исполнительный аппарат</c:v>
                </c:pt>
              </c:strCache>
            </c:strRef>
          </c:cat>
          <c:val>
            <c:numRef>
              <c:f>ССЧ!$B$38:$B$46</c:f>
              <c:numCache>
                <c:formatCode>#,##0</c:formatCode>
                <c:ptCount val="9"/>
                <c:pt idx="0">
                  <c:v>3302.5774999999994</c:v>
                </c:pt>
                <c:pt idx="1">
                  <c:v>2291.7402499999998</c:v>
                </c:pt>
                <c:pt idx="2" formatCode="General">
                  <c:v>526.65499999999997</c:v>
                </c:pt>
                <c:pt idx="3">
                  <c:v>3564.165</c:v>
                </c:pt>
                <c:pt idx="4">
                  <c:v>2345.8375000000001</c:v>
                </c:pt>
                <c:pt idx="5">
                  <c:v>2549.2049999999999</c:v>
                </c:pt>
                <c:pt idx="6">
                  <c:v>1020.2868570073421</c:v>
                </c:pt>
                <c:pt idx="7">
                  <c:v>2044.5509166666664</c:v>
                </c:pt>
                <c:pt idx="8" formatCode="General">
                  <c:v>449.38663649516553</c:v>
                </c:pt>
              </c:numCache>
            </c:numRef>
          </c:val>
          <c:extLst>
            <c:ext xmlns:c16="http://schemas.microsoft.com/office/drawing/2014/chart" uri="{C3380CC4-5D6E-409C-BE32-E72D297353CC}">
              <c16:uniqueId val="{00000002-AC7C-4AC3-9DD1-D89B5F3B67E5}"/>
            </c:ext>
          </c:extLst>
        </c:ser>
        <c:dLbls>
          <c:showLegendKey val="0"/>
          <c:showVal val="0"/>
          <c:showCatName val="0"/>
          <c:showSerName val="0"/>
          <c:showPercent val="1"/>
          <c:showBubbleSize val="0"/>
          <c:showLeaderLines val="1"/>
        </c:dLbls>
        <c:firstSliceAng val="0"/>
      </c:pieChart>
      <c:spPr>
        <a:prstGeom prst="rect">
          <a:avLst/>
        </a:prstGeom>
        <a:noFill/>
        <a:ln w="25400">
          <a:noFill/>
        </a:ln>
      </c:spPr>
    </c:plotArea>
    <c:legend>
      <c:legendPos val="r"/>
      <c:overlay val="0"/>
      <c:txPr>
        <a:bodyPr/>
        <a:lstStyle/>
        <a:p>
          <a:pPr>
            <a:defRPr>
              <a:latin typeface="Times New Roman"/>
              <a:cs typeface="Times New Roman"/>
            </a:defRPr>
          </a:pPr>
          <a:endParaRPr lang="ru-RU"/>
        </a:p>
      </c:txPr>
    </c:legend>
    <c:plotVisOnly val="1"/>
    <c:dispBlanksAs val="zero"/>
    <c:showDLblsOverMax val="0"/>
  </c:chart>
  <c:spPr>
    <a:prstGeom prst="rect">
      <a:avLst/>
    </a:prstGeom>
    <a:ln>
      <a:solidFill>
        <a:schemeClr val="bg1">
          <a:lumMod val="75000"/>
        </a:schemeClr>
      </a:solidFill>
    </a:ln>
  </c:sp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15"/>
      <c:rotY val="20"/>
      <c:depthPercent val="100"/>
      <c:rAngAx val="1"/>
    </c:view3D>
    <c:floor>
      <c:thickness val="0"/>
      <c:spPr>
        <a:prstGeom prst="rect">
          <a:avLst/>
        </a:prstGeom>
        <a:noFill/>
        <a:ln>
          <a:noFill/>
        </a:ln>
        <a:effectLst/>
      </c:spPr>
    </c:floor>
    <c:sideWall>
      <c:thickness val="0"/>
      <c:spPr>
        <a:prstGeom prst="rect">
          <a:avLst/>
        </a:prstGeom>
        <a:noFill/>
        <a:ln>
          <a:noFill/>
        </a:ln>
        <a:effectLst/>
      </c:spPr>
    </c:sideWall>
    <c:backWall>
      <c:thickness val="0"/>
      <c:spPr>
        <a:prstGeom prst="rect">
          <a:avLst/>
        </a:prstGeom>
        <a:noFill/>
        <a:ln>
          <a:noFill/>
        </a:ln>
        <a:effectLst/>
      </c:spPr>
    </c:backWall>
    <c:plotArea>
      <c:layout/>
      <c:bar3DChart>
        <c:barDir val="col"/>
        <c:grouping val="stacked"/>
        <c:varyColors val="0"/>
        <c:ser>
          <c:idx val="0"/>
          <c:order val="0"/>
          <c:tx>
            <c:strRef>
              <c:f>Лист!$B$4</c:f>
              <c:strCache>
                <c:ptCount val="1"/>
                <c:pt idx="0">
                  <c:v>до 35 лет</c:v>
                </c:pt>
              </c:strCache>
            </c:strRef>
          </c:tx>
          <c:spPr>
            <a:prstGeom prst="rect">
              <a:avLst/>
            </a:prstGeom>
            <a:solidFill>
              <a:schemeClr val="accent1">
                <a:tint val="65000"/>
              </a:schemeClr>
            </a:solidFill>
            <a:ln>
              <a:noFill/>
              <a:miter/>
            </a:ln>
            <a:effectLst/>
          </c:spPr>
          <c:invertIfNegative val="0"/>
          <c:dLbls>
            <c:spPr>
              <a:noFill/>
              <a:ln>
                <a:noFill/>
              </a:ln>
              <a:effectLst/>
            </c:spPr>
            <c:txPr>
              <a:bodyPr rot="0" spcFirstLastPara="1" vertOverflow="ellipsis" vert="horz" wrap="square" lIns="38098" tIns="19048" rIns="38098" bIns="19048"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Лист!$A$5:$A$7</c:f>
              <c:numCache>
                <c:formatCode>General</c:formatCode>
                <c:ptCount val="3"/>
                <c:pt idx="0">
                  <c:v>2022</c:v>
                </c:pt>
                <c:pt idx="1">
                  <c:v>2023</c:v>
                </c:pt>
                <c:pt idx="2">
                  <c:v>2024</c:v>
                </c:pt>
              </c:numCache>
            </c:numRef>
          </c:cat>
          <c:val>
            <c:numRef>
              <c:f>Лист!$B$5:$B$7</c:f>
              <c:numCache>
                <c:formatCode>0.0%</c:formatCode>
                <c:ptCount val="3"/>
                <c:pt idx="0">
                  <c:v>0.27300000000000002</c:v>
                </c:pt>
                <c:pt idx="1">
                  <c:v>0.254</c:v>
                </c:pt>
                <c:pt idx="2">
                  <c:v>0.24100000000000002</c:v>
                </c:pt>
              </c:numCache>
            </c:numRef>
          </c:val>
          <c:extLst>
            <c:ext xmlns:c16="http://schemas.microsoft.com/office/drawing/2014/chart" uri="{C3380CC4-5D6E-409C-BE32-E72D297353CC}">
              <c16:uniqueId val="{00000000-E4A2-403C-B203-FC12F3C28DFB}"/>
            </c:ext>
          </c:extLst>
        </c:ser>
        <c:ser>
          <c:idx val="1"/>
          <c:order val="1"/>
          <c:tx>
            <c:strRef>
              <c:f>Лист!$C$4</c:f>
              <c:strCache>
                <c:ptCount val="1"/>
                <c:pt idx="0">
                  <c:v>от 35 лет до 50</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8" tIns="19048" rIns="38098" bIns="19048"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Лист!$A$5:$A$7</c:f>
              <c:numCache>
                <c:formatCode>General</c:formatCode>
                <c:ptCount val="3"/>
                <c:pt idx="0">
                  <c:v>2022</c:v>
                </c:pt>
                <c:pt idx="1">
                  <c:v>2023</c:v>
                </c:pt>
                <c:pt idx="2">
                  <c:v>2024</c:v>
                </c:pt>
              </c:numCache>
            </c:numRef>
          </c:cat>
          <c:val>
            <c:numRef>
              <c:f>Лист!$C$5:$C$7</c:f>
              <c:numCache>
                <c:formatCode>0.0%</c:formatCode>
                <c:ptCount val="3"/>
                <c:pt idx="0">
                  <c:v>0.45900000000000002</c:v>
                </c:pt>
                <c:pt idx="1">
                  <c:v>0.46700000000000003</c:v>
                </c:pt>
                <c:pt idx="2">
                  <c:v>0.46899999999999997</c:v>
                </c:pt>
              </c:numCache>
            </c:numRef>
          </c:val>
          <c:extLst>
            <c:ext xmlns:c16="http://schemas.microsoft.com/office/drawing/2014/chart" uri="{C3380CC4-5D6E-409C-BE32-E72D297353CC}">
              <c16:uniqueId val="{00000001-E4A2-403C-B203-FC12F3C28DFB}"/>
            </c:ext>
          </c:extLst>
        </c:ser>
        <c:ser>
          <c:idx val="2"/>
          <c:order val="2"/>
          <c:tx>
            <c:strRef>
              <c:f>Лист!$D$4</c:f>
              <c:strCache>
                <c:ptCount val="1"/>
                <c:pt idx="0">
                  <c:v>от 50 лет</c:v>
                </c:pt>
              </c:strCache>
            </c:strRef>
          </c:tx>
          <c:spPr>
            <a:prstGeom prst="rect">
              <a:avLst/>
            </a:prstGeom>
            <a:solidFill>
              <a:schemeClr val="accent1">
                <a:shade val="65000"/>
              </a:schemeClr>
            </a:solidFill>
            <a:ln>
              <a:noFill/>
            </a:ln>
            <a:effectLst/>
          </c:spPr>
          <c:invertIfNegative val="0"/>
          <c:dLbls>
            <c:spPr>
              <a:noFill/>
              <a:ln>
                <a:noFill/>
              </a:ln>
              <a:effectLst/>
            </c:spPr>
            <c:txPr>
              <a:bodyPr rot="0" spcFirstLastPara="1" vertOverflow="ellipsis" vert="horz" wrap="square" lIns="38098" tIns="19048" rIns="38098" bIns="19048"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Лист!$A$5:$A$7</c:f>
              <c:numCache>
                <c:formatCode>General</c:formatCode>
                <c:ptCount val="3"/>
                <c:pt idx="0">
                  <c:v>2022</c:v>
                </c:pt>
                <c:pt idx="1">
                  <c:v>2023</c:v>
                </c:pt>
                <c:pt idx="2">
                  <c:v>2024</c:v>
                </c:pt>
              </c:numCache>
            </c:numRef>
          </c:cat>
          <c:val>
            <c:numRef>
              <c:f>Лист!$D$5:$D$7</c:f>
              <c:numCache>
                <c:formatCode>0.0%</c:formatCode>
                <c:ptCount val="3"/>
                <c:pt idx="0">
                  <c:v>0.26800000000000002</c:v>
                </c:pt>
                <c:pt idx="1">
                  <c:v>0.27900000000000003</c:v>
                </c:pt>
                <c:pt idx="2">
                  <c:v>0.28999999999999998</c:v>
                </c:pt>
              </c:numCache>
            </c:numRef>
          </c:val>
          <c:extLst>
            <c:ext xmlns:c16="http://schemas.microsoft.com/office/drawing/2014/chart" uri="{C3380CC4-5D6E-409C-BE32-E72D297353CC}">
              <c16:uniqueId val="{00000002-E4A2-403C-B203-FC12F3C28DFB}"/>
            </c:ext>
          </c:extLst>
        </c:ser>
        <c:dLbls>
          <c:showLegendKey val="0"/>
          <c:showVal val="0"/>
          <c:showCatName val="0"/>
          <c:showSerName val="0"/>
          <c:showPercent val="0"/>
          <c:showBubbleSize val="0"/>
        </c:dLbls>
        <c:gapWidth val="150"/>
        <c:shape val="box"/>
        <c:axId val="324482176"/>
        <c:axId val="324483712"/>
        <c:axId val="0"/>
      </c:bar3DChart>
      <c:catAx>
        <c:axId val="324482176"/>
        <c:scaling>
          <c:orientation val="minMax"/>
        </c:scaling>
        <c:delete val="0"/>
        <c:axPos val="b"/>
        <c:numFmt formatCode="General"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24483712"/>
        <c:crosses val="autoZero"/>
        <c:auto val="1"/>
        <c:lblAlgn val="ctr"/>
        <c:lblOffset val="100"/>
        <c:noMultiLvlLbl val="0"/>
      </c:catAx>
      <c:valAx>
        <c:axId val="324483712"/>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24482176"/>
        <c:crosses val="autoZero"/>
        <c:crossBetween val="between"/>
      </c:valAx>
      <c:spPr>
        <a:prstGeom prst="rect">
          <a:avLst/>
        </a:prstGeom>
        <a:noFill/>
        <a:ln>
          <a:noFill/>
        </a:ln>
        <a:effectLst/>
      </c:spPr>
    </c:plotArea>
    <c:legend>
      <c:legendPos val="b"/>
      <c:overlay val="0"/>
      <c:spPr>
        <a:prstGeom prst="rect">
          <a:avLst/>
        </a:prstGeom>
        <a:noFill/>
        <a:ln>
          <a:noFill/>
          <a:miter/>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15"/>
      <c:rotY val="20"/>
      <c:depthPercent val="100"/>
      <c:rAngAx val="1"/>
    </c:view3D>
    <c:floor>
      <c:thickness val="0"/>
      <c:spPr>
        <a:prstGeom prst="rect">
          <a:avLst/>
        </a:prstGeom>
        <a:noFill/>
        <a:ln>
          <a:noFill/>
        </a:ln>
        <a:effectLst/>
      </c:spPr>
    </c:floor>
    <c:sideWall>
      <c:thickness val="0"/>
      <c:spPr>
        <a:prstGeom prst="rect">
          <a:avLst/>
        </a:prstGeom>
        <a:noFill/>
        <a:ln>
          <a:noFill/>
        </a:ln>
        <a:effectLst/>
      </c:spPr>
    </c:sideWall>
    <c:backWall>
      <c:thickness val="0"/>
      <c:spPr>
        <a:prstGeom prst="rect">
          <a:avLst/>
        </a:prstGeom>
        <a:noFill/>
        <a:ln>
          <a:noFill/>
        </a:ln>
        <a:effectLst/>
      </c:spPr>
    </c:backWall>
    <c:plotArea>
      <c:layout>
        <c:manualLayout>
          <c:layoutTarget val="inner"/>
          <c:xMode val="edge"/>
          <c:yMode val="edge"/>
          <c:x val="0.11142000000000001"/>
          <c:y val="2.1860000000000001E-2"/>
          <c:w val="0.88856999999999997"/>
          <c:h val="0.77283999999999997"/>
        </c:manualLayout>
      </c:layout>
      <c:bar3DChart>
        <c:barDir val="col"/>
        <c:grouping val="percentStacked"/>
        <c:varyColors val="0"/>
        <c:ser>
          <c:idx val="0"/>
          <c:order val="0"/>
          <c:tx>
            <c:strRef>
              <c:f>Лист!$B$49</c:f>
              <c:strCache>
                <c:ptCount val="1"/>
                <c:pt idx="0">
                  <c:v>Основное/среднее общее</c:v>
                </c:pt>
              </c:strCache>
            </c:strRef>
          </c:tx>
          <c:spPr>
            <a:prstGeom prst="rect">
              <a:avLst/>
            </a:prstGeom>
            <a:solidFill>
              <a:schemeClr val="accent1">
                <a:shade val="65000"/>
              </a:schemeClr>
            </a:solidFill>
            <a:ln>
              <a:noFill/>
              <a:miter/>
            </a:ln>
            <a:effectLst/>
          </c:spPr>
          <c:invertIfNegative val="0"/>
          <c:dLbls>
            <c:spPr>
              <a:noFill/>
              <a:ln>
                <a:noFill/>
              </a:ln>
              <a:effectLst/>
            </c:spPr>
            <c:txPr>
              <a:bodyPr rot="0" spcFirstLastPara="1" vertOverflow="ellipsis" vert="horz" wrap="square" lIns="38098" tIns="19048" rIns="38098" bIns="19048"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Лист!$A$50:$A$52</c:f>
              <c:numCache>
                <c:formatCode>General</c:formatCode>
                <c:ptCount val="3"/>
                <c:pt idx="0">
                  <c:v>2022</c:v>
                </c:pt>
                <c:pt idx="1">
                  <c:v>2023</c:v>
                </c:pt>
                <c:pt idx="2">
                  <c:v>2024</c:v>
                </c:pt>
              </c:numCache>
            </c:numRef>
          </c:cat>
          <c:val>
            <c:numRef>
              <c:f>Лист!$B$50:$B$52</c:f>
              <c:numCache>
                <c:formatCode>0.0%</c:formatCode>
                <c:ptCount val="3"/>
                <c:pt idx="0">
                  <c:v>0.114</c:v>
                </c:pt>
                <c:pt idx="1">
                  <c:v>0.115</c:v>
                </c:pt>
                <c:pt idx="2">
                  <c:v>0.115</c:v>
                </c:pt>
              </c:numCache>
            </c:numRef>
          </c:val>
          <c:extLst>
            <c:ext xmlns:c16="http://schemas.microsoft.com/office/drawing/2014/chart" uri="{C3380CC4-5D6E-409C-BE32-E72D297353CC}">
              <c16:uniqueId val="{00000000-AB18-41E6-A4A6-BECCC8E283B6}"/>
            </c:ext>
          </c:extLst>
        </c:ser>
        <c:ser>
          <c:idx val="1"/>
          <c:order val="1"/>
          <c:tx>
            <c:strRef>
              <c:f>Лист!$C$49</c:f>
              <c:strCache>
                <c:ptCount val="1"/>
                <c:pt idx="0">
                  <c:v>Начальное/среднее профессиональное</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8" tIns="19048" rIns="38098" bIns="19048"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Лист!$A$50:$A$52</c:f>
              <c:numCache>
                <c:formatCode>General</c:formatCode>
                <c:ptCount val="3"/>
                <c:pt idx="0">
                  <c:v>2022</c:v>
                </c:pt>
                <c:pt idx="1">
                  <c:v>2023</c:v>
                </c:pt>
                <c:pt idx="2">
                  <c:v>2024</c:v>
                </c:pt>
              </c:numCache>
            </c:numRef>
          </c:cat>
          <c:val>
            <c:numRef>
              <c:f>Лист!$C$50:$C$52</c:f>
              <c:numCache>
                <c:formatCode>0.0%</c:formatCode>
                <c:ptCount val="3"/>
                <c:pt idx="0">
                  <c:v>0.41499999999999998</c:v>
                </c:pt>
                <c:pt idx="1">
                  <c:v>0.40799999999999997</c:v>
                </c:pt>
                <c:pt idx="2">
                  <c:v>0.39899999999999997</c:v>
                </c:pt>
              </c:numCache>
            </c:numRef>
          </c:val>
          <c:extLst>
            <c:ext xmlns:c16="http://schemas.microsoft.com/office/drawing/2014/chart" uri="{C3380CC4-5D6E-409C-BE32-E72D297353CC}">
              <c16:uniqueId val="{00000001-AB18-41E6-A4A6-BECCC8E283B6}"/>
            </c:ext>
          </c:extLst>
        </c:ser>
        <c:ser>
          <c:idx val="2"/>
          <c:order val="2"/>
          <c:tx>
            <c:strRef>
              <c:f>Лист!$D$49</c:f>
              <c:strCache>
                <c:ptCount val="1"/>
                <c:pt idx="0">
                  <c:v>Высшее профессиональное</c:v>
                </c:pt>
              </c:strCache>
            </c:strRef>
          </c:tx>
          <c:spPr>
            <a:prstGeom prst="rect">
              <a:avLst/>
            </a:prstGeom>
            <a:solidFill>
              <a:schemeClr val="accent1">
                <a:tint val="65000"/>
              </a:schemeClr>
            </a:solidFill>
            <a:ln>
              <a:noFill/>
            </a:ln>
            <a:effectLst/>
          </c:spPr>
          <c:invertIfNegative val="0"/>
          <c:dLbls>
            <c:spPr>
              <a:noFill/>
              <a:ln>
                <a:noFill/>
              </a:ln>
              <a:effectLst/>
            </c:spPr>
            <c:txPr>
              <a:bodyPr rot="0" spcFirstLastPara="1" vertOverflow="ellipsis" vert="horz" wrap="square" lIns="38098" tIns="19048" rIns="38098" bIns="19048"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Лист!$A$50:$A$52</c:f>
              <c:numCache>
                <c:formatCode>General</c:formatCode>
                <c:ptCount val="3"/>
                <c:pt idx="0">
                  <c:v>2022</c:v>
                </c:pt>
                <c:pt idx="1">
                  <c:v>2023</c:v>
                </c:pt>
                <c:pt idx="2">
                  <c:v>2024</c:v>
                </c:pt>
              </c:numCache>
            </c:numRef>
          </c:cat>
          <c:val>
            <c:numRef>
              <c:f>Лист!$D$50:$D$52</c:f>
              <c:numCache>
                <c:formatCode>0.0%</c:formatCode>
                <c:ptCount val="3"/>
                <c:pt idx="0">
                  <c:v>0.47099999999999997</c:v>
                </c:pt>
                <c:pt idx="1">
                  <c:v>0.47699999999999998</c:v>
                </c:pt>
                <c:pt idx="2">
                  <c:v>0.48599999999999999</c:v>
                </c:pt>
              </c:numCache>
            </c:numRef>
          </c:val>
          <c:extLst>
            <c:ext xmlns:c16="http://schemas.microsoft.com/office/drawing/2014/chart" uri="{C3380CC4-5D6E-409C-BE32-E72D297353CC}">
              <c16:uniqueId val="{00000002-AB18-41E6-A4A6-BECCC8E283B6}"/>
            </c:ext>
          </c:extLst>
        </c:ser>
        <c:dLbls>
          <c:showLegendKey val="0"/>
          <c:showVal val="0"/>
          <c:showCatName val="0"/>
          <c:showSerName val="0"/>
          <c:showPercent val="0"/>
          <c:showBubbleSize val="0"/>
        </c:dLbls>
        <c:gapWidth val="150"/>
        <c:shape val="box"/>
        <c:axId val="326538752"/>
        <c:axId val="326540288"/>
        <c:axId val="0"/>
      </c:bar3DChart>
      <c:catAx>
        <c:axId val="326538752"/>
        <c:scaling>
          <c:orientation val="minMax"/>
        </c:scaling>
        <c:delete val="0"/>
        <c:axPos val="b"/>
        <c:numFmt formatCode="General"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26540288"/>
        <c:crosses val="autoZero"/>
        <c:auto val="1"/>
        <c:lblAlgn val="ctr"/>
        <c:lblOffset val="100"/>
        <c:noMultiLvlLbl val="0"/>
      </c:catAx>
      <c:valAx>
        <c:axId val="326540288"/>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26538752"/>
        <c:crosses val="autoZero"/>
        <c:crossBetween val="between"/>
      </c:valAx>
      <c:spPr>
        <a:prstGeom prst="rect">
          <a:avLst/>
        </a:prstGeom>
        <a:noFill/>
        <a:ln>
          <a:noFill/>
        </a:ln>
        <a:effectLst/>
      </c:spPr>
    </c:plotArea>
    <c:legend>
      <c:legendPos val="b"/>
      <c:layout>
        <c:manualLayout>
          <c:xMode val="edge"/>
          <c:yMode val="edge"/>
          <c:x val="3.3020000000000001E-2"/>
          <c:y val="0.91691"/>
          <c:w val="0.96697"/>
          <c:h val="6.7159999999999997E-2"/>
        </c:manualLayout>
      </c:layout>
      <c:overlay val="0"/>
      <c:spPr>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spc="0">
                <a:solidFill>
                  <a:schemeClr val="tx1">
                    <a:lumMod val="65000"/>
                    <a:lumOff val="35000"/>
                  </a:schemeClr>
                </a:solidFill>
                <a:latin typeface="+mn-lt"/>
                <a:ea typeface="+mn-ea"/>
                <a:cs typeface="+mn-cs"/>
              </a:defRPr>
            </a:pPr>
            <a:r>
              <a:rPr lang="ru-RU" sz="1100">
                <a:latin typeface="Times New Roman"/>
                <a:cs typeface="Times New Roman"/>
              </a:rPr>
              <a:t>Финансирование капитальных вложений, млн. руб.</a:t>
            </a:r>
            <a:endParaRPr lang="ru-RU"/>
          </a:p>
        </c:rich>
      </c:tx>
      <c:layout>
        <c:manualLayout>
          <c:xMode val="edge"/>
          <c:yMode val="edge"/>
          <c:x val="9.4899999999999998E-2"/>
          <c:y val="4.761E-2"/>
        </c:manualLayout>
      </c:layout>
      <c:overlay val="0"/>
      <c:spPr>
        <a:prstGeom prst="rect">
          <a:avLst/>
        </a:prstGeom>
        <a:noFill/>
        <a:ln>
          <a:noFill/>
          <a:miter/>
        </a:ln>
        <a:effectLst/>
      </c:spPr>
    </c:title>
    <c:autoTitleDeleted val="0"/>
    <c:plotArea>
      <c:layout/>
      <c:barChart>
        <c:barDir val="col"/>
        <c:grouping val="clustered"/>
        <c:varyColors val="0"/>
        <c:ser>
          <c:idx val="0"/>
          <c:order val="0"/>
          <c:tx>
            <c:strRef>
              <c:f>Лист1!$A$5</c:f>
              <c:strCache>
                <c:ptCount val="1"/>
                <c:pt idx="0">
                  <c:v>Финансирование капитальных вложений</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Лист1!$B$1:$D$1</c:f>
              <c:strCache>
                <c:ptCount val="3"/>
                <c:pt idx="0">
                  <c:v>2022 г.</c:v>
                </c:pt>
                <c:pt idx="1">
                  <c:v>2023 г.</c:v>
                </c:pt>
                <c:pt idx="2">
                  <c:v>2024 г.</c:v>
                </c:pt>
              </c:strCache>
            </c:strRef>
          </c:cat>
          <c:val>
            <c:numRef>
              <c:f>Лист1!$B$5:$D$5</c:f>
              <c:numCache>
                <c:formatCode>#,##0</c:formatCode>
                <c:ptCount val="3"/>
                <c:pt idx="0">
                  <c:v>7990</c:v>
                </c:pt>
                <c:pt idx="1">
                  <c:v>13518</c:v>
                </c:pt>
                <c:pt idx="2">
                  <c:v>14034</c:v>
                </c:pt>
              </c:numCache>
            </c:numRef>
          </c:val>
          <c:extLst>
            <c:ext xmlns:c16="http://schemas.microsoft.com/office/drawing/2014/chart" uri="{C3380CC4-5D6E-409C-BE32-E72D297353CC}">
              <c16:uniqueId val="{00000000-9084-4198-A913-1BDC91F04616}"/>
            </c:ext>
          </c:extLst>
        </c:ser>
        <c:dLbls>
          <c:showLegendKey val="0"/>
          <c:showVal val="0"/>
          <c:showCatName val="0"/>
          <c:showSerName val="0"/>
          <c:showPercent val="0"/>
          <c:showBubbleSize val="0"/>
        </c:dLbls>
        <c:gapWidth val="219"/>
        <c:overlap val="-26"/>
        <c:axId val="318764544"/>
        <c:axId val="318766080"/>
      </c:barChart>
      <c:catAx>
        <c:axId val="318764544"/>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766080"/>
        <c:crosses val="autoZero"/>
        <c:auto val="1"/>
        <c:lblAlgn val="ctr"/>
        <c:lblOffset val="100"/>
        <c:noMultiLvlLbl val="0"/>
      </c:catAx>
      <c:valAx>
        <c:axId val="318766080"/>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764544"/>
        <c:crosses val="autoZero"/>
        <c:crossBetween val="between"/>
      </c:valAx>
      <c:spPr>
        <a:prstGeom prst="rect">
          <a:avLst/>
        </a:prstGeom>
        <a:noFill/>
        <a:ln>
          <a:noFill/>
          <a:miter/>
        </a:ln>
        <a:effectLst/>
      </c:spPr>
    </c:plotArea>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pieChart>
        <c:varyColors val="1"/>
        <c:ser>
          <c:idx val="0"/>
          <c:order val="0"/>
          <c:dPt>
            <c:idx val="0"/>
            <c:bubble3D val="0"/>
            <c:spPr>
              <a:prstGeom prst="rect">
                <a:avLst/>
              </a:prstGeom>
              <a:solidFill>
                <a:schemeClr val="accent1">
                  <a:shade val="76000"/>
                </a:schemeClr>
              </a:solidFill>
              <a:ln w="19050">
                <a:solidFill>
                  <a:schemeClr val="lt1"/>
                </a:solidFill>
              </a:ln>
              <a:effectLst/>
            </c:spPr>
            <c:extLst>
              <c:ext xmlns:c16="http://schemas.microsoft.com/office/drawing/2014/chart" uri="{C3380CC4-5D6E-409C-BE32-E72D297353CC}">
                <c16:uniqueId val="{00000001-3C42-45F6-B895-503CD3E6CFEE}"/>
              </c:ext>
            </c:extLst>
          </c:dPt>
          <c:dPt>
            <c:idx val="1"/>
            <c:bubble3D val="0"/>
            <c:spPr>
              <a:prstGeom prst="rect">
                <a:avLst/>
              </a:prstGeom>
              <a:solidFill>
                <a:schemeClr val="accent1">
                  <a:tint val="77000"/>
                </a:schemeClr>
              </a:solidFill>
              <a:ln w="19050">
                <a:solidFill>
                  <a:schemeClr val="lt1"/>
                </a:solidFill>
              </a:ln>
              <a:effectLst/>
            </c:spPr>
            <c:extLst>
              <c:ext xmlns:c16="http://schemas.microsoft.com/office/drawing/2014/chart" uri="{C3380CC4-5D6E-409C-BE32-E72D297353CC}">
                <c16:uniqueId val="{00000003-3C42-45F6-B895-503CD3E6CFEE}"/>
              </c:ext>
            </c:extLst>
          </c:dPt>
          <c:dLbls>
            <c:spPr>
              <a:noFill/>
              <a:ln>
                <a:noFill/>
                <a:miter/>
              </a:ln>
              <a:effectLst/>
            </c:spPr>
            <c:txPr>
              <a:bodyPr rot="0" spcFirstLastPara="1" vertOverflow="ellipsis" vert="horz" wrap="square" lIns="38098" tIns="19048" rIns="38098" bIns="19048"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eparator> </c:separator>
            <c:showLeaderLines val="1"/>
            <c:leaderLines>
              <c:spPr>
                <a:prstGeom prst="rect">
                  <a:avLst/>
                </a:prstGeom>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Лист!$B$66:$C$66</c:f>
              <c:strCache>
                <c:ptCount val="2"/>
                <c:pt idx="0">
                  <c:v>Женщин</c:v>
                </c:pt>
                <c:pt idx="1">
                  <c:v>Мужчин</c:v>
                </c:pt>
              </c:strCache>
            </c:strRef>
          </c:cat>
          <c:val>
            <c:numRef>
              <c:f>Лист!$B$67:$C$67</c:f>
              <c:numCache>
                <c:formatCode>0.0%</c:formatCode>
                <c:ptCount val="2"/>
                <c:pt idx="0">
                  <c:v>0.247</c:v>
                </c:pt>
                <c:pt idx="1">
                  <c:v>0.753</c:v>
                </c:pt>
              </c:numCache>
            </c:numRef>
          </c:val>
          <c:extLst>
            <c:ext xmlns:c16="http://schemas.microsoft.com/office/drawing/2014/chart" uri="{C3380CC4-5D6E-409C-BE32-E72D297353CC}">
              <c16:uniqueId val="{00000004-3C42-45F6-B895-503CD3E6CFEE}"/>
            </c:ext>
          </c:extLst>
        </c:ser>
        <c:dLbls>
          <c:dLblPos val="ctr"/>
          <c:showLegendKey val="0"/>
          <c:showVal val="1"/>
          <c:showCatName val="0"/>
          <c:showSerName val="0"/>
          <c:showPercent val="0"/>
          <c:showBubbleSize val="0"/>
          <c:separator> </c:separator>
          <c:showLeaderLines val="1"/>
        </c:dLbls>
        <c:firstSliceAng val="0"/>
      </c:pieChart>
      <c:spPr>
        <a:prstGeom prst="rect">
          <a:avLst/>
        </a:prstGeom>
        <a:noFill/>
        <a:ln>
          <a:noFill/>
        </a:ln>
        <a:effectLst/>
      </c:spPr>
    </c:plotArea>
    <c:legend>
      <c:legendPos val="b"/>
      <c:overlay val="0"/>
      <c:spPr>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sz="900">
          <a:solidFill>
            <a:schemeClr val="tx1"/>
          </a:solidFill>
          <a:latin typeface="+mn-lt"/>
          <a:ea typeface="+mn-ea"/>
          <a:cs typeface="+mn-cs"/>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stacked"/>
        <c:varyColors val="0"/>
        <c:ser>
          <c:idx val="0"/>
          <c:order val="0"/>
          <c:tx>
            <c:strRef>
              <c:f>Лист!$B$58</c:f>
              <c:strCache>
                <c:ptCount val="1"/>
                <c:pt idx="0">
                  <c:v>Женщин</c:v>
                </c:pt>
              </c:strCache>
            </c:strRef>
          </c:tx>
          <c:spPr>
            <a:prstGeom prst="rect">
              <a:avLst/>
            </a:prstGeom>
            <a:solidFill>
              <a:schemeClr val="accent1">
                <a:shade val="76000"/>
              </a:schemeClr>
            </a:solidFill>
            <a:ln>
              <a:noFill/>
            </a:ln>
            <a:effectLst/>
          </c:spPr>
          <c:invertIfNegative val="0"/>
          <c:dLbls>
            <c:spPr>
              <a:noFill/>
              <a:ln>
                <a:noFill/>
                <a:miter/>
              </a:ln>
              <a:effectLst/>
            </c:spPr>
            <c:txPr>
              <a:bodyPr rot="0" spcFirstLastPara="1" vertOverflow="ellipsis" vert="horz" wrap="square" lIns="38098" tIns="19048" rIns="38098" bIns="19048"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Лист!$A$59:$A$61</c:f>
              <c:strCache>
                <c:ptCount val="3"/>
                <c:pt idx="0">
                  <c:v>Руководители</c:v>
                </c:pt>
                <c:pt idx="1">
                  <c:v>Специалисты</c:v>
                </c:pt>
                <c:pt idx="2">
                  <c:v>Рабочие</c:v>
                </c:pt>
              </c:strCache>
            </c:strRef>
          </c:cat>
          <c:val>
            <c:numRef>
              <c:f>Лист!$B$59:$B$61</c:f>
              <c:numCache>
                <c:formatCode>0.0%</c:formatCode>
                <c:ptCount val="3"/>
                <c:pt idx="0">
                  <c:v>9.4E-2</c:v>
                </c:pt>
                <c:pt idx="1">
                  <c:v>0.49099999999999999</c:v>
                </c:pt>
                <c:pt idx="2">
                  <c:v>0.107</c:v>
                </c:pt>
              </c:numCache>
            </c:numRef>
          </c:val>
          <c:extLst>
            <c:ext xmlns:c16="http://schemas.microsoft.com/office/drawing/2014/chart" uri="{C3380CC4-5D6E-409C-BE32-E72D297353CC}">
              <c16:uniqueId val="{00000000-8897-4CAE-905E-47326E9252F3}"/>
            </c:ext>
          </c:extLst>
        </c:ser>
        <c:ser>
          <c:idx val="1"/>
          <c:order val="1"/>
          <c:tx>
            <c:strRef>
              <c:f>Лист!$C$58</c:f>
              <c:strCache>
                <c:ptCount val="1"/>
                <c:pt idx="0">
                  <c:v>Мужчин</c:v>
                </c:pt>
              </c:strCache>
            </c:strRef>
          </c:tx>
          <c:spPr>
            <a:prstGeom prst="rect">
              <a:avLst/>
            </a:prstGeom>
            <a:solidFill>
              <a:schemeClr val="accent1">
                <a:tint val="77000"/>
              </a:schemeClr>
            </a:solidFill>
            <a:ln>
              <a:noFill/>
            </a:ln>
            <a:effectLst/>
          </c:spPr>
          <c:invertIfNegative val="0"/>
          <c:dLbls>
            <c:spPr>
              <a:noFill/>
              <a:ln>
                <a:noFill/>
              </a:ln>
              <a:effectLst/>
            </c:spPr>
            <c:txPr>
              <a:bodyPr rot="0" spcFirstLastPara="1" vertOverflow="ellipsis" vert="horz" wrap="square" lIns="38098" tIns="19048" rIns="38098" bIns="19048"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Лист!$A$59:$A$61</c:f>
              <c:strCache>
                <c:ptCount val="3"/>
                <c:pt idx="0">
                  <c:v>Руководители</c:v>
                </c:pt>
                <c:pt idx="1">
                  <c:v>Специалисты</c:v>
                </c:pt>
                <c:pt idx="2">
                  <c:v>Рабочие</c:v>
                </c:pt>
              </c:strCache>
            </c:strRef>
          </c:cat>
          <c:val>
            <c:numRef>
              <c:f>Лист!$C$59:$C$61</c:f>
              <c:numCache>
                <c:formatCode>0.0%</c:formatCode>
                <c:ptCount val="3"/>
                <c:pt idx="0">
                  <c:v>0.90599999999999992</c:v>
                </c:pt>
                <c:pt idx="1">
                  <c:v>0.50900000000000001</c:v>
                </c:pt>
                <c:pt idx="2">
                  <c:v>0.89300000000000002</c:v>
                </c:pt>
              </c:numCache>
            </c:numRef>
          </c:val>
          <c:extLst>
            <c:ext xmlns:c16="http://schemas.microsoft.com/office/drawing/2014/chart" uri="{C3380CC4-5D6E-409C-BE32-E72D297353CC}">
              <c16:uniqueId val="{00000001-8897-4CAE-905E-47326E9252F3}"/>
            </c:ext>
          </c:extLst>
        </c:ser>
        <c:dLbls>
          <c:dLblPos val="ctr"/>
          <c:showLegendKey val="0"/>
          <c:showVal val="1"/>
          <c:showCatName val="0"/>
          <c:showSerName val="0"/>
          <c:showPercent val="0"/>
          <c:showBubbleSize val="0"/>
        </c:dLbls>
        <c:gapWidth val="150"/>
        <c:overlap val="100"/>
        <c:axId val="324730240"/>
        <c:axId val="326308992"/>
      </c:barChart>
      <c:catAx>
        <c:axId val="324730240"/>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26308992"/>
        <c:crosses val="autoZero"/>
        <c:auto val="1"/>
        <c:lblAlgn val="ctr"/>
        <c:lblOffset val="100"/>
        <c:noMultiLvlLbl val="0"/>
      </c:catAx>
      <c:valAx>
        <c:axId val="326308992"/>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0%" sourceLinked="1"/>
        <c:majorTickMark val="out"/>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24730240"/>
        <c:crosses val="autoZero"/>
        <c:crossBetween val="between"/>
      </c:valAx>
      <c:spPr>
        <a:prstGeom prst="rect">
          <a:avLst/>
        </a:prstGeom>
        <a:noFill/>
        <a:ln>
          <a:noFill/>
        </a:ln>
        <a:effectLst/>
      </c:spPr>
    </c:plotArea>
    <c:legend>
      <c:legendPos val="b"/>
      <c:overlay val="0"/>
      <c:spPr>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doughnutChart>
        <c:varyColors val="1"/>
        <c:ser>
          <c:idx val="1"/>
          <c:order val="1"/>
          <c:dPt>
            <c:idx val="0"/>
            <c:bubble3D val="0"/>
            <c:spPr>
              <a:prstGeom prst="rect">
                <a:avLst/>
              </a:prstGeom>
              <a:solidFill>
                <a:schemeClr val="bg1">
                  <a:lumMod val="75000"/>
                </a:schemeClr>
              </a:solidFill>
            </c:spPr>
            <c:extLst>
              <c:ext xmlns:c16="http://schemas.microsoft.com/office/drawing/2014/chart" uri="{C3380CC4-5D6E-409C-BE32-E72D297353CC}">
                <c16:uniqueId val="{00000001-683B-42BB-8978-3E0D35BD9D0E}"/>
              </c:ext>
            </c:extLst>
          </c:dPt>
          <c:dPt>
            <c:idx val="1"/>
            <c:bubble3D val="0"/>
            <c:spPr>
              <a:prstGeom prst="rect">
                <a:avLst/>
              </a:prstGeom>
              <a:solidFill>
                <a:schemeClr val="accent1">
                  <a:lumMod val="50000"/>
                </a:schemeClr>
              </a:solidFill>
            </c:spPr>
            <c:extLst>
              <c:ext xmlns:c16="http://schemas.microsoft.com/office/drawing/2014/chart" uri="{C3380CC4-5D6E-409C-BE32-E72D297353CC}">
                <c16:uniqueId val="{00000003-683B-42BB-8978-3E0D35BD9D0E}"/>
              </c:ext>
            </c:extLst>
          </c:dPt>
          <c:dLbls>
            <c:dLbl>
              <c:idx val="1"/>
              <c:layout>
                <c:manualLayout>
                  <c:x val="-0.13611000000000001"/>
                  <c:y val="8.333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83B-42BB-8978-3E0D35BD9D0E}"/>
                </c:ext>
              </c:extLst>
            </c:dLbl>
            <c:dLbl>
              <c:idx val="2"/>
              <c:layout>
                <c:manualLayout>
                  <c:x val="-4.7219999999999998E-2"/>
                  <c:y val="-0.1527699999999999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83B-42BB-8978-3E0D35BD9D0E}"/>
                </c:ext>
              </c:extLst>
            </c:dLbl>
            <c:spPr>
              <a:noFill/>
              <a:ln>
                <a:noFill/>
                <a:miter/>
              </a:ln>
              <a:effectLst/>
            </c:spPr>
            <c:showLegendKey val="0"/>
            <c:showVal val="1"/>
            <c:showCatName val="0"/>
            <c:showSerName val="0"/>
            <c:showPercent val="0"/>
            <c:showBubbleSize val="0"/>
            <c:showLeaderLines val="1"/>
            <c:extLst>
              <c:ext xmlns:c15="http://schemas.microsoft.com/office/drawing/2012/chart" uri="{CE6537A1-D6FC-4f65-9D91-7224C49458BB}">
                <c15:spPr xmlns:c15="http://schemas.microsoft.com/office/drawing/2012/chart">
                  <a:prstGeom prst="rect">
                    <a:avLst/>
                  </a:prstGeom>
                </c15:spPr>
              </c:ext>
            </c:extLst>
          </c:dLbls>
          <c:cat>
            <c:strRef>
              <c:f>'Диаграмма по категориям'!$A$7:$A$9</c:f>
              <c:strCache>
                <c:ptCount val="3"/>
                <c:pt idx="0">
                  <c:v>административно-управленческий персонал</c:v>
                </c:pt>
                <c:pt idx="1">
                  <c:v>производственный персонал</c:v>
                </c:pt>
                <c:pt idx="2">
                  <c:v>вспомогательный персонал</c:v>
                </c:pt>
              </c:strCache>
            </c:strRef>
          </c:cat>
          <c:val>
            <c:numRef>
              <c:f>'Диаграмма по категориям'!$C$7:$C$9</c:f>
              <c:numCache>
                <c:formatCode>0.0%</c:formatCode>
                <c:ptCount val="3"/>
                <c:pt idx="0">
                  <c:v>0.14699999999999999</c:v>
                </c:pt>
                <c:pt idx="1">
                  <c:v>0.85199999999999998</c:v>
                </c:pt>
                <c:pt idx="2">
                  <c:v>1E-3</c:v>
                </c:pt>
              </c:numCache>
            </c:numRef>
          </c:val>
          <c:extLst>
            <c:ext xmlns:c16="http://schemas.microsoft.com/office/drawing/2014/chart" uri="{C3380CC4-5D6E-409C-BE32-E72D297353CC}">
              <c16:uniqueId val="{00000005-683B-42BB-8978-3E0D35BD9D0E}"/>
            </c:ext>
          </c:extLst>
        </c:ser>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15:spPr xmlns:c15="http://schemas.microsoft.com/office/drawing/2012/chart">
                  <a:prstGeom prst="rect">
                    <a:avLst/>
                  </a:prstGeom>
                </c15:spPr>
              </c:ext>
            </c:extLst>
          </c:dLbls>
          <c:cat>
            <c:strRef>
              <c:f>'Диаграмма по категориям'!$A$7:$A$9</c:f>
              <c:strCache>
                <c:ptCount val="3"/>
                <c:pt idx="0">
                  <c:v>административно-управленческий персонал</c:v>
                </c:pt>
                <c:pt idx="1">
                  <c:v>производственный персонал</c:v>
                </c:pt>
                <c:pt idx="2">
                  <c:v>вспомогательный персонал</c:v>
                </c:pt>
              </c:strCache>
            </c:strRef>
          </c:cat>
          <c:val>
            <c:numRef>
              <c:f>'Диаграмма по категориям'!$B$7:$B$9</c:f>
              <c:numCache>
                <c:formatCode>General</c:formatCode>
                <c:ptCount val="3"/>
              </c:numCache>
            </c:numRef>
          </c:val>
          <c:extLst>
            <c:ext xmlns:c16="http://schemas.microsoft.com/office/drawing/2014/chart" uri="{C3380CC4-5D6E-409C-BE32-E72D297353CC}">
              <c16:uniqueId val="{00000006-683B-42BB-8978-3E0D35BD9D0E}"/>
            </c:ext>
          </c:extLst>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gap"/>
    <c:showDLblsOverMax val="0"/>
  </c:chart>
  <c:spPr>
    <a:xfrm>
      <a:off x="0" y="0"/>
      <a:ext cx="4870744" cy="2031999"/>
    </a:xfrm>
    <a:prstGeom prst="rect">
      <a:avLst/>
    </a:prstGeom>
    <a:ln>
      <a:noFill/>
    </a:ln>
  </c:spPr>
  <c:txPr>
    <a:bodyPr/>
    <a:lstStyle/>
    <a:p>
      <a:pPr>
        <a:defRPr>
          <a:latin typeface="Times New Roman"/>
          <a:cs typeface="Times New Roman"/>
        </a:defRPr>
      </a:pPr>
      <a:endParaRPr lang="ru-RU"/>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003E-2"/>
          <c:y val="9.1789999999999997E-2"/>
          <c:w val="0.85284000000000004"/>
          <c:h val="0.71274000000000004"/>
        </c:manualLayout>
      </c:layout>
      <c:barChart>
        <c:barDir val="col"/>
        <c:grouping val="clustered"/>
        <c:varyColors val="0"/>
        <c:ser>
          <c:idx val="0"/>
          <c:order val="0"/>
          <c:tx>
            <c:strRef>
              <c:f>Лист1!$A$4</c:f>
              <c:strCache>
                <c:ptCount val="1"/>
                <c:pt idx="0">
                  <c:v>2022</c:v>
                </c:pt>
              </c:strCache>
            </c:strRef>
          </c:tx>
          <c:spPr>
            <a:prstGeom prst="rect">
              <a:avLst/>
            </a:prstGeom>
            <a:solidFill>
              <a:srgbClr val="4F81BD">
                <a:lumMod val="75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Лист1!$B$3:$F$3</c:f>
              <c:strCache>
                <c:ptCount val="5"/>
                <c:pt idx="0">
                  <c:v>Число НС</c:v>
                </c:pt>
                <c:pt idx="1">
                  <c:v>Число пострадавших</c:v>
                </c:pt>
                <c:pt idx="2">
                  <c:v>Легкие травмы</c:v>
                </c:pt>
                <c:pt idx="3">
                  <c:v>Тяжелые травмы</c:v>
                </c:pt>
                <c:pt idx="4">
                  <c:v>Смертельные травмы</c:v>
                </c:pt>
              </c:strCache>
            </c:strRef>
          </c:cat>
          <c:val>
            <c:numRef>
              <c:f>Лист1!$B$4:$F$4</c:f>
              <c:numCache>
                <c:formatCode>General</c:formatCode>
                <c:ptCount val="5"/>
                <c:pt idx="0">
                  <c:v>0</c:v>
                </c:pt>
                <c:pt idx="1">
                  <c:v>0</c:v>
                </c:pt>
                <c:pt idx="2">
                  <c:v>0</c:v>
                </c:pt>
                <c:pt idx="3">
                  <c:v>0</c:v>
                </c:pt>
                <c:pt idx="4">
                  <c:v>0</c:v>
                </c:pt>
              </c:numCache>
            </c:numRef>
          </c:val>
          <c:extLst>
            <c:ext xmlns:c16="http://schemas.microsoft.com/office/drawing/2014/chart" uri="{C3380CC4-5D6E-409C-BE32-E72D297353CC}">
              <c16:uniqueId val="{00000000-5AF8-4D78-B05C-33602E4BAA05}"/>
            </c:ext>
          </c:extLst>
        </c:ser>
        <c:ser>
          <c:idx val="1"/>
          <c:order val="1"/>
          <c:tx>
            <c:strRef>
              <c:f>Лист1!$A$5</c:f>
              <c:strCache>
                <c:ptCount val="1"/>
                <c:pt idx="0">
                  <c:v>2023</c:v>
                </c:pt>
              </c:strCache>
            </c:strRef>
          </c:tx>
          <c:spPr>
            <a:prstGeom prst="rect">
              <a:avLst/>
            </a:prstGeom>
            <a:solidFill>
              <a:srgbClr val="4F81BD">
                <a:lumMod val="60000"/>
                <a:lumOff val="40000"/>
              </a:srgb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Лист1!$B$3:$F$3</c:f>
              <c:strCache>
                <c:ptCount val="5"/>
                <c:pt idx="0">
                  <c:v>Число НС</c:v>
                </c:pt>
                <c:pt idx="1">
                  <c:v>Число пострадавших</c:v>
                </c:pt>
                <c:pt idx="2">
                  <c:v>Легкие травмы</c:v>
                </c:pt>
                <c:pt idx="3">
                  <c:v>Тяжелые травмы</c:v>
                </c:pt>
                <c:pt idx="4">
                  <c:v>Смертельные травмы</c:v>
                </c:pt>
              </c:strCache>
            </c:strRef>
          </c:cat>
          <c:val>
            <c:numRef>
              <c:f>Лист1!$B$5:$F$5</c:f>
              <c:numCache>
                <c:formatCode>General</c:formatCode>
                <c:ptCount val="5"/>
                <c:pt idx="0">
                  <c:v>3</c:v>
                </c:pt>
                <c:pt idx="1">
                  <c:v>3</c:v>
                </c:pt>
                <c:pt idx="2">
                  <c:v>1</c:v>
                </c:pt>
                <c:pt idx="3">
                  <c:v>1</c:v>
                </c:pt>
                <c:pt idx="4">
                  <c:v>1</c:v>
                </c:pt>
              </c:numCache>
            </c:numRef>
          </c:val>
          <c:extLst>
            <c:ext xmlns:c16="http://schemas.microsoft.com/office/drawing/2014/chart" uri="{C3380CC4-5D6E-409C-BE32-E72D297353CC}">
              <c16:uniqueId val="{00000001-5AF8-4D78-B05C-33602E4BAA05}"/>
            </c:ext>
          </c:extLst>
        </c:ser>
        <c:ser>
          <c:idx val="2"/>
          <c:order val="2"/>
          <c:tx>
            <c:strRef>
              <c:f>Лист1!$A$6</c:f>
              <c:strCache>
                <c:ptCount val="1"/>
                <c:pt idx="0">
                  <c:v>2024</c:v>
                </c:pt>
              </c:strCache>
            </c:strRef>
          </c:tx>
          <c:spPr>
            <a:prstGeom prst="rect">
              <a:avLst/>
            </a:prstGeom>
            <a:solidFill>
              <a:sysClr val="window" lastClr="FFFFFF">
                <a:lumMod val="85000"/>
              </a:sys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Лист1!$B$3:$F$3</c:f>
              <c:strCache>
                <c:ptCount val="5"/>
                <c:pt idx="0">
                  <c:v>Число НС</c:v>
                </c:pt>
                <c:pt idx="1">
                  <c:v>Число пострадавших</c:v>
                </c:pt>
                <c:pt idx="2">
                  <c:v>Легкие травмы</c:v>
                </c:pt>
                <c:pt idx="3">
                  <c:v>Тяжелые травмы</c:v>
                </c:pt>
                <c:pt idx="4">
                  <c:v>Смертельные травмы</c:v>
                </c:pt>
              </c:strCache>
            </c:strRef>
          </c:cat>
          <c:val>
            <c:numRef>
              <c:f>Лист1!$B$6:$F$6</c:f>
              <c:numCache>
                <c:formatCode>General</c:formatCode>
                <c:ptCount val="5"/>
                <c:pt idx="0">
                  <c:v>1</c:v>
                </c:pt>
                <c:pt idx="1">
                  <c:v>1</c:v>
                </c:pt>
                <c:pt idx="2">
                  <c:v>1</c:v>
                </c:pt>
                <c:pt idx="3">
                  <c:v>0</c:v>
                </c:pt>
                <c:pt idx="4">
                  <c:v>0</c:v>
                </c:pt>
              </c:numCache>
            </c:numRef>
          </c:val>
          <c:extLst>
            <c:ext xmlns:c16="http://schemas.microsoft.com/office/drawing/2014/chart" uri="{C3380CC4-5D6E-409C-BE32-E72D297353CC}">
              <c16:uniqueId val="{00000002-5AF8-4D78-B05C-33602E4BAA05}"/>
            </c:ext>
          </c:extLst>
        </c:ser>
        <c:dLbls>
          <c:showLegendKey val="0"/>
          <c:showVal val="0"/>
          <c:showCatName val="0"/>
          <c:showSerName val="0"/>
          <c:showPercent val="0"/>
          <c:showBubbleSize val="0"/>
        </c:dLbls>
        <c:gapWidth val="150"/>
        <c:axId val="327115525"/>
        <c:axId val="327115526"/>
      </c:barChart>
      <c:catAx>
        <c:axId val="327115525"/>
        <c:scaling>
          <c:orientation val="minMax"/>
        </c:scaling>
        <c:delete val="0"/>
        <c:axPos val="b"/>
        <c:numFmt formatCode="General" sourceLinked="0"/>
        <c:majorTickMark val="out"/>
        <c:minorTickMark val="none"/>
        <c:tickLblPos val="nextTo"/>
        <c:txPr>
          <a:bodyPr/>
          <a:lstStyle/>
          <a:p>
            <a:pPr>
              <a:defRPr>
                <a:solidFill>
                  <a:schemeClr val="tx2">
                    <a:lumMod val="50000"/>
                  </a:schemeClr>
                </a:solidFill>
                <a:latin typeface="Times New Roman"/>
                <a:cs typeface="Times New Roman"/>
              </a:defRPr>
            </a:pPr>
            <a:endParaRPr lang="ru-RU"/>
          </a:p>
        </c:txPr>
        <c:crossAx val="327115526"/>
        <c:crosses val="autoZero"/>
        <c:auto val="1"/>
        <c:lblAlgn val="ctr"/>
        <c:lblOffset val="100"/>
        <c:noMultiLvlLbl val="0"/>
      </c:catAx>
      <c:valAx>
        <c:axId val="327115526"/>
        <c:scaling>
          <c:orientation val="minMax"/>
          <c:max val="5"/>
        </c:scaling>
        <c:delete val="0"/>
        <c:axPos val="l"/>
        <c:majorGridlines/>
        <c:numFmt formatCode="General" sourceLinked="1"/>
        <c:majorTickMark val="out"/>
        <c:minorTickMark val="none"/>
        <c:tickLblPos val="nextTo"/>
        <c:txPr>
          <a:bodyPr/>
          <a:lstStyle/>
          <a:p>
            <a:pPr>
              <a:defRPr>
                <a:solidFill>
                  <a:schemeClr val="tx2">
                    <a:lumMod val="50000"/>
                  </a:schemeClr>
                </a:solidFill>
              </a:defRPr>
            </a:pPr>
            <a:endParaRPr lang="ru-RU"/>
          </a:p>
        </c:txPr>
        <c:crossAx val="327115525"/>
        <c:crosses val="autoZero"/>
        <c:crossBetween val="between"/>
        <c:majorUnit val="1"/>
      </c:valAx>
    </c:plotArea>
    <c:legend>
      <c:legendPos val="r"/>
      <c:overlay val="0"/>
      <c:txPr>
        <a:bodyPr/>
        <a:lstStyle/>
        <a:p>
          <a:pPr>
            <a:defRPr>
              <a:latin typeface="Times New Roman"/>
              <a:cs typeface="Times New Roman"/>
            </a:defRPr>
          </a:pPr>
          <a:endParaRPr lang="ru-RU"/>
        </a:p>
      </c:txPr>
    </c:legend>
    <c:plotVisOnly val="1"/>
    <c:dispBlanksAs val="gap"/>
    <c:showDLblsOverMax val="0"/>
  </c:chart>
  <c:spPr>
    <a:xfrm>
      <a:off x="0" y="0"/>
      <a:ext cx="0" cy="0"/>
    </a:xfrm>
    <a:prstGeom prst="rect">
      <a:avLst/>
    </a:prstGeom>
    <a:ln>
      <a:noFill/>
    </a:ln>
  </c:sp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0"/>
      <c:rotY val="30"/>
      <c:rAngAx val="1"/>
    </c:view3D>
    <c:floor>
      <c:thickness val="0"/>
    </c:floor>
    <c:sideWall>
      <c:thickness val="0"/>
    </c:sideWall>
    <c:backWall>
      <c:thickness val="0"/>
    </c:backWall>
    <c:plotArea>
      <c:layout>
        <c:manualLayout>
          <c:layoutTarget val="inner"/>
          <c:xMode val="edge"/>
          <c:yMode val="edge"/>
          <c:x val="3.0550000000000001E-2"/>
          <c:y val="5.092E-2"/>
          <c:w val="0.76937"/>
          <c:h val="0.83309"/>
        </c:manualLayout>
      </c:layout>
      <c:bar3DChart>
        <c:barDir val="col"/>
        <c:grouping val="clustered"/>
        <c:varyColors val="0"/>
        <c:ser>
          <c:idx val="0"/>
          <c:order val="0"/>
          <c:tx>
            <c:strRef>
              <c:f>Лист1!$B$3</c:f>
              <c:strCache>
                <c:ptCount val="1"/>
                <c:pt idx="0">
                  <c:v>Плата за выбросы</c:v>
                </c:pt>
              </c:strCache>
            </c:strRef>
          </c:tx>
          <c:invertIfNegative val="0"/>
          <c:dLbls>
            <c:dLbl>
              <c:idx val="0"/>
              <c:layout>
                <c:manualLayout>
                  <c:x val="-6.3200000000000001E-3"/>
                  <c:y val="-4.6289999999999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051-4BA6-B9BD-381998E65894}"/>
                </c:ext>
              </c:extLst>
            </c:dLbl>
            <c:dLbl>
              <c:idx val="1"/>
              <c:layout>
                <c:manualLayout>
                  <c:x val="2.3199999999999998E-2"/>
                  <c:y val="-7.87000000000000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051-4BA6-B9BD-381998E65894}"/>
                </c:ext>
              </c:extLst>
            </c:dLbl>
            <c:dLbl>
              <c:idx val="2"/>
              <c:layout>
                <c:manualLayout>
                  <c:x val="2.0070000000000001E-2"/>
                  <c:y val="-7.87000000000000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051-4BA6-B9BD-381998E65894}"/>
                </c:ext>
              </c:extLst>
            </c:dLbl>
            <c:spPr>
              <a:noFill/>
              <a:ln>
                <a:noFill/>
                <a:bevel/>
              </a:ln>
              <a:effectLst/>
            </c:sp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Лист1!$C$2:$E$2</c:f>
              <c:numCache>
                <c:formatCode>General</c:formatCode>
                <c:ptCount val="3"/>
                <c:pt idx="0">
                  <c:v>2022</c:v>
                </c:pt>
                <c:pt idx="1">
                  <c:v>2023</c:v>
                </c:pt>
                <c:pt idx="2">
                  <c:v>2024</c:v>
                </c:pt>
              </c:numCache>
            </c:numRef>
          </c:cat>
          <c:val>
            <c:numRef>
              <c:f>Лист1!$C$3:$E$3</c:f>
              <c:numCache>
                <c:formatCode>General</c:formatCode>
                <c:ptCount val="3"/>
                <c:pt idx="0">
                  <c:v>4.62</c:v>
                </c:pt>
                <c:pt idx="1">
                  <c:v>4.57</c:v>
                </c:pt>
                <c:pt idx="2">
                  <c:v>24.29</c:v>
                </c:pt>
              </c:numCache>
            </c:numRef>
          </c:val>
          <c:extLst>
            <c:ext xmlns:c16="http://schemas.microsoft.com/office/drawing/2014/chart" uri="{C3380CC4-5D6E-409C-BE32-E72D297353CC}">
              <c16:uniqueId val="{00000003-3051-4BA6-B9BD-381998E65894}"/>
            </c:ext>
          </c:extLst>
        </c:ser>
        <c:ser>
          <c:idx val="1"/>
          <c:order val="1"/>
          <c:tx>
            <c:strRef>
              <c:f>Лист1!$B$4</c:f>
              <c:strCache>
                <c:ptCount val="1"/>
                <c:pt idx="0">
                  <c:v>Плата за сбросы</c:v>
                </c:pt>
              </c:strCache>
            </c:strRef>
          </c:tx>
          <c:invertIfNegative val="0"/>
          <c:cat>
            <c:numRef>
              <c:f>Лист1!$C$2:$E$2</c:f>
              <c:numCache>
                <c:formatCode>General</c:formatCode>
                <c:ptCount val="3"/>
                <c:pt idx="0">
                  <c:v>2022</c:v>
                </c:pt>
                <c:pt idx="1">
                  <c:v>2023</c:v>
                </c:pt>
                <c:pt idx="2">
                  <c:v>2024</c:v>
                </c:pt>
              </c:numCache>
            </c:numRef>
          </c:cat>
          <c:val>
            <c:numRef>
              <c:f>Лист1!$C$4:$E$4</c:f>
              <c:numCache>
                <c:formatCode>0.00</c:formatCode>
                <c:ptCount val="3"/>
                <c:pt idx="0">
                  <c:v>0</c:v>
                </c:pt>
                <c:pt idx="1">
                  <c:v>0</c:v>
                </c:pt>
                <c:pt idx="2">
                  <c:v>0</c:v>
                </c:pt>
              </c:numCache>
            </c:numRef>
          </c:val>
          <c:extLst>
            <c:ext xmlns:c16="http://schemas.microsoft.com/office/drawing/2014/chart" uri="{C3380CC4-5D6E-409C-BE32-E72D297353CC}">
              <c16:uniqueId val="{00000004-3051-4BA6-B9BD-381998E65894}"/>
            </c:ext>
          </c:extLst>
        </c:ser>
        <c:ser>
          <c:idx val="2"/>
          <c:order val="2"/>
          <c:tx>
            <c:strRef>
              <c:f>Лист1!$B$5</c:f>
              <c:strCache>
                <c:ptCount val="1"/>
                <c:pt idx="0">
                  <c:v>Плата за отходы</c:v>
                </c:pt>
              </c:strCache>
            </c:strRef>
          </c:tx>
          <c:invertIfNegative val="0"/>
          <c:dLbls>
            <c:dLbl>
              <c:idx val="0"/>
              <c:layout>
                <c:manualLayout>
                  <c:x val="2.598E-2"/>
                  <c:y val="-3.2399999999999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051-4BA6-B9BD-381998E65894}"/>
                </c:ext>
              </c:extLst>
            </c:dLbl>
            <c:dLbl>
              <c:idx val="1"/>
              <c:layout>
                <c:manualLayout>
                  <c:x val="1.9550000000000001E-2"/>
                  <c:y val="-5.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51-4BA6-B9BD-381998E65894}"/>
                </c:ext>
              </c:extLst>
            </c:dLbl>
            <c:dLbl>
              <c:idx val="2"/>
              <c:layout>
                <c:manualLayout>
                  <c:x val="2.7109999999999999E-2"/>
                  <c:y val="-5.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051-4BA6-B9BD-381998E6589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Лист1!$C$2:$E$2</c:f>
              <c:numCache>
                <c:formatCode>General</c:formatCode>
                <c:ptCount val="3"/>
                <c:pt idx="0">
                  <c:v>2022</c:v>
                </c:pt>
                <c:pt idx="1">
                  <c:v>2023</c:v>
                </c:pt>
                <c:pt idx="2">
                  <c:v>2024</c:v>
                </c:pt>
              </c:numCache>
            </c:numRef>
          </c:cat>
          <c:val>
            <c:numRef>
              <c:f>Лист1!$C$5:$E$5</c:f>
              <c:numCache>
                <c:formatCode>General</c:formatCode>
                <c:ptCount val="3"/>
                <c:pt idx="0">
                  <c:v>456.83</c:v>
                </c:pt>
                <c:pt idx="1">
                  <c:v>348.13</c:v>
                </c:pt>
                <c:pt idx="2">
                  <c:v>338.22</c:v>
                </c:pt>
              </c:numCache>
            </c:numRef>
          </c:val>
          <c:extLst>
            <c:ext xmlns:c16="http://schemas.microsoft.com/office/drawing/2014/chart" uri="{C3380CC4-5D6E-409C-BE32-E72D297353CC}">
              <c16:uniqueId val="{00000008-3051-4BA6-B9BD-381998E65894}"/>
            </c:ext>
          </c:extLst>
        </c:ser>
        <c:dLbls>
          <c:showLegendKey val="0"/>
          <c:showVal val="0"/>
          <c:showCatName val="0"/>
          <c:showSerName val="0"/>
          <c:showPercent val="0"/>
          <c:showBubbleSize val="0"/>
        </c:dLbls>
        <c:gapWidth val="150"/>
        <c:shape val="box"/>
        <c:axId val="326446464"/>
        <c:axId val="326452352"/>
        <c:axId val="0"/>
      </c:bar3DChart>
      <c:catAx>
        <c:axId val="326446464"/>
        <c:scaling>
          <c:orientation val="minMax"/>
        </c:scaling>
        <c:delete val="0"/>
        <c:axPos val="b"/>
        <c:numFmt formatCode="General" sourceLinked="1"/>
        <c:majorTickMark val="out"/>
        <c:minorTickMark val="none"/>
        <c:tickLblPos val="nextTo"/>
        <c:crossAx val="326452352"/>
        <c:crosses val="autoZero"/>
        <c:auto val="1"/>
        <c:lblAlgn val="ctr"/>
        <c:lblOffset val="100"/>
        <c:noMultiLvlLbl val="0"/>
      </c:catAx>
      <c:valAx>
        <c:axId val="326452352"/>
        <c:scaling>
          <c:orientation val="minMax"/>
          <c:min val="0"/>
        </c:scaling>
        <c:delete val="1"/>
        <c:axPos val="l"/>
        <c:numFmt formatCode="General" sourceLinked="1"/>
        <c:majorTickMark val="out"/>
        <c:minorTickMark val="none"/>
        <c:tickLblPos val="none"/>
        <c:crossAx val="326446464"/>
        <c:crosses val="autoZero"/>
        <c:crossBetween val="between"/>
      </c:valAx>
    </c:plotArea>
    <c:legend>
      <c:legendPos val="r"/>
      <c:layout>
        <c:manualLayout>
          <c:xMode val="edge"/>
          <c:yMode val="edge"/>
          <c:x val="0.75270999999999999"/>
          <c:y val="0.37441999999999998"/>
          <c:w val="0.19722999999999999"/>
          <c:h val="0.25114999999999998"/>
        </c:manualLayout>
      </c:layout>
      <c:overlay val="0"/>
      <c:spPr>
        <a:effectLst/>
      </c:spPr>
    </c:legend>
    <c:plotVisOnly val="1"/>
    <c:dispBlanksAs val="gap"/>
    <c:showDLblsOverMax val="0"/>
  </c:chart>
  <c:spPr>
    <a:effectLst>
      <a:glow rad="63500">
        <a:srgbClr val="4F81BD">
          <a:satMod val="175000"/>
          <a:alpha val="40000"/>
        </a:srgbClr>
      </a:glow>
      <a:outerShdw blurRad="50800" dist="38100" dir="2700000" algn="tl" rotWithShape="0">
        <a:prstClr val="black">
          <a:alpha val="40000"/>
        </a:prstClr>
      </a:outerShdw>
    </a:effectLst>
  </c:sp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a:pPr>
            <a:r>
              <a:rPr lang="ru-RU"/>
              <a:t>Кворум на Общих собраниях акционеров</a:t>
            </a:r>
            <a:endParaRPr/>
          </a:p>
        </c:rich>
      </c:tx>
      <c:overlay val="0"/>
      <c:spPr>
        <a:prstGeom prst="rect">
          <a:avLst/>
        </a:prstGeom>
        <a:noFill/>
        <a:ln>
          <a:noFill/>
        </a:ln>
        <a:effectLst/>
      </c:spPr>
    </c:title>
    <c:autoTitleDeleted val="0"/>
    <c:plotArea>
      <c:layout/>
      <c:lineChart>
        <c:grouping val="stacked"/>
        <c:varyColors val="0"/>
        <c:ser>
          <c:idx val="0"/>
          <c:order val="0"/>
          <c:spPr>
            <a:prstGeom prst="rect">
              <a:avLst/>
            </a:prstGeom>
            <a:ln w="28575" cap="rnd">
              <a:solidFill>
                <a:schemeClr val="accent1"/>
              </a:solidFill>
              <a:round/>
            </a:ln>
            <a:effectLst/>
          </c:spPr>
          <c:marker>
            <c:symbol val="circle"/>
            <c:size val="5"/>
            <c:spPr>
              <a:prstGeom prst="rect">
                <a:avLst/>
              </a:prstGeom>
              <a:solidFill>
                <a:schemeClr val="accent1"/>
              </a:solidFill>
              <a:ln w="9525">
                <a:solidFill>
                  <a:schemeClr val="accent1"/>
                </a:solidFill>
              </a:ln>
            </c:spPr>
          </c:marker>
          <c:dLbls>
            <c:spPr>
              <a:noFill/>
              <a:ln>
                <a:noFill/>
              </a:ln>
            </c:spPr>
            <c:txPr>
              <a:bodyPr/>
              <a:lstStyle/>
              <a:p>
                <a:pPr>
                  <a:defRPr sz="900">
                    <a:solidFill>
                      <a:schemeClr val="tx1">
                        <a:lumMod val="75000"/>
                        <a:lumOff val="25000"/>
                      </a:schemeClr>
                    </a:solidFill>
                    <a:latin typeface="+mn-lt"/>
                    <a:ea typeface="+mn-ea"/>
                    <a:cs typeface="+mn-cs"/>
                  </a:defRPr>
                </a:pPr>
                <a:endParaRPr lang="ru-RU"/>
              </a:p>
            </c:txPr>
            <c:dLblPos val="r"/>
            <c:showLegendKey val="0"/>
            <c:showVal val="1"/>
            <c:showCatName val="0"/>
            <c:showSerName val="0"/>
            <c:showPercent val="0"/>
            <c:showBubbleSize val="0"/>
            <c:separator> </c:separator>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Лист1!$A$17:$A$22</c:f>
              <c:strCache>
                <c:ptCount val="6"/>
                <c:pt idx="0">
                  <c:v>29.05.2020</c:v>
                </c:pt>
                <c:pt idx="1">
                  <c:v>03.06.2021</c:v>
                </c:pt>
                <c:pt idx="2">
                  <c:v>30.12.2021</c:v>
                </c:pt>
                <c:pt idx="3">
                  <c:v>17.06.2022</c:v>
                </c:pt>
                <c:pt idx="4">
                  <c:v>09.06.2023</c:v>
                </c:pt>
                <c:pt idx="5">
                  <c:v>18.06.2024</c:v>
                </c:pt>
              </c:strCache>
            </c:strRef>
          </c:cat>
          <c:val>
            <c:numRef>
              <c:f>Лист1!$B$17:$B$22</c:f>
              <c:numCache>
                <c:formatCode>General</c:formatCode>
                <c:ptCount val="6"/>
                <c:pt idx="0">
                  <c:v>96.42</c:v>
                </c:pt>
                <c:pt idx="1">
                  <c:v>96.43</c:v>
                </c:pt>
                <c:pt idx="2">
                  <c:v>96.62</c:v>
                </c:pt>
                <c:pt idx="3">
                  <c:v>96</c:v>
                </c:pt>
                <c:pt idx="4">
                  <c:v>76.83</c:v>
                </c:pt>
                <c:pt idx="5">
                  <c:v>77.47</c:v>
                </c:pt>
              </c:numCache>
            </c:numRef>
          </c:val>
          <c:smooth val="0"/>
          <c:extLst>
            <c:ext xmlns:c16="http://schemas.microsoft.com/office/drawing/2014/chart" uri="{C3380CC4-5D6E-409C-BE32-E72D297353CC}">
              <c16:uniqueId val="{00000000-EDE5-4851-BCC4-26E866FDCA82}"/>
            </c:ext>
          </c:extLst>
        </c:ser>
        <c:dLbls>
          <c:dLblPos val="r"/>
          <c:showLegendKey val="0"/>
          <c:showVal val="1"/>
          <c:showCatName val="0"/>
          <c:showSerName val="0"/>
          <c:showPercent val="0"/>
          <c:showBubbleSize val="0"/>
          <c:separator> </c:separator>
        </c:dLbls>
        <c:marker val="1"/>
        <c:smooth val="0"/>
        <c:axId val="318044032"/>
        <c:axId val="326423296"/>
      </c:lineChart>
      <c:dateAx>
        <c:axId val="318044032"/>
        <c:scaling>
          <c:orientation val="minMax"/>
        </c:scaling>
        <c:delete val="0"/>
        <c:axPos val="b"/>
        <c:numFmt formatCode="m/d/yyyy" sourceLinked="0"/>
        <c:majorTickMark val="none"/>
        <c:minorTickMark val="none"/>
        <c:tickLblPos val="low"/>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a:solidFill>
                  <a:schemeClr val="tx1">
                    <a:lumMod val="65000"/>
                    <a:lumOff val="35000"/>
                  </a:schemeClr>
                </a:solidFill>
                <a:latin typeface="Arial"/>
                <a:ea typeface="Arial"/>
                <a:cs typeface="Arial"/>
              </a:defRPr>
            </a:pPr>
            <a:endParaRPr lang="ru-RU"/>
          </a:p>
        </c:txPr>
        <c:crossAx val="326423296"/>
        <c:crossesAt val="0"/>
        <c:auto val="0"/>
        <c:lblOffset val="100"/>
        <c:baseTimeUnit val="days"/>
      </c:dateAx>
      <c:valAx>
        <c:axId val="326423296"/>
        <c:scaling>
          <c:orientation val="minMax"/>
          <c:max val="100"/>
          <c:min val="75"/>
        </c:scaling>
        <c:delete val="0"/>
        <c:axPos val="l"/>
        <c:majorGridlines>
          <c:spPr>
            <a:prstGeom prst="rect">
              <a:avLst/>
            </a:prstGeom>
            <a:ln w="9525" cap="flat" cmpd="sng" algn="ctr">
              <a:solidFill>
                <a:schemeClr val="tx1">
                  <a:lumMod val="15000"/>
                  <a:lumOff val="85000"/>
                </a:schemeClr>
              </a:solidFill>
              <a:round/>
            </a:ln>
          </c:spPr>
        </c:majorGridlines>
        <c:numFmt formatCode="General"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a:solidFill>
                  <a:schemeClr val="tx1">
                    <a:lumMod val="65000"/>
                    <a:lumOff val="35000"/>
                  </a:schemeClr>
                </a:solidFill>
                <a:latin typeface="Arial"/>
                <a:ea typeface="Arial"/>
                <a:cs typeface="Arial"/>
              </a:defRPr>
            </a:pPr>
            <a:endParaRPr lang="ru-RU"/>
          </a:p>
        </c:txPr>
        <c:crossAx val="318044032"/>
        <c:crossesAt val="1"/>
        <c:crossBetween val="midCat"/>
        <c:majorUnit val="5"/>
      </c:valAx>
      <c:spPr>
        <a:prstGeom prst="rect">
          <a:avLst/>
        </a:prstGeom>
        <a:noFill/>
        <a:ln>
          <a:noFill/>
        </a:ln>
        <a:effectLst/>
      </c:spPr>
    </c:plotArea>
    <c:plotVisOnly val="1"/>
    <c:dispBlanksAs val="zero"/>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sz="1000">
          <a:solidFill>
            <a:schemeClr val="tx1"/>
          </a:solidFill>
          <a:latin typeface="+mn-lt"/>
          <a:ea typeface="+mn-ea"/>
          <a:cs typeface="+mn-cs"/>
        </a:defRPr>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prstGeom prst="rect">
                <a:avLst/>
              </a:prstGeom>
              <a:solidFill>
                <a:srgbClr val="002060"/>
              </a:solidFill>
              <a:ln w="19050">
                <a:solidFill>
                  <a:schemeClr val="lt1"/>
                </a:solidFill>
              </a:ln>
              <a:effectLst/>
            </c:spPr>
            <c:extLst>
              <c:ext xmlns:c16="http://schemas.microsoft.com/office/drawing/2014/chart" uri="{C3380CC4-5D6E-409C-BE32-E72D297353CC}">
                <c16:uniqueId val="{00000001-4DE4-4F28-B33D-DA6A629EAA8B}"/>
              </c:ext>
            </c:extLst>
          </c:dPt>
          <c:dPt>
            <c:idx val="1"/>
            <c:bubble3D val="0"/>
            <c:spPr>
              <a:prstGeom prst="rect">
                <a:avLst/>
              </a:prstGeom>
              <a:solidFill>
                <a:schemeClr val="bg1">
                  <a:lumMod val="65000"/>
                </a:schemeClr>
              </a:solidFill>
              <a:ln w="19050">
                <a:solidFill>
                  <a:schemeClr val="lt1"/>
                </a:solidFill>
              </a:ln>
              <a:effectLst/>
            </c:spPr>
            <c:extLst>
              <c:ext xmlns:c16="http://schemas.microsoft.com/office/drawing/2014/chart" uri="{C3380CC4-5D6E-409C-BE32-E72D297353CC}">
                <c16:uniqueId val="{00000003-4DE4-4F28-B33D-DA6A629EAA8B}"/>
              </c:ext>
            </c:extLst>
          </c:dPt>
          <c:dPt>
            <c:idx val="2"/>
            <c:bubble3D val="0"/>
            <c:spPr>
              <a:prstGeom prst="rect">
                <a:avLst/>
              </a:prstGeom>
              <a:solidFill>
                <a:srgbClr val="002060"/>
              </a:solidFill>
              <a:ln w="19050">
                <a:solidFill>
                  <a:schemeClr val="lt1"/>
                </a:solidFill>
              </a:ln>
              <a:effectLst/>
            </c:spPr>
            <c:extLst>
              <c:ext xmlns:c16="http://schemas.microsoft.com/office/drawing/2014/chart" uri="{C3380CC4-5D6E-409C-BE32-E72D297353CC}">
                <c16:uniqueId val="{00000005-4DE4-4F28-B33D-DA6A629EAA8B}"/>
              </c:ext>
            </c:extLst>
          </c:dPt>
          <c:dPt>
            <c:idx val="3"/>
            <c:bubble3D val="0"/>
            <c:spPr>
              <a:prstGeom prst="rect">
                <a:avLst/>
              </a:prstGeom>
              <a:solidFill>
                <a:schemeClr val="bg1">
                  <a:lumMod val="65000"/>
                </a:schemeClr>
              </a:solidFill>
              <a:ln w="19050">
                <a:solidFill>
                  <a:schemeClr val="lt1"/>
                </a:solidFill>
              </a:ln>
              <a:effectLst/>
            </c:spPr>
            <c:extLst>
              <c:ext xmlns:c16="http://schemas.microsoft.com/office/drawing/2014/chart" uri="{C3380CC4-5D6E-409C-BE32-E72D297353CC}">
                <c16:uniqueId val="{00000007-4DE4-4F28-B33D-DA6A629EAA8B}"/>
              </c:ext>
            </c:extLst>
          </c:dPt>
          <c:dLbls>
            <c:dLbl>
              <c:idx val="0"/>
              <c:layout>
                <c:manualLayout>
                  <c:x val="-0.20694000000000001"/>
                  <c:y val="-2.777E-2"/>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DE4-4F28-B33D-DA6A629EAA8B}"/>
                </c:ext>
              </c:extLst>
            </c:dLbl>
            <c:dLbl>
              <c:idx val="1"/>
              <c:layout>
                <c:manualLayout>
                  <c:x val="0.15264"/>
                  <c:y val="-0.30554999999999999"/>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DE4-4F28-B33D-DA6A629EAA8B}"/>
                </c:ext>
              </c:extLst>
            </c:dLbl>
            <c:dLbl>
              <c:idx val="2"/>
              <c:layout>
                <c:manualLayout>
                  <c:x val="0.27083000000000002"/>
                  <c:y val="4.6289999999999998E-2"/>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4DE4-4F28-B33D-DA6A629EAA8B}"/>
                </c:ext>
              </c:extLst>
            </c:dLbl>
            <c:dLbl>
              <c:idx val="3"/>
              <c:layout>
                <c:manualLayout>
                  <c:x val="-0.23610999999999999"/>
                  <c:y val="8.3330000000000001E-2"/>
                </c:manualLayout>
              </c:layou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4DE4-4F28-B33D-DA6A629EAA8B}"/>
                </c:ext>
              </c:extLst>
            </c:dLbl>
            <c:spPr>
              <a:noFill/>
              <a:ln>
                <a:noFill/>
              </a:ln>
              <a:effectLst/>
            </c:spPr>
            <c:txPr>
              <a:bodyPr rot="0" spcFirstLastPara="1" vertOverflow="ellipsis" vert="horz" wrap="square" anchor="ctr" anchorCtr="1"/>
              <a:lstStyle/>
              <a:p>
                <a:pPr>
                  <a:defRPr sz="900" b="0" i="0" u="none" strike="noStrike">
                    <a:solidFill>
                      <a:schemeClr val="tx1">
                        <a:lumMod val="75000"/>
                        <a:lumOff val="25000"/>
                      </a:schemeClr>
                    </a:solidFill>
                    <a:latin typeface="Times New Roman"/>
                    <a:ea typeface="+mn-ea"/>
                    <a:cs typeface="Times New Roman"/>
                  </a:defRPr>
                </a:pPr>
                <a:endParaRPr lang="ru-RU"/>
              </a:p>
            </c:txPr>
            <c:showLegendKey val="0"/>
            <c:showVal val="1"/>
            <c:showCatName val="1"/>
            <c:showSerName val="0"/>
            <c:showPercent val="0"/>
            <c:showBubbleSize val="0"/>
            <c:showLeaderLines val="1"/>
            <c:leaderLines>
              <c:spPr>
                <a:prstGeom prst="rect">
                  <a:avLst/>
                </a:prstGeom>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Лист1!$A$3:$A$6</c:f>
              <c:strCache>
                <c:ptCount val="4"/>
                <c:pt idx="0">
                  <c:v>ПАО «Россети»</c:v>
                </c:pt>
                <c:pt idx="1">
                  <c:v>Эрглис Лимитед</c:v>
                </c:pt>
                <c:pt idx="2">
                  <c:v>AIM Capital SE</c:v>
                </c:pt>
                <c:pt idx="3">
                  <c:v>Прочие акционеры</c:v>
                </c:pt>
              </c:strCache>
            </c:strRef>
          </c:cat>
          <c:val>
            <c:numRef>
              <c:f>Лист1!$C$3:$C$6</c:f>
              <c:numCache>
                <c:formatCode>0.00%</c:formatCode>
                <c:ptCount val="4"/>
                <c:pt idx="0">
                  <c:v>0.57897509972994354</c:v>
                </c:pt>
                <c:pt idx="1">
                  <c:v>0.20684029704283349</c:v>
                </c:pt>
                <c:pt idx="2">
                  <c:v>0.18234391117159041</c:v>
                </c:pt>
                <c:pt idx="3">
                  <c:v>3.1840692055632488E-2</c:v>
                </c:pt>
              </c:numCache>
            </c:numRef>
          </c:val>
          <c:extLst>
            <c:ext xmlns:c16="http://schemas.microsoft.com/office/drawing/2014/chart" uri="{C3380CC4-5D6E-409C-BE32-E72D297353CC}">
              <c16:uniqueId val="{00000008-4DE4-4F28-B33D-DA6A629EAA8B}"/>
            </c:ext>
          </c:extLst>
        </c:ser>
        <c:dLbls>
          <c:showLegendKey val="0"/>
          <c:showVal val="0"/>
          <c:showCatName val="0"/>
          <c:showSerName val="0"/>
          <c:showPercent val="0"/>
          <c:showBubbleSize val="0"/>
          <c:showLeaderLines val="1"/>
        </c:dLbls>
        <c:firstSliceAng val="210"/>
        <c:holeSize val="75"/>
      </c:doughnutChart>
      <c:spPr>
        <a:prstGeom prst="rect">
          <a:avLst/>
        </a:prstGeom>
        <a:noFill/>
        <a:ln>
          <a:noFill/>
        </a:ln>
        <a:effectLst/>
      </c:spPr>
    </c:plotArea>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sz="900">
          <a:latin typeface="Times New Roman"/>
          <a:cs typeface="Times New Roman"/>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267999999999999"/>
          <c:y val="6.2609999999999999E-2"/>
          <c:w val="0.87851000000000001"/>
          <c:h val="0.65981000000000001"/>
        </c:manualLayout>
      </c:layout>
      <c:lineChart>
        <c:grouping val="standard"/>
        <c:varyColors val="0"/>
        <c:ser>
          <c:idx val="0"/>
          <c:order val="0"/>
          <c:tx>
            <c:strRef>
              <c:f>Лист4!$I$1</c:f>
              <c:strCache>
                <c:ptCount val="1"/>
                <c:pt idx="0">
                  <c:v>Россети Сибирь (-17,6%)</c:v>
                </c:pt>
              </c:strCache>
            </c:strRef>
          </c:tx>
          <c:spPr>
            <a:prstGeom prst="rect">
              <a:avLst/>
            </a:prstGeom>
            <a:ln w="28575" cap="rnd">
              <a:solidFill>
                <a:schemeClr val="accent1"/>
              </a:solidFill>
              <a:round/>
            </a:ln>
          </c:spPr>
          <c:marker>
            <c:symbol val="none"/>
          </c:marker>
          <c:cat>
            <c:strRef>
              <c:f>Лист4!$H$2:$H$258</c:f>
              <c:strCache>
                <c:ptCount val="257"/>
                <c:pt idx="0">
                  <c:v>29.12.2023</c:v>
                </c:pt>
                <c:pt idx="1">
                  <c:v>03.01.2024</c:v>
                </c:pt>
                <c:pt idx="2">
                  <c:v>04.01.2024</c:v>
                </c:pt>
                <c:pt idx="3">
                  <c:v>05.01.2024</c:v>
                </c:pt>
                <c:pt idx="4">
                  <c:v>08.01.2024</c:v>
                </c:pt>
                <c:pt idx="5">
                  <c:v>09.01.2024</c:v>
                </c:pt>
                <c:pt idx="6">
                  <c:v>10.01.2024</c:v>
                </c:pt>
                <c:pt idx="7">
                  <c:v>11.01.2024</c:v>
                </c:pt>
                <c:pt idx="8">
                  <c:v>12.01.2024</c:v>
                </c:pt>
                <c:pt idx="9">
                  <c:v>15.01.2024</c:v>
                </c:pt>
                <c:pt idx="10">
                  <c:v>16.01.2024</c:v>
                </c:pt>
                <c:pt idx="11">
                  <c:v>17.01.2024</c:v>
                </c:pt>
                <c:pt idx="12">
                  <c:v>18.01.2024</c:v>
                </c:pt>
                <c:pt idx="13">
                  <c:v>19.01.2024</c:v>
                </c:pt>
                <c:pt idx="14">
                  <c:v>22.01.2024</c:v>
                </c:pt>
                <c:pt idx="15">
                  <c:v>23.01.2024</c:v>
                </c:pt>
                <c:pt idx="16">
                  <c:v>24.01.2024</c:v>
                </c:pt>
                <c:pt idx="17">
                  <c:v>25.01.2024</c:v>
                </c:pt>
                <c:pt idx="18">
                  <c:v>26.01.2024</c:v>
                </c:pt>
                <c:pt idx="19">
                  <c:v>29.01.2024</c:v>
                </c:pt>
                <c:pt idx="20">
                  <c:v>30.01.2024</c:v>
                </c:pt>
                <c:pt idx="21">
                  <c:v>31.01.2024</c:v>
                </c:pt>
                <c:pt idx="22">
                  <c:v>01.02.2024</c:v>
                </c:pt>
                <c:pt idx="23">
                  <c:v>02.02.2024</c:v>
                </c:pt>
                <c:pt idx="24">
                  <c:v>05.02.2024</c:v>
                </c:pt>
                <c:pt idx="25">
                  <c:v>06.02.2024</c:v>
                </c:pt>
                <c:pt idx="26">
                  <c:v>07.02.2024</c:v>
                </c:pt>
                <c:pt idx="27">
                  <c:v>08.02.2024</c:v>
                </c:pt>
                <c:pt idx="28">
                  <c:v>09.02.2024</c:v>
                </c:pt>
                <c:pt idx="29">
                  <c:v>12.02.2024</c:v>
                </c:pt>
                <c:pt idx="30">
                  <c:v>13.02.2024</c:v>
                </c:pt>
                <c:pt idx="31">
                  <c:v>14.02.2024</c:v>
                </c:pt>
                <c:pt idx="32">
                  <c:v>15.02.2024</c:v>
                </c:pt>
                <c:pt idx="33">
                  <c:v>16.02.2024</c:v>
                </c:pt>
                <c:pt idx="34">
                  <c:v>19.02.2024</c:v>
                </c:pt>
                <c:pt idx="35">
                  <c:v>20.02.2024</c:v>
                </c:pt>
                <c:pt idx="36">
                  <c:v>21.02.2024</c:v>
                </c:pt>
                <c:pt idx="37">
                  <c:v>22.02.2024</c:v>
                </c:pt>
                <c:pt idx="38">
                  <c:v>26.02.2024</c:v>
                </c:pt>
                <c:pt idx="39">
                  <c:v>27.02.2024</c:v>
                </c:pt>
                <c:pt idx="40">
                  <c:v>28.02.2024</c:v>
                </c:pt>
                <c:pt idx="41">
                  <c:v>29.02.2024</c:v>
                </c:pt>
                <c:pt idx="42">
                  <c:v>01.03.2024</c:v>
                </c:pt>
                <c:pt idx="43">
                  <c:v>04.03.2024</c:v>
                </c:pt>
                <c:pt idx="44">
                  <c:v>05.03.2024</c:v>
                </c:pt>
                <c:pt idx="45">
                  <c:v>06.03.2024</c:v>
                </c:pt>
                <c:pt idx="46">
                  <c:v>07.03.2024</c:v>
                </c:pt>
                <c:pt idx="47">
                  <c:v>11.03.2024</c:v>
                </c:pt>
                <c:pt idx="48">
                  <c:v>12.03.2024</c:v>
                </c:pt>
                <c:pt idx="49">
                  <c:v>13.03.2024</c:v>
                </c:pt>
                <c:pt idx="50">
                  <c:v>14.03.2024</c:v>
                </c:pt>
                <c:pt idx="51">
                  <c:v>15.03.2024</c:v>
                </c:pt>
                <c:pt idx="52">
                  <c:v>18.03.2024</c:v>
                </c:pt>
                <c:pt idx="53">
                  <c:v>19.03.2024</c:v>
                </c:pt>
                <c:pt idx="54">
                  <c:v>20.03.2024</c:v>
                </c:pt>
                <c:pt idx="55">
                  <c:v>21.03.2024</c:v>
                </c:pt>
                <c:pt idx="56">
                  <c:v>22.03.2024</c:v>
                </c:pt>
                <c:pt idx="57">
                  <c:v>25.03.2024</c:v>
                </c:pt>
                <c:pt idx="58">
                  <c:v>26.03.2024</c:v>
                </c:pt>
                <c:pt idx="59">
                  <c:v>27.03.2024</c:v>
                </c:pt>
                <c:pt idx="60">
                  <c:v>28.03.2024</c:v>
                </c:pt>
                <c:pt idx="61">
                  <c:v>29.03.2024</c:v>
                </c:pt>
                <c:pt idx="62">
                  <c:v>01.04.2024</c:v>
                </c:pt>
                <c:pt idx="63">
                  <c:v>02.04.2024</c:v>
                </c:pt>
                <c:pt idx="64">
                  <c:v>03.04.2024</c:v>
                </c:pt>
                <c:pt idx="65">
                  <c:v>04.04.2024</c:v>
                </c:pt>
                <c:pt idx="66">
                  <c:v>05.04.2024</c:v>
                </c:pt>
                <c:pt idx="67">
                  <c:v>08.04.2024</c:v>
                </c:pt>
                <c:pt idx="68">
                  <c:v>09.04.2024</c:v>
                </c:pt>
                <c:pt idx="69">
                  <c:v>10.04.2024</c:v>
                </c:pt>
                <c:pt idx="70">
                  <c:v>11.04.2024</c:v>
                </c:pt>
                <c:pt idx="71">
                  <c:v>12.04.2024</c:v>
                </c:pt>
                <c:pt idx="72">
                  <c:v>15.04.2024</c:v>
                </c:pt>
                <c:pt idx="73">
                  <c:v>16.04.2024</c:v>
                </c:pt>
                <c:pt idx="74">
                  <c:v>17.04.2024</c:v>
                </c:pt>
                <c:pt idx="75">
                  <c:v>18.04.2024</c:v>
                </c:pt>
                <c:pt idx="76">
                  <c:v>19.04.2024</c:v>
                </c:pt>
                <c:pt idx="77">
                  <c:v>22.04.2024</c:v>
                </c:pt>
                <c:pt idx="78">
                  <c:v>23.04.2024</c:v>
                </c:pt>
                <c:pt idx="79">
                  <c:v>24.04.2024</c:v>
                </c:pt>
                <c:pt idx="80">
                  <c:v>25.04.2024</c:v>
                </c:pt>
                <c:pt idx="81">
                  <c:v>26.04.2024</c:v>
                </c:pt>
                <c:pt idx="82">
                  <c:v>27.04.2024</c:v>
                </c:pt>
                <c:pt idx="83">
                  <c:v>29.04.2024</c:v>
                </c:pt>
                <c:pt idx="84">
                  <c:v>30.04.2024</c:v>
                </c:pt>
                <c:pt idx="85">
                  <c:v>02.05.2024</c:v>
                </c:pt>
                <c:pt idx="86">
                  <c:v>03.05.2024</c:v>
                </c:pt>
                <c:pt idx="87">
                  <c:v>06.05.2024</c:v>
                </c:pt>
                <c:pt idx="88">
                  <c:v>07.05.2024</c:v>
                </c:pt>
                <c:pt idx="89">
                  <c:v>08.05.2024</c:v>
                </c:pt>
                <c:pt idx="90">
                  <c:v>10.05.2024</c:v>
                </c:pt>
                <c:pt idx="91">
                  <c:v>13.05.2024</c:v>
                </c:pt>
                <c:pt idx="92">
                  <c:v>14.05.2024</c:v>
                </c:pt>
                <c:pt idx="93">
                  <c:v>15.05.2024</c:v>
                </c:pt>
                <c:pt idx="94">
                  <c:v>16.05.2024</c:v>
                </c:pt>
                <c:pt idx="95">
                  <c:v>17.05.2024</c:v>
                </c:pt>
                <c:pt idx="96">
                  <c:v>20.05.2024</c:v>
                </c:pt>
                <c:pt idx="97">
                  <c:v>21.05.2024</c:v>
                </c:pt>
                <c:pt idx="98">
                  <c:v>22.05.2024</c:v>
                </c:pt>
                <c:pt idx="99">
                  <c:v>23.05.2024</c:v>
                </c:pt>
                <c:pt idx="100">
                  <c:v>24.05.2024</c:v>
                </c:pt>
                <c:pt idx="101">
                  <c:v>27.05.2024</c:v>
                </c:pt>
                <c:pt idx="102">
                  <c:v>28.05.2024</c:v>
                </c:pt>
                <c:pt idx="103">
                  <c:v>29.05.2024</c:v>
                </c:pt>
                <c:pt idx="104">
                  <c:v>30.05.2024</c:v>
                </c:pt>
                <c:pt idx="105">
                  <c:v>31.05.2024</c:v>
                </c:pt>
                <c:pt idx="106">
                  <c:v>03.06.2024</c:v>
                </c:pt>
                <c:pt idx="107">
                  <c:v>04.06.2024</c:v>
                </c:pt>
                <c:pt idx="108">
                  <c:v>05.06.2024</c:v>
                </c:pt>
                <c:pt idx="109">
                  <c:v>06.06.2024</c:v>
                </c:pt>
                <c:pt idx="110">
                  <c:v>07.06.2024</c:v>
                </c:pt>
                <c:pt idx="111">
                  <c:v>10.06.2024</c:v>
                </c:pt>
                <c:pt idx="112">
                  <c:v>11.06.2024</c:v>
                </c:pt>
                <c:pt idx="113">
                  <c:v>13.06.2024</c:v>
                </c:pt>
                <c:pt idx="114">
                  <c:v>14.06.2024</c:v>
                </c:pt>
                <c:pt idx="115">
                  <c:v>17.06.2024</c:v>
                </c:pt>
                <c:pt idx="116">
                  <c:v>18.06.2024</c:v>
                </c:pt>
                <c:pt idx="117">
                  <c:v>19.06.2024</c:v>
                </c:pt>
                <c:pt idx="118">
                  <c:v>20.06.2024</c:v>
                </c:pt>
                <c:pt idx="119">
                  <c:v>21.06.2024</c:v>
                </c:pt>
                <c:pt idx="120">
                  <c:v>24.06.2024</c:v>
                </c:pt>
                <c:pt idx="121">
                  <c:v>25.06.2024</c:v>
                </c:pt>
                <c:pt idx="122">
                  <c:v>26.06.2024</c:v>
                </c:pt>
                <c:pt idx="123">
                  <c:v>27.06.2024</c:v>
                </c:pt>
                <c:pt idx="124">
                  <c:v>28.06.2024</c:v>
                </c:pt>
                <c:pt idx="125">
                  <c:v>01.07.2024</c:v>
                </c:pt>
                <c:pt idx="126">
                  <c:v>02.07.2024</c:v>
                </c:pt>
                <c:pt idx="127">
                  <c:v>03.07.2024</c:v>
                </c:pt>
                <c:pt idx="128">
                  <c:v>04.07.2024</c:v>
                </c:pt>
                <c:pt idx="129">
                  <c:v>05.07.2024</c:v>
                </c:pt>
                <c:pt idx="130">
                  <c:v>08.07.2024</c:v>
                </c:pt>
                <c:pt idx="131">
                  <c:v>09.07.2024</c:v>
                </c:pt>
                <c:pt idx="132">
                  <c:v>10.07.2024</c:v>
                </c:pt>
                <c:pt idx="133">
                  <c:v>11.07.2024</c:v>
                </c:pt>
                <c:pt idx="134">
                  <c:v>12.07.2024</c:v>
                </c:pt>
                <c:pt idx="135">
                  <c:v>15.07.2024</c:v>
                </c:pt>
                <c:pt idx="136">
                  <c:v>16.07.2024</c:v>
                </c:pt>
                <c:pt idx="137">
                  <c:v>17.07.2024</c:v>
                </c:pt>
                <c:pt idx="138">
                  <c:v>18.07.2024</c:v>
                </c:pt>
                <c:pt idx="139">
                  <c:v>19.07.2024</c:v>
                </c:pt>
                <c:pt idx="140">
                  <c:v>22.07.2024</c:v>
                </c:pt>
                <c:pt idx="141">
                  <c:v>23.07.2024</c:v>
                </c:pt>
                <c:pt idx="142">
                  <c:v>24.07.2024</c:v>
                </c:pt>
                <c:pt idx="143">
                  <c:v>25.07.2024</c:v>
                </c:pt>
                <c:pt idx="144">
                  <c:v>26.07.2024</c:v>
                </c:pt>
                <c:pt idx="145">
                  <c:v>29.07.2024</c:v>
                </c:pt>
                <c:pt idx="146">
                  <c:v>30.07.2024</c:v>
                </c:pt>
                <c:pt idx="147">
                  <c:v>31.07.2024</c:v>
                </c:pt>
                <c:pt idx="148">
                  <c:v>01.08.2024</c:v>
                </c:pt>
                <c:pt idx="149">
                  <c:v>02.08.2024</c:v>
                </c:pt>
                <c:pt idx="150">
                  <c:v>05.08.2024</c:v>
                </c:pt>
                <c:pt idx="151">
                  <c:v>06.08.2024</c:v>
                </c:pt>
                <c:pt idx="152">
                  <c:v>07.08.2024</c:v>
                </c:pt>
                <c:pt idx="153">
                  <c:v>08.08.2024</c:v>
                </c:pt>
                <c:pt idx="154">
                  <c:v>09.08.2024</c:v>
                </c:pt>
                <c:pt idx="155">
                  <c:v>12.08.2024</c:v>
                </c:pt>
                <c:pt idx="156">
                  <c:v>13.08.2024</c:v>
                </c:pt>
                <c:pt idx="157">
                  <c:v>14.08.2024</c:v>
                </c:pt>
                <c:pt idx="158">
                  <c:v>15.08.2024</c:v>
                </c:pt>
                <c:pt idx="159">
                  <c:v>16.08.2024</c:v>
                </c:pt>
                <c:pt idx="160">
                  <c:v>19.08.2024</c:v>
                </c:pt>
                <c:pt idx="161">
                  <c:v>20.08.2024</c:v>
                </c:pt>
                <c:pt idx="162">
                  <c:v>21.08.2024</c:v>
                </c:pt>
                <c:pt idx="163">
                  <c:v>22.08.2024</c:v>
                </c:pt>
                <c:pt idx="164">
                  <c:v>23.08.2024</c:v>
                </c:pt>
                <c:pt idx="165">
                  <c:v>26.08.2024</c:v>
                </c:pt>
                <c:pt idx="166">
                  <c:v>27.08.2024</c:v>
                </c:pt>
                <c:pt idx="167">
                  <c:v>28.08.2024</c:v>
                </c:pt>
                <c:pt idx="168">
                  <c:v>29.08.2024</c:v>
                </c:pt>
                <c:pt idx="169">
                  <c:v>30.08.2024</c:v>
                </c:pt>
                <c:pt idx="170">
                  <c:v>02.09.2024</c:v>
                </c:pt>
                <c:pt idx="171">
                  <c:v>03.09.2024</c:v>
                </c:pt>
                <c:pt idx="172">
                  <c:v>04.09.2024</c:v>
                </c:pt>
                <c:pt idx="173">
                  <c:v>05.09.2024</c:v>
                </c:pt>
                <c:pt idx="174">
                  <c:v>06.09.2024</c:v>
                </c:pt>
                <c:pt idx="175">
                  <c:v>09.09.2024</c:v>
                </c:pt>
                <c:pt idx="176">
                  <c:v>10.09.2024</c:v>
                </c:pt>
                <c:pt idx="177">
                  <c:v>11.09.2024</c:v>
                </c:pt>
                <c:pt idx="178">
                  <c:v>12.09.2024</c:v>
                </c:pt>
                <c:pt idx="179">
                  <c:v>13.09.2024</c:v>
                </c:pt>
                <c:pt idx="180">
                  <c:v>16.09.2024</c:v>
                </c:pt>
                <c:pt idx="181">
                  <c:v>17.09.2024</c:v>
                </c:pt>
                <c:pt idx="182">
                  <c:v>18.09.2024</c:v>
                </c:pt>
                <c:pt idx="183">
                  <c:v>19.09.2024</c:v>
                </c:pt>
                <c:pt idx="184">
                  <c:v>20.09.2024</c:v>
                </c:pt>
                <c:pt idx="185">
                  <c:v>23.09.2024</c:v>
                </c:pt>
                <c:pt idx="186">
                  <c:v>24.09.2024</c:v>
                </c:pt>
                <c:pt idx="187">
                  <c:v>25.09.2024</c:v>
                </c:pt>
                <c:pt idx="188">
                  <c:v>26.09.2024</c:v>
                </c:pt>
                <c:pt idx="189">
                  <c:v>27.09.2024</c:v>
                </c:pt>
                <c:pt idx="190">
                  <c:v>30.09.2024</c:v>
                </c:pt>
                <c:pt idx="191">
                  <c:v>01.10.2024</c:v>
                </c:pt>
                <c:pt idx="192">
                  <c:v>02.10.2024</c:v>
                </c:pt>
                <c:pt idx="193">
                  <c:v>03.10.2024</c:v>
                </c:pt>
                <c:pt idx="194">
                  <c:v>04.10.2024</c:v>
                </c:pt>
                <c:pt idx="195">
                  <c:v>07.10.2024</c:v>
                </c:pt>
                <c:pt idx="196">
                  <c:v>08.10.2024</c:v>
                </c:pt>
                <c:pt idx="197">
                  <c:v>09.10.2024</c:v>
                </c:pt>
                <c:pt idx="198">
                  <c:v>10.10.2024</c:v>
                </c:pt>
                <c:pt idx="199">
                  <c:v>11.10.2024</c:v>
                </c:pt>
                <c:pt idx="200">
                  <c:v>14.10.2024</c:v>
                </c:pt>
                <c:pt idx="201">
                  <c:v>15.10.2024</c:v>
                </c:pt>
                <c:pt idx="202">
                  <c:v>16.10.2024</c:v>
                </c:pt>
                <c:pt idx="203">
                  <c:v>17.10.2024</c:v>
                </c:pt>
                <c:pt idx="204">
                  <c:v>18.10.2024</c:v>
                </c:pt>
                <c:pt idx="205">
                  <c:v>21.10.2024</c:v>
                </c:pt>
                <c:pt idx="206">
                  <c:v>22.10.2024</c:v>
                </c:pt>
                <c:pt idx="207">
                  <c:v>23.10.2024</c:v>
                </c:pt>
                <c:pt idx="208">
                  <c:v>24.10.2024</c:v>
                </c:pt>
                <c:pt idx="209">
                  <c:v>25.10.2024</c:v>
                </c:pt>
                <c:pt idx="210">
                  <c:v>28.10.2024</c:v>
                </c:pt>
                <c:pt idx="211">
                  <c:v>29.10.2024</c:v>
                </c:pt>
                <c:pt idx="212">
                  <c:v>30.10.2024</c:v>
                </c:pt>
                <c:pt idx="213">
                  <c:v>31.10.2024</c:v>
                </c:pt>
                <c:pt idx="214">
                  <c:v>01.11.2024</c:v>
                </c:pt>
                <c:pt idx="215">
                  <c:v>02.11.2024</c:v>
                </c:pt>
                <c:pt idx="216">
                  <c:v>05.11.2024</c:v>
                </c:pt>
                <c:pt idx="217">
                  <c:v>06.11.2024</c:v>
                </c:pt>
                <c:pt idx="218">
                  <c:v>07.11.2024</c:v>
                </c:pt>
                <c:pt idx="219">
                  <c:v>08.11.2024</c:v>
                </c:pt>
                <c:pt idx="220">
                  <c:v>11.11.2024</c:v>
                </c:pt>
                <c:pt idx="221">
                  <c:v>12.11.2024</c:v>
                </c:pt>
                <c:pt idx="222">
                  <c:v>13.11.2024</c:v>
                </c:pt>
                <c:pt idx="223">
                  <c:v>14.11.2024</c:v>
                </c:pt>
                <c:pt idx="224">
                  <c:v>15.11.2024</c:v>
                </c:pt>
                <c:pt idx="225">
                  <c:v>18.11.2024</c:v>
                </c:pt>
                <c:pt idx="226">
                  <c:v>19.11.2024</c:v>
                </c:pt>
                <c:pt idx="227">
                  <c:v>20.11.2024</c:v>
                </c:pt>
                <c:pt idx="228">
                  <c:v>21.11.2024</c:v>
                </c:pt>
                <c:pt idx="229">
                  <c:v>22.11.2024</c:v>
                </c:pt>
                <c:pt idx="230">
                  <c:v>25.11.2024</c:v>
                </c:pt>
                <c:pt idx="231">
                  <c:v>26.11.2024</c:v>
                </c:pt>
                <c:pt idx="232">
                  <c:v>27.11.2024</c:v>
                </c:pt>
                <c:pt idx="233">
                  <c:v>28.11.2024</c:v>
                </c:pt>
                <c:pt idx="234">
                  <c:v>29.11.2024</c:v>
                </c:pt>
                <c:pt idx="235">
                  <c:v>02.12.2024</c:v>
                </c:pt>
                <c:pt idx="236">
                  <c:v>03.12.2024</c:v>
                </c:pt>
                <c:pt idx="237">
                  <c:v>04.12.2024</c:v>
                </c:pt>
                <c:pt idx="238">
                  <c:v>05.12.2024</c:v>
                </c:pt>
                <c:pt idx="239">
                  <c:v>06.12.2024</c:v>
                </c:pt>
                <c:pt idx="240">
                  <c:v>09.12.2024</c:v>
                </c:pt>
                <c:pt idx="241">
                  <c:v>10.12.2024</c:v>
                </c:pt>
                <c:pt idx="242">
                  <c:v>11.12.2024</c:v>
                </c:pt>
                <c:pt idx="243">
                  <c:v>12.12.2024</c:v>
                </c:pt>
                <c:pt idx="244">
                  <c:v>13.12.2024</c:v>
                </c:pt>
                <c:pt idx="245">
                  <c:v>16.12.2024</c:v>
                </c:pt>
                <c:pt idx="246">
                  <c:v>17.12.2024</c:v>
                </c:pt>
                <c:pt idx="247">
                  <c:v>18.12.2024</c:v>
                </c:pt>
                <c:pt idx="248">
                  <c:v>19.12.2024</c:v>
                </c:pt>
                <c:pt idx="249">
                  <c:v>20.12.2024</c:v>
                </c:pt>
                <c:pt idx="250">
                  <c:v>23.12.2024</c:v>
                </c:pt>
                <c:pt idx="251">
                  <c:v>24.12.2024</c:v>
                </c:pt>
                <c:pt idx="252">
                  <c:v>25.12.2024</c:v>
                </c:pt>
                <c:pt idx="253">
                  <c:v>26.12.2024</c:v>
                </c:pt>
                <c:pt idx="254">
                  <c:v>27.12.2024</c:v>
                </c:pt>
                <c:pt idx="255">
                  <c:v>28.12.2024</c:v>
                </c:pt>
                <c:pt idx="256">
                  <c:v>30.12.2024</c:v>
                </c:pt>
              </c:strCache>
            </c:strRef>
          </c:cat>
          <c:val>
            <c:numRef>
              <c:f>Лист4!$I$2:$I$258</c:f>
              <c:numCache>
                <c:formatCode>0.0%</c:formatCode>
                <c:ptCount val="257"/>
                <c:pt idx="0">
                  <c:v>0</c:v>
                </c:pt>
                <c:pt idx="1">
                  <c:v>2.5862068965517349E-2</c:v>
                </c:pt>
                <c:pt idx="2">
                  <c:v>7.3994252873563315E-2</c:v>
                </c:pt>
                <c:pt idx="3">
                  <c:v>4.4540229885057459E-2</c:v>
                </c:pt>
                <c:pt idx="4">
                  <c:v>4.9568965517241548E-2</c:v>
                </c:pt>
                <c:pt idx="5">
                  <c:v>3.7356321839080442E-2</c:v>
                </c:pt>
                <c:pt idx="6">
                  <c:v>4.382183908045989E-2</c:v>
                </c:pt>
                <c:pt idx="7">
                  <c:v>2.0114942528735691E-2</c:v>
                </c:pt>
                <c:pt idx="8">
                  <c:v>3.3764367816092156E-2</c:v>
                </c:pt>
                <c:pt idx="9">
                  <c:v>3.6637931034482873E-2</c:v>
                </c:pt>
                <c:pt idx="10">
                  <c:v>3.2327586206896575E-2</c:v>
                </c:pt>
                <c:pt idx="11">
                  <c:v>5.1724137931034475E-2</c:v>
                </c:pt>
                <c:pt idx="12">
                  <c:v>5.4597701149425415E-2</c:v>
                </c:pt>
                <c:pt idx="13">
                  <c:v>4.0948275862069172E-2</c:v>
                </c:pt>
                <c:pt idx="14">
                  <c:v>0.18247126436781613</c:v>
                </c:pt>
                <c:pt idx="15">
                  <c:v>0.44899425287356332</c:v>
                </c:pt>
                <c:pt idx="16">
                  <c:v>0.46192528735632199</c:v>
                </c:pt>
                <c:pt idx="17">
                  <c:v>0.375</c:v>
                </c:pt>
                <c:pt idx="18">
                  <c:v>0.37787356321839094</c:v>
                </c:pt>
                <c:pt idx="19">
                  <c:v>0.32758620689655182</c:v>
                </c:pt>
                <c:pt idx="20">
                  <c:v>0.29669540229885061</c:v>
                </c:pt>
                <c:pt idx="21">
                  <c:v>0.3168103448275863</c:v>
                </c:pt>
                <c:pt idx="22">
                  <c:v>0.29454022988505768</c:v>
                </c:pt>
                <c:pt idx="23">
                  <c:v>0.26221264367816088</c:v>
                </c:pt>
                <c:pt idx="24">
                  <c:v>0.27011494252873569</c:v>
                </c:pt>
                <c:pt idx="25">
                  <c:v>0.29956896551724133</c:v>
                </c:pt>
                <c:pt idx="26">
                  <c:v>0.38146551724137945</c:v>
                </c:pt>
                <c:pt idx="27">
                  <c:v>0.30316091954023006</c:v>
                </c:pt>
                <c:pt idx="28">
                  <c:v>0.27586206896551735</c:v>
                </c:pt>
                <c:pt idx="29">
                  <c:v>0.27514367816091956</c:v>
                </c:pt>
                <c:pt idx="30">
                  <c:v>0.27155172413793105</c:v>
                </c:pt>
                <c:pt idx="31">
                  <c:v>0.30316091954023006</c:v>
                </c:pt>
                <c:pt idx="32">
                  <c:v>0.28304597701149437</c:v>
                </c:pt>
                <c:pt idx="33">
                  <c:v>0.28879310344827602</c:v>
                </c:pt>
                <c:pt idx="34">
                  <c:v>0.27873563218390807</c:v>
                </c:pt>
                <c:pt idx="35">
                  <c:v>0.29382183908045989</c:v>
                </c:pt>
                <c:pt idx="36">
                  <c:v>0.21910919540229901</c:v>
                </c:pt>
                <c:pt idx="37">
                  <c:v>0.22198275862068972</c:v>
                </c:pt>
                <c:pt idx="38">
                  <c:v>0.23635057471264376</c:v>
                </c:pt>
                <c:pt idx="39">
                  <c:v>0.26364942528735624</c:v>
                </c:pt>
                <c:pt idx="40">
                  <c:v>0.28735632183908066</c:v>
                </c:pt>
                <c:pt idx="41">
                  <c:v>0.28735632183908066</c:v>
                </c:pt>
                <c:pt idx="42">
                  <c:v>0.29166666666666674</c:v>
                </c:pt>
                <c:pt idx="43">
                  <c:v>0.29885057471264376</c:v>
                </c:pt>
                <c:pt idx="44">
                  <c:v>0.3017241379310347</c:v>
                </c:pt>
                <c:pt idx="45">
                  <c:v>0.29669540229885061</c:v>
                </c:pt>
                <c:pt idx="46">
                  <c:v>0.29238505747126431</c:v>
                </c:pt>
                <c:pt idx="47">
                  <c:v>0.28232758620689657</c:v>
                </c:pt>
                <c:pt idx="48">
                  <c:v>0.27083333333333326</c:v>
                </c:pt>
                <c:pt idx="49">
                  <c:v>0.27155172413793105</c:v>
                </c:pt>
                <c:pt idx="50">
                  <c:v>0.2586206896551726</c:v>
                </c:pt>
                <c:pt idx="51">
                  <c:v>0.25574712643678166</c:v>
                </c:pt>
                <c:pt idx="52">
                  <c:v>0.2392241379310347</c:v>
                </c:pt>
                <c:pt idx="53">
                  <c:v>0.19899425287356332</c:v>
                </c:pt>
                <c:pt idx="54">
                  <c:v>0.18031609195402298</c:v>
                </c:pt>
                <c:pt idx="55">
                  <c:v>0.18462643678160928</c:v>
                </c:pt>
                <c:pt idx="56">
                  <c:v>0.19252873563218387</c:v>
                </c:pt>
                <c:pt idx="57">
                  <c:v>0.16379310344827602</c:v>
                </c:pt>
                <c:pt idx="58">
                  <c:v>0.17169540229885061</c:v>
                </c:pt>
                <c:pt idx="59">
                  <c:v>0.16451149425287359</c:v>
                </c:pt>
                <c:pt idx="60">
                  <c:v>0.21839080459770122</c:v>
                </c:pt>
                <c:pt idx="61">
                  <c:v>0.16307471264367823</c:v>
                </c:pt>
                <c:pt idx="62">
                  <c:v>0.17816091954022983</c:v>
                </c:pt>
                <c:pt idx="63">
                  <c:v>0.16451149425287359</c:v>
                </c:pt>
                <c:pt idx="64">
                  <c:v>0.15876436781609193</c:v>
                </c:pt>
                <c:pt idx="65">
                  <c:v>0.16020114942528751</c:v>
                </c:pt>
                <c:pt idx="66">
                  <c:v>0.16522988505747138</c:v>
                </c:pt>
                <c:pt idx="67">
                  <c:v>0.16451149425287359</c:v>
                </c:pt>
                <c:pt idx="68">
                  <c:v>0.17241379310344818</c:v>
                </c:pt>
                <c:pt idx="69">
                  <c:v>0.21910919540229901</c:v>
                </c:pt>
                <c:pt idx="70">
                  <c:v>0.23563218390804597</c:v>
                </c:pt>
                <c:pt idx="71">
                  <c:v>0.18678160919540221</c:v>
                </c:pt>
                <c:pt idx="72">
                  <c:v>0.18821839080459779</c:v>
                </c:pt>
                <c:pt idx="73">
                  <c:v>0.19755747126436796</c:v>
                </c:pt>
                <c:pt idx="74">
                  <c:v>0.19396551724137923</c:v>
                </c:pt>
                <c:pt idx="75">
                  <c:v>0.18965517241379315</c:v>
                </c:pt>
                <c:pt idx="76">
                  <c:v>0.18390804597701149</c:v>
                </c:pt>
                <c:pt idx="77">
                  <c:v>0.18462643678160928</c:v>
                </c:pt>
                <c:pt idx="78">
                  <c:v>0.17025862068965525</c:v>
                </c:pt>
                <c:pt idx="79">
                  <c:v>0.15804597701149437</c:v>
                </c:pt>
                <c:pt idx="80">
                  <c:v>0.15589080459770122</c:v>
                </c:pt>
                <c:pt idx="81">
                  <c:v>0.15660919540229901</c:v>
                </c:pt>
                <c:pt idx="82">
                  <c:v>0.16522988505747138</c:v>
                </c:pt>
                <c:pt idx="83">
                  <c:v>0.15876436781609193</c:v>
                </c:pt>
                <c:pt idx="84">
                  <c:v>0.16235632183908066</c:v>
                </c:pt>
                <c:pt idx="85">
                  <c:v>0.17097701149425282</c:v>
                </c:pt>
                <c:pt idx="86">
                  <c:v>0.16738505747126453</c:v>
                </c:pt>
                <c:pt idx="87">
                  <c:v>0.18031609195402298</c:v>
                </c:pt>
                <c:pt idx="88">
                  <c:v>0.16379310344827602</c:v>
                </c:pt>
                <c:pt idx="89">
                  <c:v>0.18103448275862077</c:v>
                </c:pt>
                <c:pt idx="90">
                  <c:v>0.16738505747126453</c:v>
                </c:pt>
                <c:pt idx="91">
                  <c:v>0.18462643678160928</c:v>
                </c:pt>
                <c:pt idx="92">
                  <c:v>0.16954022988505746</c:v>
                </c:pt>
                <c:pt idx="93">
                  <c:v>0.15948275862068972</c:v>
                </c:pt>
                <c:pt idx="94">
                  <c:v>0.15373563218390829</c:v>
                </c:pt>
                <c:pt idx="95">
                  <c:v>0.15158045977011492</c:v>
                </c:pt>
                <c:pt idx="96">
                  <c:v>0.12643678160919558</c:v>
                </c:pt>
                <c:pt idx="97">
                  <c:v>9.9856321839080442E-2</c:v>
                </c:pt>
                <c:pt idx="98">
                  <c:v>0.10775862068965525</c:v>
                </c:pt>
                <c:pt idx="99">
                  <c:v>9.6264367816092156E-2</c:v>
                </c:pt>
                <c:pt idx="100">
                  <c:v>5.3879310344827624E-2</c:v>
                </c:pt>
                <c:pt idx="101">
                  <c:v>1.0057471264367734E-2</c:v>
                </c:pt>
                <c:pt idx="102">
                  <c:v>-7.902298850574585E-3</c:v>
                </c:pt>
                <c:pt idx="103">
                  <c:v>-3.7356321839080331E-2</c:v>
                </c:pt>
                <c:pt idx="104">
                  <c:v>0.10847701149425282</c:v>
                </c:pt>
                <c:pt idx="105">
                  <c:v>5.2442528735632266E-2</c:v>
                </c:pt>
                <c:pt idx="106">
                  <c:v>-4.3103448275861989E-2</c:v>
                </c:pt>
                <c:pt idx="107">
                  <c:v>2.2988505747126409E-2</c:v>
                </c:pt>
                <c:pt idx="108">
                  <c:v>1.4367816091954033E-2</c:v>
                </c:pt>
                <c:pt idx="109">
                  <c:v>1.9396551724138122E-2</c:v>
                </c:pt>
                <c:pt idx="110">
                  <c:v>1.6522988505747183E-2</c:v>
                </c:pt>
                <c:pt idx="111">
                  <c:v>1.3649425287356465E-2</c:v>
                </c:pt>
                <c:pt idx="112">
                  <c:v>-2.9454022988505746E-2</c:v>
                </c:pt>
                <c:pt idx="113">
                  <c:v>-3.951149425287348E-2</c:v>
                </c:pt>
                <c:pt idx="114">
                  <c:v>8.6206896551723755E-3</c:v>
                </c:pt>
                <c:pt idx="115">
                  <c:v>-2.1551724137930939E-2</c:v>
                </c:pt>
                <c:pt idx="116">
                  <c:v>-4.2385057471264309E-2</c:v>
                </c:pt>
                <c:pt idx="117">
                  <c:v>-7.4712643678160884E-2</c:v>
                </c:pt>
                <c:pt idx="118">
                  <c:v>-5.3879310344827513E-2</c:v>
                </c:pt>
                <c:pt idx="119">
                  <c:v>-5.4597701149425193E-2</c:v>
                </c:pt>
                <c:pt idx="120">
                  <c:v>-6.178160919540221E-2</c:v>
                </c:pt>
                <c:pt idx="121">
                  <c:v>-2.5862068965517127E-2</c:v>
                </c:pt>
                <c:pt idx="122">
                  <c:v>-2.9454022988505746E-2</c:v>
                </c:pt>
                <c:pt idx="123">
                  <c:v>-4.4540229885057347E-2</c:v>
                </c:pt>
                <c:pt idx="124">
                  <c:v>-4.5258620689655138E-2</c:v>
                </c:pt>
                <c:pt idx="125">
                  <c:v>-4.2385057471264309E-2</c:v>
                </c:pt>
                <c:pt idx="126">
                  <c:v>-4.7413793103448176E-2</c:v>
                </c:pt>
                <c:pt idx="127">
                  <c:v>-5.7471264367816577E-3</c:v>
                </c:pt>
                <c:pt idx="128">
                  <c:v>-5.2442528735632155E-2</c:v>
                </c:pt>
                <c:pt idx="129">
                  <c:v>-8.261494252873558E-2</c:v>
                </c:pt>
                <c:pt idx="130">
                  <c:v>-7.8304597701149392E-2</c:v>
                </c:pt>
                <c:pt idx="131">
                  <c:v>-0.11709770114942519</c:v>
                </c:pt>
                <c:pt idx="132">
                  <c:v>-0.19971264367816077</c:v>
                </c:pt>
                <c:pt idx="133">
                  <c:v>-0.17097701149425293</c:v>
                </c:pt>
                <c:pt idx="134">
                  <c:v>-0.14942528735632177</c:v>
                </c:pt>
                <c:pt idx="135">
                  <c:v>-0.1285919540229884</c:v>
                </c:pt>
                <c:pt idx="136">
                  <c:v>-0.17528735632183912</c:v>
                </c:pt>
                <c:pt idx="137">
                  <c:v>-0.15086206896551724</c:v>
                </c:pt>
                <c:pt idx="138">
                  <c:v>-0.14727011494252862</c:v>
                </c:pt>
                <c:pt idx="139">
                  <c:v>-0.13936781609195403</c:v>
                </c:pt>
                <c:pt idx="140">
                  <c:v>-0.13721264367816077</c:v>
                </c:pt>
                <c:pt idx="141">
                  <c:v>-0.14655172413793105</c:v>
                </c:pt>
                <c:pt idx="142">
                  <c:v>-0.13074712643678155</c:v>
                </c:pt>
                <c:pt idx="143">
                  <c:v>-0.13793103448275856</c:v>
                </c:pt>
                <c:pt idx="144">
                  <c:v>-0.14870689655172409</c:v>
                </c:pt>
                <c:pt idx="145">
                  <c:v>-0.15373563218390807</c:v>
                </c:pt>
                <c:pt idx="146">
                  <c:v>-0.1522988505747126</c:v>
                </c:pt>
                <c:pt idx="147">
                  <c:v>-0.14080459770114939</c:v>
                </c:pt>
                <c:pt idx="148">
                  <c:v>-0.14080459770114939</c:v>
                </c:pt>
                <c:pt idx="149">
                  <c:v>-0.11853448275862055</c:v>
                </c:pt>
                <c:pt idx="150">
                  <c:v>-0.16451149425287348</c:v>
                </c:pt>
                <c:pt idx="151">
                  <c:v>-0.17025862068965514</c:v>
                </c:pt>
                <c:pt idx="152">
                  <c:v>-0.18247126436781613</c:v>
                </c:pt>
                <c:pt idx="153">
                  <c:v>-0.17600574712643668</c:v>
                </c:pt>
                <c:pt idx="154">
                  <c:v>-0.18678160919540232</c:v>
                </c:pt>
                <c:pt idx="155">
                  <c:v>-0.20186781609195392</c:v>
                </c:pt>
                <c:pt idx="156">
                  <c:v>-0.16522988505747127</c:v>
                </c:pt>
                <c:pt idx="157">
                  <c:v>-2.0114942528735469E-2</c:v>
                </c:pt>
                <c:pt idx="158">
                  <c:v>-8.6206896551724088E-2</c:v>
                </c:pt>
                <c:pt idx="159">
                  <c:v>-0.11566091954022972</c:v>
                </c:pt>
                <c:pt idx="160">
                  <c:v>-0.13864942528735624</c:v>
                </c:pt>
                <c:pt idx="161">
                  <c:v>-0.13864942528735624</c:v>
                </c:pt>
                <c:pt idx="162">
                  <c:v>-0.1285919540229884</c:v>
                </c:pt>
                <c:pt idx="163">
                  <c:v>-0.16379310344827591</c:v>
                </c:pt>
                <c:pt idx="164">
                  <c:v>-0.18749999999999989</c:v>
                </c:pt>
                <c:pt idx="165">
                  <c:v>-0.15086206896551724</c:v>
                </c:pt>
                <c:pt idx="166">
                  <c:v>-0.16235632183908044</c:v>
                </c:pt>
                <c:pt idx="167">
                  <c:v>-0.18749999999999989</c:v>
                </c:pt>
                <c:pt idx="168">
                  <c:v>-0.1831896551724137</c:v>
                </c:pt>
                <c:pt idx="169">
                  <c:v>-0.21192528735632177</c:v>
                </c:pt>
                <c:pt idx="170">
                  <c:v>-0.23706896551724133</c:v>
                </c:pt>
                <c:pt idx="171">
                  <c:v>-0.25646551724137934</c:v>
                </c:pt>
                <c:pt idx="172">
                  <c:v>-0.25431034482758608</c:v>
                </c:pt>
                <c:pt idx="173">
                  <c:v>-0.21408045977011481</c:v>
                </c:pt>
                <c:pt idx="174">
                  <c:v>-0.23275862068965503</c:v>
                </c:pt>
                <c:pt idx="175">
                  <c:v>-0.19396551724137923</c:v>
                </c:pt>
                <c:pt idx="176">
                  <c:v>-0.19037356321839072</c:v>
                </c:pt>
                <c:pt idx="177">
                  <c:v>-0.21048850574712641</c:v>
                </c:pt>
                <c:pt idx="178">
                  <c:v>-0.23635057471264365</c:v>
                </c:pt>
                <c:pt idx="179">
                  <c:v>-0.23347701149425282</c:v>
                </c:pt>
                <c:pt idx="180">
                  <c:v>-0.20977011494252862</c:v>
                </c:pt>
                <c:pt idx="181">
                  <c:v>-0.20545977011494243</c:v>
                </c:pt>
                <c:pt idx="182">
                  <c:v>-0.11135057471264354</c:v>
                </c:pt>
                <c:pt idx="183">
                  <c:v>-0.13721264367816077</c:v>
                </c:pt>
                <c:pt idx="184">
                  <c:v>-0.15086206896551724</c:v>
                </c:pt>
                <c:pt idx="185">
                  <c:v>-0.14583333333333326</c:v>
                </c:pt>
                <c:pt idx="186">
                  <c:v>-0.14439655172413779</c:v>
                </c:pt>
                <c:pt idx="187">
                  <c:v>-0.14367816091954022</c:v>
                </c:pt>
                <c:pt idx="188">
                  <c:v>-0.16235632183908044</c:v>
                </c:pt>
                <c:pt idx="189">
                  <c:v>-0.16307471264367812</c:v>
                </c:pt>
                <c:pt idx="190">
                  <c:v>-0.1558908045977011</c:v>
                </c:pt>
                <c:pt idx="191">
                  <c:v>-0.16954022988505746</c:v>
                </c:pt>
                <c:pt idx="192">
                  <c:v>-0.16020114942528729</c:v>
                </c:pt>
                <c:pt idx="193">
                  <c:v>-0.18462643678160917</c:v>
                </c:pt>
                <c:pt idx="194">
                  <c:v>-0.1795977011494253</c:v>
                </c:pt>
                <c:pt idx="195">
                  <c:v>-0.18606321839080453</c:v>
                </c:pt>
                <c:pt idx="196">
                  <c:v>-0.18606321839080453</c:v>
                </c:pt>
                <c:pt idx="197">
                  <c:v>-0.18606321839080453</c:v>
                </c:pt>
                <c:pt idx="198">
                  <c:v>-0.17816091954022995</c:v>
                </c:pt>
                <c:pt idx="199">
                  <c:v>-0.18031609195402287</c:v>
                </c:pt>
                <c:pt idx="200">
                  <c:v>-0.18462643678160917</c:v>
                </c:pt>
                <c:pt idx="201">
                  <c:v>-0.1681034482758621</c:v>
                </c:pt>
                <c:pt idx="202">
                  <c:v>-0.11278735632183889</c:v>
                </c:pt>
                <c:pt idx="203">
                  <c:v>-0.17744252873563215</c:v>
                </c:pt>
                <c:pt idx="204">
                  <c:v>-0.1716954022988505</c:v>
                </c:pt>
                <c:pt idx="205">
                  <c:v>-0.18031609195402287</c:v>
                </c:pt>
                <c:pt idx="206">
                  <c:v>-0.18606321839080453</c:v>
                </c:pt>
                <c:pt idx="207">
                  <c:v>-0.19396551724137923</c:v>
                </c:pt>
                <c:pt idx="208">
                  <c:v>-0.20761494252873558</c:v>
                </c:pt>
                <c:pt idx="209">
                  <c:v>-0.21120689655172398</c:v>
                </c:pt>
                <c:pt idx="210">
                  <c:v>-0.23347701149425282</c:v>
                </c:pt>
                <c:pt idx="211">
                  <c:v>-0.22988505747126431</c:v>
                </c:pt>
                <c:pt idx="212">
                  <c:v>-0.21695402298850563</c:v>
                </c:pt>
                <c:pt idx="213">
                  <c:v>-0.23204022988505746</c:v>
                </c:pt>
                <c:pt idx="214">
                  <c:v>-0.23347701149425282</c:v>
                </c:pt>
                <c:pt idx="215">
                  <c:v>-0.22485632183908044</c:v>
                </c:pt>
                <c:pt idx="216">
                  <c:v>-0.22485632183908044</c:v>
                </c:pt>
                <c:pt idx="217">
                  <c:v>-0.20617816091954022</c:v>
                </c:pt>
                <c:pt idx="218">
                  <c:v>-0.22413793103448265</c:v>
                </c:pt>
                <c:pt idx="219">
                  <c:v>-0.2147988505747126</c:v>
                </c:pt>
                <c:pt idx="220">
                  <c:v>-0.20617816091954022</c:v>
                </c:pt>
                <c:pt idx="221">
                  <c:v>-0.17456896551724133</c:v>
                </c:pt>
                <c:pt idx="222">
                  <c:v>-0.17313218390804586</c:v>
                </c:pt>
                <c:pt idx="223">
                  <c:v>-0.18390804597701149</c:v>
                </c:pt>
                <c:pt idx="224">
                  <c:v>-0.18893678160919536</c:v>
                </c:pt>
                <c:pt idx="225">
                  <c:v>-0.20617816091954022</c:v>
                </c:pt>
                <c:pt idx="226">
                  <c:v>-0.21839080459770099</c:v>
                </c:pt>
                <c:pt idx="227">
                  <c:v>-0.21048850574712641</c:v>
                </c:pt>
                <c:pt idx="228">
                  <c:v>-0.23850574712643668</c:v>
                </c:pt>
                <c:pt idx="229">
                  <c:v>-0.2341954022988505</c:v>
                </c:pt>
                <c:pt idx="230">
                  <c:v>-0.24353448275862066</c:v>
                </c:pt>
                <c:pt idx="231">
                  <c:v>-0.27586206896551724</c:v>
                </c:pt>
                <c:pt idx="232">
                  <c:v>-0.35272988505747116</c:v>
                </c:pt>
                <c:pt idx="233">
                  <c:v>-0.3433908045977011</c:v>
                </c:pt>
                <c:pt idx="234">
                  <c:v>-0.3433908045977011</c:v>
                </c:pt>
                <c:pt idx="235">
                  <c:v>-0.34913793103448265</c:v>
                </c:pt>
                <c:pt idx="236">
                  <c:v>-0.35201149425287348</c:v>
                </c:pt>
                <c:pt idx="237">
                  <c:v>-0.36350574712643668</c:v>
                </c:pt>
                <c:pt idx="238">
                  <c:v>-0.39152298850574707</c:v>
                </c:pt>
                <c:pt idx="239">
                  <c:v>-0.38577586206896552</c:v>
                </c:pt>
                <c:pt idx="240">
                  <c:v>-0.3829022988505747</c:v>
                </c:pt>
                <c:pt idx="241">
                  <c:v>-0.39511494252873558</c:v>
                </c:pt>
                <c:pt idx="242">
                  <c:v>-0.40301724137931039</c:v>
                </c:pt>
                <c:pt idx="243">
                  <c:v>-0.4022988505747126</c:v>
                </c:pt>
                <c:pt idx="244">
                  <c:v>-0.41235632183908044</c:v>
                </c:pt>
                <c:pt idx="245">
                  <c:v>-0.43534482758620685</c:v>
                </c:pt>
                <c:pt idx="246">
                  <c:v>-0.45114942528735624</c:v>
                </c:pt>
                <c:pt idx="247">
                  <c:v>-0.3512931034482758</c:v>
                </c:pt>
                <c:pt idx="248">
                  <c:v>-0.1681034482758621</c:v>
                </c:pt>
                <c:pt idx="249">
                  <c:v>-0.1522988505747126</c:v>
                </c:pt>
                <c:pt idx="250">
                  <c:v>-0.22485632183908044</c:v>
                </c:pt>
                <c:pt idx="251">
                  <c:v>-0.23347701149425282</c:v>
                </c:pt>
                <c:pt idx="252">
                  <c:v>-0.19396551724137923</c:v>
                </c:pt>
                <c:pt idx="253">
                  <c:v>-0.19683908045976994</c:v>
                </c:pt>
                <c:pt idx="254">
                  <c:v>-0.21336206896551724</c:v>
                </c:pt>
                <c:pt idx="255">
                  <c:v>-0.20330459770114939</c:v>
                </c:pt>
                <c:pt idx="256">
                  <c:v>-0.17600574712643668</c:v>
                </c:pt>
              </c:numCache>
            </c:numRef>
          </c:val>
          <c:smooth val="0"/>
          <c:extLst>
            <c:ext xmlns:c16="http://schemas.microsoft.com/office/drawing/2014/chart" uri="{C3380CC4-5D6E-409C-BE32-E72D297353CC}">
              <c16:uniqueId val="{00000000-6733-461D-87D8-73827964C059}"/>
            </c:ext>
          </c:extLst>
        </c:ser>
        <c:ser>
          <c:idx val="1"/>
          <c:order val="1"/>
          <c:tx>
            <c:strRef>
              <c:f>Лист4!$J$1</c:f>
              <c:strCache>
                <c:ptCount val="1"/>
                <c:pt idx="0">
                  <c:v>MOEXEU (-14,9%)</c:v>
                </c:pt>
              </c:strCache>
            </c:strRef>
          </c:tx>
          <c:spPr>
            <a:prstGeom prst="rect">
              <a:avLst/>
            </a:prstGeom>
            <a:ln w="28575" cap="rnd">
              <a:solidFill>
                <a:schemeClr val="accent2"/>
              </a:solidFill>
              <a:round/>
            </a:ln>
          </c:spPr>
          <c:marker>
            <c:symbol val="none"/>
          </c:marker>
          <c:cat>
            <c:strRef>
              <c:f>Лист4!$H$2:$H$258</c:f>
              <c:strCache>
                <c:ptCount val="257"/>
                <c:pt idx="0">
                  <c:v>29.12.2023</c:v>
                </c:pt>
                <c:pt idx="1">
                  <c:v>03.01.2024</c:v>
                </c:pt>
                <c:pt idx="2">
                  <c:v>04.01.2024</c:v>
                </c:pt>
                <c:pt idx="3">
                  <c:v>05.01.2024</c:v>
                </c:pt>
                <c:pt idx="4">
                  <c:v>08.01.2024</c:v>
                </c:pt>
                <c:pt idx="5">
                  <c:v>09.01.2024</c:v>
                </c:pt>
                <c:pt idx="6">
                  <c:v>10.01.2024</c:v>
                </c:pt>
                <c:pt idx="7">
                  <c:v>11.01.2024</c:v>
                </c:pt>
                <c:pt idx="8">
                  <c:v>12.01.2024</c:v>
                </c:pt>
                <c:pt idx="9">
                  <c:v>15.01.2024</c:v>
                </c:pt>
                <c:pt idx="10">
                  <c:v>16.01.2024</c:v>
                </c:pt>
                <c:pt idx="11">
                  <c:v>17.01.2024</c:v>
                </c:pt>
                <c:pt idx="12">
                  <c:v>18.01.2024</c:v>
                </c:pt>
                <c:pt idx="13">
                  <c:v>19.01.2024</c:v>
                </c:pt>
                <c:pt idx="14">
                  <c:v>22.01.2024</c:v>
                </c:pt>
                <c:pt idx="15">
                  <c:v>23.01.2024</c:v>
                </c:pt>
                <c:pt idx="16">
                  <c:v>24.01.2024</c:v>
                </c:pt>
                <c:pt idx="17">
                  <c:v>25.01.2024</c:v>
                </c:pt>
                <c:pt idx="18">
                  <c:v>26.01.2024</c:v>
                </c:pt>
                <c:pt idx="19">
                  <c:v>29.01.2024</c:v>
                </c:pt>
                <c:pt idx="20">
                  <c:v>30.01.2024</c:v>
                </c:pt>
                <c:pt idx="21">
                  <c:v>31.01.2024</c:v>
                </c:pt>
                <c:pt idx="22">
                  <c:v>01.02.2024</c:v>
                </c:pt>
                <c:pt idx="23">
                  <c:v>02.02.2024</c:v>
                </c:pt>
                <c:pt idx="24">
                  <c:v>05.02.2024</c:v>
                </c:pt>
                <c:pt idx="25">
                  <c:v>06.02.2024</c:v>
                </c:pt>
                <c:pt idx="26">
                  <c:v>07.02.2024</c:v>
                </c:pt>
                <c:pt idx="27">
                  <c:v>08.02.2024</c:v>
                </c:pt>
                <c:pt idx="28">
                  <c:v>09.02.2024</c:v>
                </c:pt>
                <c:pt idx="29">
                  <c:v>12.02.2024</c:v>
                </c:pt>
                <c:pt idx="30">
                  <c:v>13.02.2024</c:v>
                </c:pt>
                <c:pt idx="31">
                  <c:v>14.02.2024</c:v>
                </c:pt>
                <c:pt idx="32">
                  <c:v>15.02.2024</c:v>
                </c:pt>
                <c:pt idx="33">
                  <c:v>16.02.2024</c:v>
                </c:pt>
                <c:pt idx="34">
                  <c:v>19.02.2024</c:v>
                </c:pt>
                <c:pt idx="35">
                  <c:v>20.02.2024</c:v>
                </c:pt>
                <c:pt idx="36">
                  <c:v>21.02.2024</c:v>
                </c:pt>
                <c:pt idx="37">
                  <c:v>22.02.2024</c:v>
                </c:pt>
                <c:pt idx="38">
                  <c:v>26.02.2024</c:v>
                </c:pt>
                <c:pt idx="39">
                  <c:v>27.02.2024</c:v>
                </c:pt>
                <c:pt idx="40">
                  <c:v>28.02.2024</c:v>
                </c:pt>
                <c:pt idx="41">
                  <c:v>29.02.2024</c:v>
                </c:pt>
                <c:pt idx="42">
                  <c:v>01.03.2024</c:v>
                </c:pt>
                <c:pt idx="43">
                  <c:v>04.03.2024</c:v>
                </c:pt>
                <c:pt idx="44">
                  <c:v>05.03.2024</c:v>
                </c:pt>
                <c:pt idx="45">
                  <c:v>06.03.2024</c:v>
                </c:pt>
                <c:pt idx="46">
                  <c:v>07.03.2024</c:v>
                </c:pt>
                <c:pt idx="47">
                  <c:v>11.03.2024</c:v>
                </c:pt>
                <c:pt idx="48">
                  <c:v>12.03.2024</c:v>
                </c:pt>
                <c:pt idx="49">
                  <c:v>13.03.2024</c:v>
                </c:pt>
                <c:pt idx="50">
                  <c:v>14.03.2024</c:v>
                </c:pt>
                <c:pt idx="51">
                  <c:v>15.03.2024</c:v>
                </c:pt>
                <c:pt idx="52">
                  <c:v>18.03.2024</c:v>
                </c:pt>
                <c:pt idx="53">
                  <c:v>19.03.2024</c:v>
                </c:pt>
                <c:pt idx="54">
                  <c:v>20.03.2024</c:v>
                </c:pt>
                <c:pt idx="55">
                  <c:v>21.03.2024</c:v>
                </c:pt>
                <c:pt idx="56">
                  <c:v>22.03.2024</c:v>
                </c:pt>
                <c:pt idx="57">
                  <c:v>25.03.2024</c:v>
                </c:pt>
                <c:pt idx="58">
                  <c:v>26.03.2024</c:v>
                </c:pt>
                <c:pt idx="59">
                  <c:v>27.03.2024</c:v>
                </c:pt>
                <c:pt idx="60">
                  <c:v>28.03.2024</c:v>
                </c:pt>
                <c:pt idx="61">
                  <c:v>29.03.2024</c:v>
                </c:pt>
                <c:pt idx="62">
                  <c:v>01.04.2024</c:v>
                </c:pt>
                <c:pt idx="63">
                  <c:v>02.04.2024</c:v>
                </c:pt>
                <c:pt idx="64">
                  <c:v>03.04.2024</c:v>
                </c:pt>
                <c:pt idx="65">
                  <c:v>04.04.2024</c:v>
                </c:pt>
                <c:pt idx="66">
                  <c:v>05.04.2024</c:v>
                </c:pt>
                <c:pt idx="67">
                  <c:v>08.04.2024</c:v>
                </c:pt>
                <c:pt idx="68">
                  <c:v>09.04.2024</c:v>
                </c:pt>
                <c:pt idx="69">
                  <c:v>10.04.2024</c:v>
                </c:pt>
                <c:pt idx="70">
                  <c:v>11.04.2024</c:v>
                </c:pt>
                <c:pt idx="71">
                  <c:v>12.04.2024</c:v>
                </c:pt>
                <c:pt idx="72">
                  <c:v>15.04.2024</c:v>
                </c:pt>
                <c:pt idx="73">
                  <c:v>16.04.2024</c:v>
                </c:pt>
                <c:pt idx="74">
                  <c:v>17.04.2024</c:v>
                </c:pt>
                <c:pt idx="75">
                  <c:v>18.04.2024</c:v>
                </c:pt>
                <c:pt idx="76">
                  <c:v>19.04.2024</c:v>
                </c:pt>
                <c:pt idx="77">
                  <c:v>22.04.2024</c:v>
                </c:pt>
                <c:pt idx="78">
                  <c:v>23.04.2024</c:v>
                </c:pt>
                <c:pt idx="79">
                  <c:v>24.04.2024</c:v>
                </c:pt>
                <c:pt idx="80">
                  <c:v>25.04.2024</c:v>
                </c:pt>
                <c:pt idx="81">
                  <c:v>26.04.2024</c:v>
                </c:pt>
                <c:pt idx="82">
                  <c:v>27.04.2024</c:v>
                </c:pt>
                <c:pt idx="83">
                  <c:v>29.04.2024</c:v>
                </c:pt>
                <c:pt idx="84">
                  <c:v>30.04.2024</c:v>
                </c:pt>
                <c:pt idx="85">
                  <c:v>02.05.2024</c:v>
                </c:pt>
                <c:pt idx="86">
                  <c:v>03.05.2024</c:v>
                </c:pt>
                <c:pt idx="87">
                  <c:v>06.05.2024</c:v>
                </c:pt>
                <c:pt idx="88">
                  <c:v>07.05.2024</c:v>
                </c:pt>
                <c:pt idx="89">
                  <c:v>08.05.2024</c:v>
                </c:pt>
                <c:pt idx="90">
                  <c:v>10.05.2024</c:v>
                </c:pt>
                <c:pt idx="91">
                  <c:v>13.05.2024</c:v>
                </c:pt>
                <c:pt idx="92">
                  <c:v>14.05.2024</c:v>
                </c:pt>
                <c:pt idx="93">
                  <c:v>15.05.2024</c:v>
                </c:pt>
                <c:pt idx="94">
                  <c:v>16.05.2024</c:v>
                </c:pt>
                <c:pt idx="95">
                  <c:v>17.05.2024</c:v>
                </c:pt>
                <c:pt idx="96">
                  <c:v>20.05.2024</c:v>
                </c:pt>
                <c:pt idx="97">
                  <c:v>21.05.2024</c:v>
                </c:pt>
                <c:pt idx="98">
                  <c:v>22.05.2024</c:v>
                </c:pt>
                <c:pt idx="99">
                  <c:v>23.05.2024</c:v>
                </c:pt>
                <c:pt idx="100">
                  <c:v>24.05.2024</c:v>
                </c:pt>
                <c:pt idx="101">
                  <c:v>27.05.2024</c:v>
                </c:pt>
                <c:pt idx="102">
                  <c:v>28.05.2024</c:v>
                </c:pt>
                <c:pt idx="103">
                  <c:v>29.05.2024</c:v>
                </c:pt>
                <c:pt idx="104">
                  <c:v>30.05.2024</c:v>
                </c:pt>
                <c:pt idx="105">
                  <c:v>31.05.2024</c:v>
                </c:pt>
                <c:pt idx="106">
                  <c:v>03.06.2024</c:v>
                </c:pt>
                <c:pt idx="107">
                  <c:v>04.06.2024</c:v>
                </c:pt>
                <c:pt idx="108">
                  <c:v>05.06.2024</c:v>
                </c:pt>
                <c:pt idx="109">
                  <c:v>06.06.2024</c:v>
                </c:pt>
                <c:pt idx="110">
                  <c:v>07.06.2024</c:v>
                </c:pt>
                <c:pt idx="111">
                  <c:v>10.06.2024</c:v>
                </c:pt>
                <c:pt idx="112">
                  <c:v>11.06.2024</c:v>
                </c:pt>
                <c:pt idx="113">
                  <c:v>13.06.2024</c:v>
                </c:pt>
                <c:pt idx="114">
                  <c:v>14.06.2024</c:v>
                </c:pt>
                <c:pt idx="115">
                  <c:v>17.06.2024</c:v>
                </c:pt>
                <c:pt idx="116">
                  <c:v>18.06.2024</c:v>
                </c:pt>
                <c:pt idx="117">
                  <c:v>19.06.2024</c:v>
                </c:pt>
                <c:pt idx="118">
                  <c:v>20.06.2024</c:v>
                </c:pt>
                <c:pt idx="119">
                  <c:v>21.06.2024</c:v>
                </c:pt>
                <c:pt idx="120">
                  <c:v>24.06.2024</c:v>
                </c:pt>
                <c:pt idx="121">
                  <c:v>25.06.2024</c:v>
                </c:pt>
                <c:pt idx="122">
                  <c:v>26.06.2024</c:v>
                </c:pt>
                <c:pt idx="123">
                  <c:v>27.06.2024</c:v>
                </c:pt>
                <c:pt idx="124">
                  <c:v>28.06.2024</c:v>
                </c:pt>
                <c:pt idx="125">
                  <c:v>01.07.2024</c:v>
                </c:pt>
                <c:pt idx="126">
                  <c:v>02.07.2024</c:v>
                </c:pt>
                <c:pt idx="127">
                  <c:v>03.07.2024</c:v>
                </c:pt>
                <c:pt idx="128">
                  <c:v>04.07.2024</c:v>
                </c:pt>
                <c:pt idx="129">
                  <c:v>05.07.2024</c:v>
                </c:pt>
                <c:pt idx="130">
                  <c:v>08.07.2024</c:v>
                </c:pt>
                <c:pt idx="131">
                  <c:v>09.07.2024</c:v>
                </c:pt>
                <c:pt idx="132">
                  <c:v>10.07.2024</c:v>
                </c:pt>
                <c:pt idx="133">
                  <c:v>11.07.2024</c:v>
                </c:pt>
                <c:pt idx="134">
                  <c:v>12.07.2024</c:v>
                </c:pt>
                <c:pt idx="135">
                  <c:v>15.07.2024</c:v>
                </c:pt>
                <c:pt idx="136">
                  <c:v>16.07.2024</c:v>
                </c:pt>
                <c:pt idx="137">
                  <c:v>17.07.2024</c:v>
                </c:pt>
                <c:pt idx="138">
                  <c:v>18.07.2024</c:v>
                </c:pt>
                <c:pt idx="139">
                  <c:v>19.07.2024</c:v>
                </c:pt>
                <c:pt idx="140">
                  <c:v>22.07.2024</c:v>
                </c:pt>
                <c:pt idx="141">
                  <c:v>23.07.2024</c:v>
                </c:pt>
                <c:pt idx="142">
                  <c:v>24.07.2024</c:v>
                </c:pt>
                <c:pt idx="143">
                  <c:v>25.07.2024</c:v>
                </c:pt>
                <c:pt idx="144">
                  <c:v>26.07.2024</c:v>
                </c:pt>
                <c:pt idx="145">
                  <c:v>29.07.2024</c:v>
                </c:pt>
                <c:pt idx="146">
                  <c:v>30.07.2024</c:v>
                </c:pt>
                <c:pt idx="147">
                  <c:v>31.07.2024</c:v>
                </c:pt>
                <c:pt idx="148">
                  <c:v>01.08.2024</c:v>
                </c:pt>
                <c:pt idx="149">
                  <c:v>02.08.2024</c:v>
                </c:pt>
                <c:pt idx="150">
                  <c:v>05.08.2024</c:v>
                </c:pt>
                <c:pt idx="151">
                  <c:v>06.08.2024</c:v>
                </c:pt>
                <c:pt idx="152">
                  <c:v>07.08.2024</c:v>
                </c:pt>
                <c:pt idx="153">
                  <c:v>08.08.2024</c:v>
                </c:pt>
                <c:pt idx="154">
                  <c:v>09.08.2024</c:v>
                </c:pt>
                <c:pt idx="155">
                  <c:v>12.08.2024</c:v>
                </c:pt>
                <c:pt idx="156">
                  <c:v>13.08.2024</c:v>
                </c:pt>
                <c:pt idx="157">
                  <c:v>14.08.2024</c:v>
                </c:pt>
                <c:pt idx="158">
                  <c:v>15.08.2024</c:v>
                </c:pt>
                <c:pt idx="159">
                  <c:v>16.08.2024</c:v>
                </c:pt>
                <c:pt idx="160">
                  <c:v>19.08.2024</c:v>
                </c:pt>
                <c:pt idx="161">
                  <c:v>20.08.2024</c:v>
                </c:pt>
                <c:pt idx="162">
                  <c:v>21.08.2024</c:v>
                </c:pt>
                <c:pt idx="163">
                  <c:v>22.08.2024</c:v>
                </c:pt>
                <c:pt idx="164">
                  <c:v>23.08.2024</c:v>
                </c:pt>
                <c:pt idx="165">
                  <c:v>26.08.2024</c:v>
                </c:pt>
                <c:pt idx="166">
                  <c:v>27.08.2024</c:v>
                </c:pt>
                <c:pt idx="167">
                  <c:v>28.08.2024</c:v>
                </c:pt>
                <c:pt idx="168">
                  <c:v>29.08.2024</c:v>
                </c:pt>
                <c:pt idx="169">
                  <c:v>30.08.2024</c:v>
                </c:pt>
                <c:pt idx="170">
                  <c:v>02.09.2024</c:v>
                </c:pt>
                <c:pt idx="171">
                  <c:v>03.09.2024</c:v>
                </c:pt>
                <c:pt idx="172">
                  <c:v>04.09.2024</c:v>
                </c:pt>
                <c:pt idx="173">
                  <c:v>05.09.2024</c:v>
                </c:pt>
                <c:pt idx="174">
                  <c:v>06.09.2024</c:v>
                </c:pt>
                <c:pt idx="175">
                  <c:v>09.09.2024</c:v>
                </c:pt>
                <c:pt idx="176">
                  <c:v>10.09.2024</c:v>
                </c:pt>
                <c:pt idx="177">
                  <c:v>11.09.2024</c:v>
                </c:pt>
                <c:pt idx="178">
                  <c:v>12.09.2024</c:v>
                </c:pt>
                <c:pt idx="179">
                  <c:v>13.09.2024</c:v>
                </c:pt>
                <c:pt idx="180">
                  <c:v>16.09.2024</c:v>
                </c:pt>
                <c:pt idx="181">
                  <c:v>17.09.2024</c:v>
                </c:pt>
                <c:pt idx="182">
                  <c:v>18.09.2024</c:v>
                </c:pt>
                <c:pt idx="183">
                  <c:v>19.09.2024</c:v>
                </c:pt>
                <c:pt idx="184">
                  <c:v>20.09.2024</c:v>
                </c:pt>
                <c:pt idx="185">
                  <c:v>23.09.2024</c:v>
                </c:pt>
                <c:pt idx="186">
                  <c:v>24.09.2024</c:v>
                </c:pt>
                <c:pt idx="187">
                  <c:v>25.09.2024</c:v>
                </c:pt>
                <c:pt idx="188">
                  <c:v>26.09.2024</c:v>
                </c:pt>
                <c:pt idx="189">
                  <c:v>27.09.2024</c:v>
                </c:pt>
                <c:pt idx="190">
                  <c:v>30.09.2024</c:v>
                </c:pt>
                <c:pt idx="191">
                  <c:v>01.10.2024</c:v>
                </c:pt>
                <c:pt idx="192">
                  <c:v>02.10.2024</c:v>
                </c:pt>
                <c:pt idx="193">
                  <c:v>03.10.2024</c:v>
                </c:pt>
                <c:pt idx="194">
                  <c:v>04.10.2024</c:v>
                </c:pt>
                <c:pt idx="195">
                  <c:v>07.10.2024</c:v>
                </c:pt>
                <c:pt idx="196">
                  <c:v>08.10.2024</c:v>
                </c:pt>
                <c:pt idx="197">
                  <c:v>09.10.2024</c:v>
                </c:pt>
                <c:pt idx="198">
                  <c:v>10.10.2024</c:v>
                </c:pt>
                <c:pt idx="199">
                  <c:v>11.10.2024</c:v>
                </c:pt>
                <c:pt idx="200">
                  <c:v>14.10.2024</c:v>
                </c:pt>
                <c:pt idx="201">
                  <c:v>15.10.2024</c:v>
                </c:pt>
                <c:pt idx="202">
                  <c:v>16.10.2024</c:v>
                </c:pt>
                <c:pt idx="203">
                  <c:v>17.10.2024</c:v>
                </c:pt>
                <c:pt idx="204">
                  <c:v>18.10.2024</c:v>
                </c:pt>
                <c:pt idx="205">
                  <c:v>21.10.2024</c:v>
                </c:pt>
                <c:pt idx="206">
                  <c:v>22.10.2024</c:v>
                </c:pt>
                <c:pt idx="207">
                  <c:v>23.10.2024</c:v>
                </c:pt>
                <c:pt idx="208">
                  <c:v>24.10.2024</c:v>
                </c:pt>
                <c:pt idx="209">
                  <c:v>25.10.2024</c:v>
                </c:pt>
                <c:pt idx="210">
                  <c:v>28.10.2024</c:v>
                </c:pt>
                <c:pt idx="211">
                  <c:v>29.10.2024</c:v>
                </c:pt>
                <c:pt idx="212">
                  <c:v>30.10.2024</c:v>
                </c:pt>
                <c:pt idx="213">
                  <c:v>31.10.2024</c:v>
                </c:pt>
                <c:pt idx="214">
                  <c:v>01.11.2024</c:v>
                </c:pt>
                <c:pt idx="215">
                  <c:v>02.11.2024</c:v>
                </c:pt>
                <c:pt idx="216">
                  <c:v>05.11.2024</c:v>
                </c:pt>
                <c:pt idx="217">
                  <c:v>06.11.2024</c:v>
                </c:pt>
                <c:pt idx="218">
                  <c:v>07.11.2024</c:v>
                </c:pt>
                <c:pt idx="219">
                  <c:v>08.11.2024</c:v>
                </c:pt>
                <c:pt idx="220">
                  <c:v>11.11.2024</c:v>
                </c:pt>
                <c:pt idx="221">
                  <c:v>12.11.2024</c:v>
                </c:pt>
                <c:pt idx="222">
                  <c:v>13.11.2024</c:v>
                </c:pt>
                <c:pt idx="223">
                  <c:v>14.11.2024</c:v>
                </c:pt>
                <c:pt idx="224">
                  <c:v>15.11.2024</c:v>
                </c:pt>
                <c:pt idx="225">
                  <c:v>18.11.2024</c:v>
                </c:pt>
                <c:pt idx="226">
                  <c:v>19.11.2024</c:v>
                </c:pt>
                <c:pt idx="227">
                  <c:v>20.11.2024</c:v>
                </c:pt>
                <c:pt idx="228">
                  <c:v>21.11.2024</c:v>
                </c:pt>
                <c:pt idx="229">
                  <c:v>22.11.2024</c:v>
                </c:pt>
                <c:pt idx="230">
                  <c:v>25.11.2024</c:v>
                </c:pt>
                <c:pt idx="231">
                  <c:v>26.11.2024</c:v>
                </c:pt>
                <c:pt idx="232">
                  <c:v>27.11.2024</c:v>
                </c:pt>
                <c:pt idx="233">
                  <c:v>28.11.2024</c:v>
                </c:pt>
                <c:pt idx="234">
                  <c:v>29.11.2024</c:v>
                </c:pt>
                <c:pt idx="235">
                  <c:v>02.12.2024</c:v>
                </c:pt>
                <c:pt idx="236">
                  <c:v>03.12.2024</c:v>
                </c:pt>
                <c:pt idx="237">
                  <c:v>04.12.2024</c:v>
                </c:pt>
                <c:pt idx="238">
                  <c:v>05.12.2024</c:v>
                </c:pt>
                <c:pt idx="239">
                  <c:v>06.12.2024</c:v>
                </c:pt>
                <c:pt idx="240">
                  <c:v>09.12.2024</c:v>
                </c:pt>
                <c:pt idx="241">
                  <c:v>10.12.2024</c:v>
                </c:pt>
                <c:pt idx="242">
                  <c:v>11.12.2024</c:v>
                </c:pt>
                <c:pt idx="243">
                  <c:v>12.12.2024</c:v>
                </c:pt>
                <c:pt idx="244">
                  <c:v>13.12.2024</c:v>
                </c:pt>
                <c:pt idx="245">
                  <c:v>16.12.2024</c:v>
                </c:pt>
                <c:pt idx="246">
                  <c:v>17.12.2024</c:v>
                </c:pt>
                <c:pt idx="247">
                  <c:v>18.12.2024</c:v>
                </c:pt>
                <c:pt idx="248">
                  <c:v>19.12.2024</c:v>
                </c:pt>
                <c:pt idx="249">
                  <c:v>20.12.2024</c:v>
                </c:pt>
                <c:pt idx="250">
                  <c:v>23.12.2024</c:v>
                </c:pt>
                <c:pt idx="251">
                  <c:v>24.12.2024</c:v>
                </c:pt>
                <c:pt idx="252">
                  <c:v>25.12.2024</c:v>
                </c:pt>
                <c:pt idx="253">
                  <c:v>26.12.2024</c:v>
                </c:pt>
                <c:pt idx="254">
                  <c:v>27.12.2024</c:v>
                </c:pt>
                <c:pt idx="255">
                  <c:v>28.12.2024</c:v>
                </c:pt>
                <c:pt idx="256">
                  <c:v>30.12.2024</c:v>
                </c:pt>
              </c:strCache>
            </c:strRef>
          </c:cat>
          <c:val>
            <c:numRef>
              <c:f>Лист4!$J$2:$J$258</c:f>
              <c:numCache>
                <c:formatCode>0.0%</c:formatCode>
                <c:ptCount val="257"/>
                <c:pt idx="0">
                  <c:v>0</c:v>
                </c:pt>
                <c:pt idx="1">
                  <c:v>1.7926552112317085E-2</c:v>
                </c:pt>
                <c:pt idx="2">
                  <c:v>2.7537647883434824E-2</c:v>
                </c:pt>
                <c:pt idx="3">
                  <c:v>2.9645716955884582E-2</c:v>
                </c:pt>
                <c:pt idx="4">
                  <c:v>3.96178925681272E-2</c:v>
                </c:pt>
                <c:pt idx="5">
                  <c:v>5.6195705273889729E-2</c:v>
                </c:pt>
                <c:pt idx="6">
                  <c:v>6.5828041035661977E-2</c:v>
                </c:pt>
                <c:pt idx="7">
                  <c:v>6.7575030266986635E-2</c:v>
                </c:pt>
                <c:pt idx="8">
                  <c:v>7.226375820394626E-2</c:v>
                </c:pt>
                <c:pt idx="9">
                  <c:v>7.4525817208640488E-2</c:v>
                </c:pt>
                <c:pt idx="10">
                  <c:v>6.7782120175867266E-2</c:v>
                </c:pt>
                <c:pt idx="11">
                  <c:v>7.0341539049722845E-2</c:v>
                </c:pt>
                <c:pt idx="12">
                  <c:v>7.2741657993670383E-2</c:v>
                </c:pt>
                <c:pt idx="13">
                  <c:v>6.635904080202204E-2</c:v>
                </c:pt>
                <c:pt idx="14">
                  <c:v>7.3856757503026671E-2</c:v>
                </c:pt>
                <c:pt idx="15">
                  <c:v>8.3876723094241878E-2</c:v>
                </c:pt>
                <c:pt idx="16">
                  <c:v>9.130009982795606E-2</c:v>
                </c:pt>
                <c:pt idx="17">
                  <c:v>8.1338544211040587E-2</c:v>
                </c:pt>
                <c:pt idx="18">
                  <c:v>8.3021813470401939E-2</c:v>
                </c:pt>
                <c:pt idx="19">
                  <c:v>0.10022620590046927</c:v>
                </c:pt>
                <c:pt idx="20">
                  <c:v>9.8898706484568999E-2</c:v>
                </c:pt>
                <c:pt idx="21">
                  <c:v>9.6408317580340297E-2</c:v>
                </c:pt>
                <c:pt idx="22">
                  <c:v>9.5595887937809376E-2</c:v>
                </c:pt>
                <c:pt idx="23">
                  <c:v>9.2165629447122921E-2</c:v>
                </c:pt>
                <c:pt idx="24">
                  <c:v>0.10486183386079295</c:v>
                </c:pt>
                <c:pt idx="25">
                  <c:v>0.10745311272063041</c:v>
                </c:pt>
                <c:pt idx="26">
                  <c:v>0.10583887343089571</c:v>
                </c:pt>
                <c:pt idx="27">
                  <c:v>0.10246702491450899</c:v>
                </c:pt>
                <c:pt idx="28">
                  <c:v>9.7353497164461178E-2</c:v>
                </c:pt>
                <c:pt idx="29">
                  <c:v>9.9955396019625775E-2</c:v>
                </c:pt>
                <c:pt idx="30">
                  <c:v>0.10776109258511912</c:v>
                </c:pt>
                <c:pt idx="31">
                  <c:v>0.10698052292856985</c:v>
                </c:pt>
                <c:pt idx="32">
                  <c:v>0.10447420403135022</c:v>
                </c:pt>
                <c:pt idx="33">
                  <c:v>9.0025700388691954E-2</c:v>
                </c:pt>
                <c:pt idx="34">
                  <c:v>8.7875151334933399E-2</c:v>
                </c:pt>
                <c:pt idx="35">
                  <c:v>7.5895796605849553E-2</c:v>
                </c:pt>
                <c:pt idx="36">
                  <c:v>4.3021601070495574E-2</c:v>
                </c:pt>
                <c:pt idx="37">
                  <c:v>4.8347528727087363E-2</c:v>
                </c:pt>
                <c:pt idx="38">
                  <c:v>6.7144920456235102E-2</c:v>
                </c:pt>
                <c:pt idx="39">
                  <c:v>7.1185828678235419E-2</c:v>
                </c:pt>
                <c:pt idx="40">
                  <c:v>6.6205050869777571E-2</c:v>
                </c:pt>
                <c:pt idx="41">
                  <c:v>6.8743229752978863E-2</c:v>
                </c:pt>
                <c:pt idx="42">
                  <c:v>7.2789447972642751E-2</c:v>
                </c:pt>
                <c:pt idx="43">
                  <c:v>7.9984494806822237E-2</c:v>
                </c:pt>
                <c:pt idx="44">
                  <c:v>8.0271234680656889E-2</c:v>
                </c:pt>
                <c:pt idx="45">
                  <c:v>8.116862428580518E-2</c:v>
                </c:pt>
                <c:pt idx="46">
                  <c:v>7.9894224846541073E-2</c:v>
                </c:pt>
                <c:pt idx="47">
                  <c:v>7.8842845309148091E-2</c:v>
                </c:pt>
                <c:pt idx="48">
                  <c:v>7.7584375862874477E-2</c:v>
                </c:pt>
                <c:pt idx="49">
                  <c:v>7.8949045262420192E-2</c:v>
                </c:pt>
                <c:pt idx="50">
                  <c:v>6.6274080839404448E-2</c:v>
                </c:pt>
                <c:pt idx="51">
                  <c:v>6.419256175527277E-2</c:v>
                </c:pt>
                <c:pt idx="52">
                  <c:v>6.1038423143093823E-2</c:v>
                </c:pt>
                <c:pt idx="53">
                  <c:v>4.8113888829888873E-2</c:v>
                </c:pt>
                <c:pt idx="54">
                  <c:v>4.4545570399949108E-2</c:v>
                </c:pt>
                <c:pt idx="55">
                  <c:v>4.8374078715405222E-2</c:v>
                </c:pt>
                <c:pt idx="56">
                  <c:v>4.5910239799494601E-2</c:v>
                </c:pt>
                <c:pt idx="57">
                  <c:v>3.998428240691565E-2</c:v>
                </c:pt>
                <c:pt idx="58">
                  <c:v>5.0301607867292653E-2</c:v>
                </c:pt>
                <c:pt idx="59">
                  <c:v>4.9250228329899448E-2</c:v>
                </c:pt>
                <c:pt idx="60">
                  <c:v>5.4767315902381153E-2</c:v>
                </c:pt>
                <c:pt idx="61">
                  <c:v>5.2999086680401764E-2</c:v>
                </c:pt>
                <c:pt idx="62">
                  <c:v>6.6189120876786856E-2</c:v>
                </c:pt>
                <c:pt idx="63">
                  <c:v>7.6686986257726186E-2</c:v>
                </c:pt>
                <c:pt idx="64">
                  <c:v>7.5603746734351329E-2</c:v>
                </c:pt>
                <c:pt idx="65">
                  <c:v>8.1444744164312466E-2</c:v>
                </c:pt>
                <c:pt idx="66">
                  <c:v>7.743038593063023E-2</c:v>
                </c:pt>
                <c:pt idx="67">
                  <c:v>8.4460822837237881E-2</c:v>
                </c:pt>
                <c:pt idx="68">
                  <c:v>7.7313565982030985E-2</c:v>
                </c:pt>
                <c:pt idx="69">
                  <c:v>9.0280580276544731E-2</c:v>
                </c:pt>
                <c:pt idx="70">
                  <c:v>8.5363522440050188E-2</c:v>
                </c:pt>
                <c:pt idx="71">
                  <c:v>8.3807693124615001E-2</c:v>
                </c:pt>
                <c:pt idx="72">
                  <c:v>9.0100040355982181E-2</c:v>
                </c:pt>
                <c:pt idx="73">
                  <c:v>0.10472908391920299</c:v>
                </c:pt>
                <c:pt idx="74">
                  <c:v>0.10810624243325329</c:v>
                </c:pt>
                <c:pt idx="75">
                  <c:v>0.10353433444489268</c:v>
                </c:pt>
                <c:pt idx="76">
                  <c:v>0.10395913425798087</c:v>
                </c:pt>
                <c:pt idx="77">
                  <c:v>0.10803190246596284</c:v>
                </c:pt>
                <c:pt idx="78">
                  <c:v>9.7507487096705647E-2</c:v>
                </c:pt>
                <c:pt idx="79">
                  <c:v>8.8390221108302525E-2</c:v>
                </c:pt>
                <c:pt idx="80">
                  <c:v>9.0657590110660324E-2</c:v>
                </c:pt>
                <c:pt idx="81">
                  <c:v>9.620653766912346E-2</c:v>
                </c:pt>
                <c:pt idx="82">
                  <c:v>0.10030585586542329</c:v>
                </c:pt>
                <c:pt idx="83">
                  <c:v>0.10811155243091708</c:v>
                </c:pt>
                <c:pt idx="84">
                  <c:v>0.11497737940995312</c:v>
                </c:pt>
                <c:pt idx="85">
                  <c:v>0.11299675028142975</c:v>
                </c:pt>
                <c:pt idx="86">
                  <c:v>0.11660754869267875</c:v>
                </c:pt>
                <c:pt idx="87">
                  <c:v>0.13465092075359486</c:v>
                </c:pt>
                <c:pt idx="88">
                  <c:v>0.13574478027229664</c:v>
                </c:pt>
                <c:pt idx="89">
                  <c:v>0.1259903145642618</c:v>
                </c:pt>
                <c:pt idx="90">
                  <c:v>0.1359465601835137</c:v>
                </c:pt>
                <c:pt idx="91">
                  <c:v>0.13695545973959766</c:v>
                </c:pt>
                <c:pt idx="92">
                  <c:v>0.13348272126760263</c:v>
                </c:pt>
                <c:pt idx="93">
                  <c:v>0.12271404600581981</c:v>
                </c:pt>
                <c:pt idx="94">
                  <c:v>0.12032454705719942</c:v>
                </c:pt>
                <c:pt idx="95">
                  <c:v>0.12025020708990874</c:v>
                </c:pt>
                <c:pt idx="96">
                  <c:v>0.10312015462713209</c:v>
                </c:pt>
                <c:pt idx="97">
                  <c:v>8.3271383360591367E-2</c:v>
                </c:pt>
                <c:pt idx="98">
                  <c:v>0.10560523353369722</c:v>
                </c:pt>
                <c:pt idx="99">
                  <c:v>0.10213780505936576</c:v>
                </c:pt>
                <c:pt idx="100">
                  <c:v>8.2894373526475551E-2</c:v>
                </c:pt>
                <c:pt idx="101">
                  <c:v>4.2102971474692552E-2</c:v>
                </c:pt>
                <c:pt idx="102">
                  <c:v>4.8692678575221526E-2</c:v>
                </c:pt>
                <c:pt idx="103">
                  <c:v>3.8407213100826176E-2</c:v>
                </c:pt>
                <c:pt idx="104">
                  <c:v>4.28038911662878E-2</c:v>
                </c:pt>
                <c:pt idx="105">
                  <c:v>2.6921688154457613E-3</c:v>
                </c:pt>
                <c:pt idx="106">
                  <c:v>-1.6753042628661174E-2</c:v>
                </c:pt>
                <c:pt idx="107">
                  <c:v>2.5912788598372316E-3</c:v>
                </c:pt>
                <c:pt idx="108">
                  <c:v>1.1209405067861722E-2</c:v>
                </c:pt>
                <c:pt idx="109">
                  <c:v>5.7347974766890353E-3</c:v>
                </c:pt>
                <c:pt idx="110">
                  <c:v>2.0416941016546009E-2</c:v>
                </c:pt>
                <c:pt idx="111">
                  <c:v>1.433699369172281E-2</c:v>
                </c:pt>
                <c:pt idx="112">
                  <c:v>4.9701578131304824E-3</c:v>
                </c:pt>
                <c:pt idx="113">
                  <c:v>4.6143879696693979E-3</c:v>
                </c:pt>
                <c:pt idx="114">
                  <c:v>1.8871731696437966E-2</c:v>
                </c:pt>
                <c:pt idx="115">
                  <c:v>1.6014952953420813E-2</c:v>
                </c:pt>
                <c:pt idx="116">
                  <c:v>-6.3719971963216437E-4</c:v>
                </c:pt>
                <c:pt idx="117">
                  <c:v>-3.2762685584418416E-2</c:v>
                </c:pt>
                <c:pt idx="118">
                  <c:v>7.8481765468023656E-3</c:v>
                </c:pt>
                <c:pt idx="119">
                  <c:v>2.0921390794588213E-3</c:v>
                </c:pt>
                <c:pt idx="120">
                  <c:v>3.2603385654510486E-3</c:v>
                </c:pt>
                <c:pt idx="121">
                  <c:v>7.2269068201609166E-3</c:v>
                </c:pt>
                <c:pt idx="122">
                  <c:v>6.6428070771649139E-3</c:v>
                </c:pt>
                <c:pt idx="123">
                  <c:v>2.3894989486206164E-4</c:v>
                </c:pt>
                <c:pt idx="124">
                  <c:v>-4.0780782056456522E-3</c:v>
                </c:pt>
                <c:pt idx="125">
                  <c:v>-5.2144177056562269E-3</c:v>
                </c:pt>
                <c:pt idx="126">
                  <c:v>-1.1681994859924494E-4</c:v>
                </c:pt>
                <c:pt idx="127">
                  <c:v>-7.3277967757694462E-3</c:v>
                </c:pt>
                <c:pt idx="128">
                  <c:v>-2.8350077525965967E-2</c:v>
                </c:pt>
                <c:pt idx="129">
                  <c:v>-3.4594634778360778E-2</c:v>
                </c:pt>
                <c:pt idx="130">
                  <c:v>-4.5331450054162059E-2</c:v>
                </c:pt>
                <c:pt idx="131">
                  <c:v>-8.550158237930372E-2</c:v>
                </c:pt>
                <c:pt idx="132">
                  <c:v>-0.11642169877445252</c:v>
                </c:pt>
                <c:pt idx="133">
                  <c:v>-9.2638219239183583E-2</c:v>
                </c:pt>
                <c:pt idx="134">
                  <c:v>-0.10218028504067467</c:v>
                </c:pt>
                <c:pt idx="135">
                  <c:v>-0.11705889849408468</c:v>
                </c:pt>
                <c:pt idx="136">
                  <c:v>-0.10985323166457817</c:v>
                </c:pt>
                <c:pt idx="137">
                  <c:v>-0.1087965421295215</c:v>
                </c:pt>
                <c:pt idx="138">
                  <c:v>-9.4698498332660641E-2</c:v>
                </c:pt>
                <c:pt idx="139">
                  <c:v>-8.6611371890996325E-2</c:v>
                </c:pt>
                <c:pt idx="140">
                  <c:v>-8.1821753998428171E-2</c:v>
                </c:pt>
                <c:pt idx="141">
                  <c:v>-7.5455066799770543E-2</c:v>
                </c:pt>
                <c:pt idx="142">
                  <c:v>-6.4527091608079679E-2</c:v>
                </c:pt>
                <c:pt idx="143">
                  <c:v>-6.0571143348696843E-2</c:v>
                </c:pt>
                <c:pt idx="144">
                  <c:v>-7.6686986257726075E-2</c:v>
                </c:pt>
                <c:pt idx="145">
                  <c:v>-0.10239268494721854</c:v>
                </c:pt>
                <c:pt idx="146">
                  <c:v>-8.9271680720460544E-2</c:v>
                </c:pt>
                <c:pt idx="147">
                  <c:v>-7.9713684925978745E-2</c:v>
                </c:pt>
                <c:pt idx="148">
                  <c:v>-7.7510035895584251E-2</c:v>
                </c:pt>
                <c:pt idx="149">
                  <c:v>-8.7168921645674469E-2</c:v>
                </c:pt>
                <c:pt idx="150">
                  <c:v>-0.10672033304305351</c:v>
                </c:pt>
                <c:pt idx="151">
                  <c:v>-0.10144750536309766</c:v>
                </c:pt>
                <c:pt idx="152">
                  <c:v>-8.8613241010173982E-2</c:v>
                </c:pt>
                <c:pt idx="153">
                  <c:v>-9.3583398823304575E-2</c:v>
                </c:pt>
                <c:pt idx="154">
                  <c:v>-9.304708905928083E-2</c:v>
                </c:pt>
                <c:pt idx="155">
                  <c:v>-8.2931543510120886E-2</c:v>
                </c:pt>
                <c:pt idx="156">
                  <c:v>-5.917461396316992E-2</c:v>
                </c:pt>
                <c:pt idx="157">
                  <c:v>-6.379962192816635E-2</c:v>
                </c:pt>
                <c:pt idx="158">
                  <c:v>-6.7070580488944542E-2</c:v>
                </c:pt>
                <c:pt idx="159">
                  <c:v>-7.2093838278711186E-2</c:v>
                </c:pt>
                <c:pt idx="160">
                  <c:v>-8.0812854442344095E-2</c:v>
                </c:pt>
                <c:pt idx="161">
                  <c:v>-8.2326203776470264E-2</c:v>
                </c:pt>
                <c:pt idx="162">
                  <c:v>-7.9166755166627634E-2</c:v>
                </c:pt>
                <c:pt idx="163">
                  <c:v>-0.1024457849238547</c:v>
                </c:pt>
                <c:pt idx="164">
                  <c:v>-0.14103884794290689</c:v>
                </c:pt>
                <c:pt idx="165">
                  <c:v>-0.11327287015993714</c:v>
                </c:pt>
                <c:pt idx="166">
                  <c:v>-0.12337248571610626</c:v>
                </c:pt>
                <c:pt idx="167">
                  <c:v>-0.12872496336101613</c:v>
                </c:pt>
                <c:pt idx="168">
                  <c:v>-0.13894670886344818</c:v>
                </c:pt>
                <c:pt idx="169">
                  <c:v>-0.16141861897580767</c:v>
                </c:pt>
                <c:pt idx="170">
                  <c:v>-0.2087678681421381</c:v>
                </c:pt>
                <c:pt idx="171">
                  <c:v>-0.21460886557209924</c:v>
                </c:pt>
                <c:pt idx="172">
                  <c:v>-0.18531891845967585</c:v>
                </c:pt>
                <c:pt idx="173">
                  <c:v>-0.17865487139185665</c:v>
                </c:pt>
                <c:pt idx="174">
                  <c:v>-0.18490473864191503</c:v>
                </c:pt>
                <c:pt idx="175">
                  <c:v>-0.15855653023512661</c:v>
                </c:pt>
                <c:pt idx="176">
                  <c:v>-0.16569847709267005</c:v>
                </c:pt>
                <c:pt idx="177">
                  <c:v>-0.17032348505766659</c:v>
                </c:pt>
                <c:pt idx="178">
                  <c:v>-0.18498438860686905</c:v>
                </c:pt>
                <c:pt idx="179">
                  <c:v>-0.17161381448992163</c:v>
                </c:pt>
                <c:pt idx="180">
                  <c:v>-0.15041099381916267</c:v>
                </c:pt>
                <c:pt idx="181">
                  <c:v>-0.14350799685648141</c:v>
                </c:pt>
                <c:pt idx="182">
                  <c:v>-0.14698604532614001</c:v>
                </c:pt>
                <c:pt idx="183">
                  <c:v>-0.1504269238121535</c:v>
                </c:pt>
                <c:pt idx="184">
                  <c:v>-0.14032199825832081</c:v>
                </c:pt>
                <c:pt idx="185">
                  <c:v>-0.1292134831460674</c:v>
                </c:pt>
                <c:pt idx="186">
                  <c:v>-0.12557613474650076</c:v>
                </c:pt>
                <c:pt idx="187">
                  <c:v>-0.13740149954334024</c:v>
                </c:pt>
                <c:pt idx="188">
                  <c:v>-0.13276056158535288</c:v>
                </c:pt>
                <c:pt idx="189">
                  <c:v>-0.12656379431193043</c:v>
                </c:pt>
                <c:pt idx="190">
                  <c:v>-0.12866655338671651</c:v>
                </c:pt>
                <c:pt idx="191">
                  <c:v>-0.13993436842887785</c:v>
                </c:pt>
                <c:pt idx="192">
                  <c:v>-0.1530288226673181</c:v>
                </c:pt>
                <c:pt idx="193">
                  <c:v>-0.14454344640088357</c:v>
                </c:pt>
                <c:pt idx="194">
                  <c:v>-0.13679084981202605</c:v>
                </c:pt>
                <c:pt idx="195">
                  <c:v>-0.14419829655274952</c:v>
                </c:pt>
                <c:pt idx="196">
                  <c:v>-0.13374822115078278</c:v>
                </c:pt>
                <c:pt idx="197">
                  <c:v>-0.14496824621397164</c:v>
                </c:pt>
                <c:pt idx="198">
                  <c:v>-0.14232917737516193</c:v>
                </c:pt>
                <c:pt idx="199">
                  <c:v>-0.14744270512520974</c:v>
                </c:pt>
                <c:pt idx="200">
                  <c:v>-0.1401786283214036</c:v>
                </c:pt>
                <c:pt idx="201">
                  <c:v>-0.13142775217178904</c:v>
                </c:pt>
                <c:pt idx="202">
                  <c:v>-0.13546335039612578</c:v>
                </c:pt>
                <c:pt idx="203">
                  <c:v>-0.1437203967630255</c:v>
                </c:pt>
                <c:pt idx="204">
                  <c:v>-0.14654531552006123</c:v>
                </c:pt>
                <c:pt idx="205">
                  <c:v>-0.14678426541492329</c:v>
                </c:pt>
                <c:pt idx="206">
                  <c:v>-0.15927337991971291</c:v>
                </c:pt>
                <c:pt idx="207">
                  <c:v>-0.16393024787069099</c:v>
                </c:pt>
                <c:pt idx="208">
                  <c:v>-0.16726492640343238</c:v>
                </c:pt>
                <c:pt idx="209">
                  <c:v>-0.17876638134279221</c:v>
                </c:pt>
                <c:pt idx="210">
                  <c:v>-0.19959750217709904</c:v>
                </c:pt>
                <c:pt idx="211">
                  <c:v>-0.18372060916293198</c:v>
                </c:pt>
                <c:pt idx="212">
                  <c:v>-0.17850088145961218</c:v>
                </c:pt>
                <c:pt idx="213">
                  <c:v>-0.19856205263269688</c:v>
                </c:pt>
                <c:pt idx="214">
                  <c:v>-0.19128735583356349</c:v>
                </c:pt>
                <c:pt idx="215">
                  <c:v>-0.19155285571674352</c:v>
                </c:pt>
                <c:pt idx="216">
                  <c:v>-0.18912087678681422</c:v>
                </c:pt>
                <c:pt idx="217">
                  <c:v>-0.17631316242220851</c:v>
                </c:pt>
                <c:pt idx="218">
                  <c:v>-0.17104033474225266</c:v>
                </c:pt>
                <c:pt idx="219">
                  <c:v>-0.15229604298974109</c:v>
                </c:pt>
                <c:pt idx="220">
                  <c:v>-0.12727533399885305</c:v>
                </c:pt>
                <c:pt idx="221">
                  <c:v>-0.13266498162740803</c:v>
                </c:pt>
                <c:pt idx="222">
                  <c:v>-0.12795501369979401</c:v>
                </c:pt>
                <c:pt idx="223">
                  <c:v>-0.14210084747562701</c:v>
                </c:pt>
                <c:pt idx="224">
                  <c:v>-0.129192243155413</c:v>
                </c:pt>
                <c:pt idx="225">
                  <c:v>-0.13507041056901936</c:v>
                </c:pt>
                <c:pt idx="226">
                  <c:v>-0.16622416686136654</c:v>
                </c:pt>
                <c:pt idx="227">
                  <c:v>-0.17238376415114387</c:v>
                </c:pt>
                <c:pt idx="228">
                  <c:v>-0.18347103927274266</c:v>
                </c:pt>
                <c:pt idx="229">
                  <c:v>-0.17910091119559901</c:v>
                </c:pt>
                <c:pt idx="230">
                  <c:v>-0.1962946836303392</c:v>
                </c:pt>
                <c:pt idx="231">
                  <c:v>-0.23142562817272361</c:v>
                </c:pt>
                <c:pt idx="232">
                  <c:v>-0.23032114865869457</c:v>
                </c:pt>
                <c:pt idx="233">
                  <c:v>-0.21949937342027581</c:v>
                </c:pt>
                <c:pt idx="234">
                  <c:v>-0.20653235912576196</c:v>
                </c:pt>
                <c:pt idx="235">
                  <c:v>-0.20113209150187972</c:v>
                </c:pt>
                <c:pt idx="236">
                  <c:v>-0.22521824090397402</c:v>
                </c:pt>
                <c:pt idx="237">
                  <c:v>-0.23640640598118134</c:v>
                </c:pt>
                <c:pt idx="238">
                  <c:v>-0.22868566937830548</c:v>
                </c:pt>
                <c:pt idx="239">
                  <c:v>-0.22261634204880953</c:v>
                </c:pt>
                <c:pt idx="240">
                  <c:v>-0.20763152864212742</c:v>
                </c:pt>
                <c:pt idx="241">
                  <c:v>-0.22602536054884137</c:v>
                </c:pt>
                <c:pt idx="242">
                  <c:v>-0.23579044625220358</c:v>
                </c:pt>
                <c:pt idx="243">
                  <c:v>-0.24261379324993104</c:v>
                </c:pt>
                <c:pt idx="244">
                  <c:v>-0.23940124466345225</c:v>
                </c:pt>
                <c:pt idx="245">
                  <c:v>-0.25509228775939341</c:v>
                </c:pt>
                <c:pt idx="246">
                  <c:v>-0.25665342707249206</c:v>
                </c:pt>
                <c:pt idx="247">
                  <c:v>-0.24358021282470632</c:v>
                </c:pt>
                <c:pt idx="248">
                  <c:v>-0.22635989040164817</c:v>
                </c:pt>
                <c:pt idx="249">
                  <c:v>-0.18270639960918411</c:v>
                </c:pt>
                <c:pt idx="250">
                  <c:v>-0.18198954992459804</c:v>
                </c:pt>
                <c:pt idx="251">
                  <c:v>-0.18401265903442998</c:v>
                </c:pt>
                <c:pt idx="252">
                  <c:v>-0.17937172107644273</c:v>
                </c:pt>
                <c:pt idx="253">
                  <c:v>-0.17685478218389583</c:v>
                </c:pt>
                <c:pt idx="254">
                  <c:v>-0.17992396083345719</c:v>
                </c:pt>
                <c:pt idx="255">
                  <c:v>-0.17468299313948299</c:v>
                </c:pt>
                <c:pt idx="256">
                  <c:v>-0.14907818440559883</c:v>
                </c:pt>
              </c:numCache>
            </c:numRef>
          </c:val>
          <c:smooth val="0"/>
          <c:extLst>
            <c:ext xmlns:c16="http://schemas.microsoft.com/office/drawing/2014/chart" uri="{C3380CC4-5D6E-409C-BE32-E72D297353CC}">
              <c16:uniqueId val="{00000001-6733-461D-87D8-73827964C059}"/>
            </c:ext>
          </c:extLst>
        </c:ser>
        <c:ser>
          <c:idx val="2"/>
          <c:order val="2"/>
          <c:tx>
            <c:strRef>
              <c:f>Лист4!$K$1</c:f>
              <c:strCache>
                <c:ptCount val="1"/>
                <c:pt idx="0">
                  <c:v>IMOEX (-7,0%)</c:v>
                </c:pt>
              </c:strCache>
            </c:strRef>
          </c:tx>
          <c:spPr>
            <a:prstGeom prst="rect">
              <a:avLst/>
            </a:prstGeom>
            <a:ln w="28575" cap="rnd">
              <a:solidFill>
                <a:schemeClr val="accent3"/>
              </a:solidFill>
              <a:round/>
            </a:ln>
          </c:spPr>
          <c:marker>
            <c:symbol val="none"/>
          </c:marker>
          <c:cat>
            <c:strRef>
              <c:f>Лист4!$H$2:$H$258</c:f>
              <c:strCache>
                <c:ptCount val="257"/>
                <c:pt idx="0">
                  <c:v>29.12.2023</c:v>
                </c:pt>
                <c:pt idx="1">
                  <c:v>03.01.2024</c:v>
                </c:pt>
                <c:pt idx="2">
                  <c:v>04.01.2024</c:v>
                </c:pt>
                <c:pt idx="3">
                  <c:v>05.01.2024</c:v>
                </c:pt>
                <c:pt idx="4">
                  <c:v>08.01.2024</c:v>
                </c:pt>
                <c:pt idx="5">
                  <c:v>09.01.2024</c:v>
                </c:pt>
                <c:pt idx="6">
                  <c:v>10.01.2024</c:v>
                </c:pt>
                <c:pt idx="7">
                  <c:v>11.01.2024</c:v>
                </c:pt>
                <c:pt idx="8">
                  <c:v>12.01.2024</c:v>
                </c:pt>
                <c:pt idx="9">
                  <c:v>15.01.2024</c:v>
                </c:pt>
                <c:pt idx="10">
                  <c:v>16.01.2024</c:v>
                </c:pt>
                <c:pt idx="11">
                  <c:v>17.01.2024</c:v>
                </c:pt>
                <c:pt idx="12">
                  <c:v>18.01.2024</c:v>
                </c:pt>
                <c:pt idx="13">
                  <c:v>19.01.2024</c:v>
                </c:pt>
                <c:pt idx="14">
                  <c:v>22.01.2024</c:v>
                </c:pt>
                <c:pt idx="15">
                  <c:v>23.01.2024</c:v>
                </c:pt>
                <c:pt idx="16">
                  <c:v>24.01.2024</c:v>
                </c:pt>
                <c:pt idx="17">
                  <c:v>25.01.2024</c:v>
                </c:pt>
                <c:pt idx="18">
                  <c:v>26.01.2024</c:v>
                </c:pt>
                <c:pt idx="19">
                  <c:v>29.01.2024</c:v>
                </c:pt>
                <c:pt idx="20">
                  <c:v>30.01.2024</c:v>
                </c:pt>
                <c:pt idx="21">
                  <c:v>31.01.2024</c:v>
                </c:pt>
                <c:pt idx="22">
                  <c:v>01.02.2024</c:v>
                </c:pt>
                <c:pt idx="23">
                  <c:v>02.02.2024</c:v>
                </c:pt>
                <c:pt idx="24">
                  <c:v>05.02.2024</c:v>
                </c:pt>
                <c:pt idx="25">
                  <c:v>06.02.2024</c:v>
                </c:pt>
                <c:pt idx="26">
                  <c:v>07.02.2024</c:v>
                </c:pt>
                <c:pt idx="27">
                  <c:v>08.02.2024</c:v>
                </c:pt>
                <c:pt idx="28">
                  <c:v>09.02.2024</c:v>
                </c:pt>
                <c:pt idx="29">
                  <c:v>12.02.2024</c:v>
                </c:pt>
                <c:pt idx="30">
                  <c:v>13.02.2024</c:v>
                </c:pt>
                <c:pt idx="31">
                  <c:v>14.02.2024</c:v>
                </c:pt>
                <c:pt idx="32">
                  <c:v>15.02.2024</c:v>
                </c:pt>
                <c:pt idx="33">
                  <c:v>16.02.2024</c:v>
                </c:pt>
                <c:pt idx="34">
                  <c:v>19.02.2024</c:v>
                </c:pt>
                <c:pt idx="35">
                  <c:v>20.02.2024</c:v>
                </c:pt>
                <c:pt idx="36">
                  <c:v>21.02.2024</c:v>
                </c:pt>
                <c:pt idx="37">
                  <c:v>22.02.2024</c:v>
                </c:pt>
                <c:pt idx="38">
                  <c:v>26.02.2024</c:v>
                </c:pt>
                <c:pt idx="39">
                  <c:v>27.02.2024</c:v>
                </c:pt>
                <c:pt idx="40">
                  <c:v>28.02.2024</c:v>
                </c:pt>
                <c:pt idx="41">
                  <c:v>29.02.2024</c:v>
                </c:pt>
                <c:pt idx="42">
                  <c:v>01.03.2024</c:v>
                </c:pt>
                <c:pt idx="43">
                  <c:v>04.03.2024</c:v>
                </c:pt>
                <c:pt idx="44">
                  <c:v>05.03.2024</c:v>
                </c:pt>
                <c:pt idx="45">
                  <c:v>06.03.2024</c:v>
                </c:pt>
                <c:pt idx="46">
                  <c:v>07.03.2024</c:v>
                </c:pt>
                <c:pt idx="47">
                  <c:v>11.03.2024</c:v>
                </c:pt>
                <c:pt idx="48">
                  <c:v>12.03.2024</c:v>
                </c:pt>
                <c:pt idx="49">
                  <c:v>13.03.2024</c:v>
                </c:pt>
                <c:pt idx="50">
                  <c:v>14.03.2024</c:v>
                </c:pt>
                <c:pt idx="51">
                  <c:v>15.03.2024</c:v>
                </c:pt>
                <c:pt idx="52">
                  <c:v>18.03.2024</c:v>
                </c:pt>
                <c:pt idx="53">
                  <c:v>19.03.2024</c:v>
                </c:pt>
                <c:pt idx="54">
                  <c:v>20.03.2024</c:v>
                </c:pt>
                <c:pt idx="55">
                  <c:v>21.03.2024</c:v>
                </c:pt>
                <c:pt idx="56">
                  <c:v>22.03.2024</c:v>
                </c:pt>
                <c:pt idx="57">
                  <c:v>25.03.2024</c:v>
                </c:pt>
                <c:pt idx="58">
                  <c:v>26.03.2024</c:v>
                </c:pt>
                <c:pt idx="59">
                  <c:v>27.03.2024</c:v>
                </c:pt>
                <c:pt idx="60">
                  <c:v>28.03.2024</c:v>
                </c:pt>
                <c:pt idx="61">
                  <c:v>29.03.2024</c:v>
                </c:pt>
                <c:pt idx="62">
                  <c:v>01.04.2024</c:v>
                </c:pt>
                <c:pt idx="63">
                  <c:v>02.04.2024</c:v>
                </c:pt>
                <c:pt idx="64">
                  <c:v>03.04.2024</c:v>
                </c:pt>
                <c:pt idx="65">
                  <c:v>04.04.2024</c:v>
                </c:pt>
                <c:pt idx="66">
                  <c:v>05.04.2024</c:v>
                </c:pt>
                <c:pt idx="67">
                  <c:v>08.04.2024</c:v>
                </c:pt>
                <c:pt idx="68">
                  <c:v>09.04.2024</c:v>
                </c:pt>
                <c:pt idx="69">
                  <c:v>10.04.2024</c:v>
                </c:pt>
                <c:pt idx="70">
                  <c:v>11.04.2024</c:v>
                </c:pt>
                <c:pt idx="71">
                  <c:v>12.04.2024</c:v>
                </c:pt>
                <c:pt idx="72">
                  <c:v>15.04.2024</c:v>
                </c:pt>
                <c:pt idx="73">
                  <c:v>16.04.2024</c:v>
                </c:pt>
                <c:pt idx="74">
                  <c:v>17.04.2024</c:v>
                </c:pt>
                <c:pt idx="75">
                  <c:v>18.04.2024</c:v>
                </c:pt>
                <c:pt idx="76">
                  <c:v>19.04.2024</c:v>
                </c:pt>
                <c:pt idx="77">
                  <c:v>22.04.2024</c:v>
                </c:pt>
                <c:pt idx="78">
                  <c:v>23.04.2024</c:v>
                </c:pt>
                <c:pt idx="79">
                  <c:v>24.04.2024</c:v>
                </c:pt>
                <c:pt idx="80">
                  <c:v>25.04.2024</c:v>
                </c:pt>
                <c:pt idx="81">
                  <c:v>26.04.2024</c:v>
                </c:pt>
                <c:pt idx="82">
                  <c:v>27.04.2024</c:v>
                </c:pt>
                <c:pt idx="83">
                  <c:v>29.04.2024</c:v>
                </c:pt>
                <c:pt idx="84">
                  <c:v>30.04.2024</c:v>
                </c:pt>
                <c:pt idx="85">
                  <c:v>02.05.2024</c:v>
                </c:pt>
                <c:pt idx="86">
                  <c:v>03.05.2024</c:v>
                </c:pt>
                <c:pt idx="87">
                  <c:v>06.05.2024</c:v>
                </c:pt>
                <c:pt idx="88">
                  <c:v>07.05.2024</c:v>
                </c:pt>
                <c:pt idx="89">
                  <c:v>08.05.2024</c:v>
                </c:pt>
                <c:pt idx="90">
                  <c:v>10.05.2024</c:v>
                </c:pt>
                <c:pt idx="91">
                  <c:v>13.05.2024</c:v>
                </c:pt>
                <c:pt idx="92">
                  <c:v>14.05.2024</c:v>
                </c:pt>
                <c:pt idx="93">
                  <c:v>15.05.2024</c:v>
                </c:pt>
                <c:pt idx="94">
                  <c:v>16.05.2024</c:v>
                </c:pt>
                <c:pt idx="95">
                  <c:v>17.05.2024</c:v>
                </c:pt>
                <c:pt idx="96">
                  <c:v>20.05.2024</c:v>
                </c:pt>
                <c:pt idx="97">
                  <c:v>21.05.2024</c:v>
                </c:pt>
                <c:pt idx="98">
                  <c:v>22.05.2024</c:v>
                </c:pt>
                <c:pt idx="99">
                  <c:v>23.05.2024</c:v>
                </c:pt>
                <c:pt idx="100">
                  <c:v>24.05.2024</c:v>
                </c:pt>
                <c:pt idx="101">
                  <c:v>27.05.2024</c:v>
                </c:pt>
                <c:pt idx="102">
                  <c:v>28.05.2024</c:v>
                </c:pt>
                <c:pt idx="103">
                  <c:v>29.05.2024</c:v>
                </c:pt>
                <c:pt idx="104">
                  <c:v>30.05.2024</c:v>
                </c:pt>
                <c:pt idx="105">
                  <c:v>31.05.2024</c:v>
                </c:pt>
                <c:pt idx="106">
                  <c:v>03.06.2024</c:v>
                </c:pt>
                <c:pt idx="107">
                  <c:v>04.06.2024</c:v>
                </c:pt>
                <c:pt idx="108">
                  <c:v>05.06.2024</c:v>
                </c:pt>
                <c:pt idx="109">
                  <c:v>06.06.2024</c:v>
                </c:pt>
                <c:pt idx="110">
                  <c:v>07.06.2024</c:v>
                </c:pt>
                <c:pt idx="111">
                  <c:v>10.06.2024</c:v>
                </c:pt>
                <c:pt idx="112">
                  <c:v>11.06.2024</c:v>
                </c:pt>
                <c:pt idx="113">
                  <c:v>13.06.2024</c:v>
                </c:pt>
                <c:pt idx="114">
                  <c:v>14.06.2024</c:v>
                </c:pt>
                <c:pt idx="115">
                  <c:v>17.06.2024</c:v>
                </c:pt>
                <c:pt idx="116">
                  <c:v>18.06.2024</c:v>
                </c:pt>
                <c:pt idx="117">
                  <c:v>19.06.2024</c:v>
                </c:pt>
                <c:pt idx="118">
                  <c:v>20.06.2024</c:v>
                </c:pt>
                <c:pt idx="119">
                  <c:v>21.06.2024</c:v>
                </c:pt>
                <c:pt idx="120">
                  <c:v>24.06.2024</c:v>
                </c:pt>
                <c:pt idx="121">
                  <c:v>25.06.2024</c:v>
                </c:pt>
                <c:pt idx="122">
                  <c:v>26.06.2024</c:v>
                </c:pt>
                <c:pt idx="123">
                  <c:v>27.06.2024</c:v>
                </c:pt>
                <c:pt idx="124">
                  <c:v>28.06.2024</c:v>
                </c:pt>
                <c:pt idx="125">
                  <c:v>01.07.2024</c:v>
                </c:pt>
                <c:pt idx="126">
                  <c:v>02.07.2024</c:v>
                </c:pt>
                <c:pt idx="127">
                  <c:v>03.07.2024</c:v>
                </c:pt>
                <c:pt idx="128">
                  <c:v>04.07.2024</c:v>
                </c:pt>
                <c:pt idx="129">
                  <c:v>05.07.2024</c:v>
                </c:pt>
                <c:pt idx="130">
                  <c:v>08.07.2024</c:v>
                </c:pt>
                <c:pt idx="131">
                  <c:v>09.07.2024</c:v>
                </c:pt>
                <c:pt idx="132">
                  <c:v>10.07.2024</c:v>
                </c:pt>
                <c:pt idx="133">
                  <c:v>11.07.2024</c:v>
                </c:pt>
                <c:pt idx="134">
                  <c:v>12.07.2024</c:v>
                </c:pt>
                <c:pt idx="135">
                  <c:v>15.07.2024</c:v>
                </c:pt>
                <c:pt idx="136">
                  <c:v>16.07.2024</c:v>
                </c:pt>
                <c:pt idx="137">
                  <c:v>17.07.2024</c:v>
                </c:pt>
                <c:pt idx="138">
                  <c:v>18.07.2024</c:v>
                </c:pt>
                <c:pt idx="139">
                  <c:v>19.07.2024</c:v>
                </c:pt>
                <c:pt idx="140">
                  <c:v>22.07.2024</c:v>
                </c:pt>
                <c:pt idx="141">
                  <c:v>23.07.2024</c:v>
                </c:pt>
                <c:pt idx="142">
                  <c:v>24.07.2024</c:v>
                </c:pt>
                <c:pt idx="143">
                  <c:v>25.07.2024</c:v>
                </c:pt>
                <c:pt idx="144">
                  <c:v>26.07.2024</c:v>
                </c:pt>
                <c:pt idx="145">
                  <c:v>29.07.2024</c:v>
                </c:pt>
                <c:pt idx="146">
                  <c:v>30.07.2024</c:v>
                </c:pt>
                <c:pt idx="147">
                  <c:v>31.07.2024</c:v>
                </c:pt>
                <c:pt idx="148">
                  <c:v>01.08.2024</c:v>
                </c:pt>
                <c:pt idx="149">
                  <c:v>02.08.2024</c:v>
                </c:pt>
                <c:pt idx="150">
                  <c:v>05.08.2024</c:v>
                </c:pt>
                <c:pt idx="151">
                  <c:v>06.08.2024</c:v>
                </c:pt>
                <c:pt idx="152">
                  <c:v>07.08.2024</c:v>
                </c:pt>
                <c:pt idx="153">
                  <c:v>08.08.2024</c:v>
                </c:pt>
                <c:pt idx="154">
                  <c:v>09.08.2024</c:v>
                </c:pt>
                <c:pt idx="155">
                  <c:v>12.08.2024</c:v>
                </c:pt>
                <c:pt idx="156">
                  <c:v>13.08.2024</c:v>
                </c:pt>
                <c:pt idx="157">
                  <c:v>14.08.2024</c:v>
                </c:pt>
                <c:pt idx="158">
                  <c:v>15.08.2024</c:v>
                </c:pt>
                <c:pt idx="159">
                  <c:v>16.08.2024</c:v>
                </c:pt>
                <c:pt idx="160">
                  <c:v>19.08.2024</c:v>
                </c:pt>
                <c:pt idx="161">
                  <c:v>20.08.2024</c:v>
                </c:pt>
                <c:pt idx="162">
                  <c:v>21.08.2024</c:v>
                </c:pt>
                <c:pt idx="163">
                  <c:v>22.08.2024</c:v>
                </c:pt>
                <c:pt idx="164">
                  <c:v>23.08.2024</c:v>
                </c:pt>
                <c:pt idx="165">
                  <c:v>26.08.2024</c:v>
                </c:pt>
                <c:pt idx="166">
                  <c:v>27.08.2024</c:v>
                </c:pt>
                <c:pt idx="167">
                  <c:v>28.08.2024</c:v>
                </c:pt>
                <c:pt idx="168">
                  <c:v>29.08.2024</c:v>
                </c:pt>
                <c:pt idx="169">
                  <c:v>30.08.2024</c:v>
                </c:pt>
                <c:pt idx="170">
                  <c:v>02.09.2024</c:v>
                </c:pt>
                <c:pt idx="171">
                  <c:v>03.09.2024</c:v>
                </c:pt>
                <c:pt idx="172">
                  <c:v>04.09.2024</c:v>
                </c:pt>
                <c:pt idx="173">
                  <c:v>05.09.2024</c:v>
                </c:pt>
                <c:pt idx="174">
                  <c:v>06.09.2024</c:v>
                </c:pt>
                <c:pt idx="175">
                  <c:v>09.09.2024</c:v>
                </c:pt>
                <c:pt idx="176">
                  <c:v>10.09.2024</c:v>
                </c:pt>
                <c:pt idx="177">
                  <c:v>11.09.2024</c:v>
                </c:pt>
                <c:pt idx="178">
                  <c:v>12.09.2024</c:v>
                </c:pt>
                <c:pt idx="179">
                  <c:v>13.09.2024</c:v>
                </c:pt>
                <c:pt idx="180">
                  <c:v>16.09.2024</c:v>
                </c:pt>
                <c:pt idx="181">
                  <c:v>17.09.2024</c:v>
                </c:pt>
                <c:pt idx="182">
                  <c:v>18.09.2024</c:v>
                </c:pt>
                <c:pt idx="183">
                  <c:v>19.09.2024</c:v>
                </c:pt>
                <c:pt idx="184">
                  <c:v>20.09.2024</c:v>
                </c:pt>
                <c:pt idx="185">
                  <c:v>23.09.2024</c:v>
                </c:pt>
                <c:pt idx="186">
                  <c:v>24.09.2024</c:v>
                </c:pt>
                <c:pt idx="187">
                  <c:v>25.09.2024</c:v>
                </c:pt>
                <c:pt idx="188">
                  <c:v>26.09.2024</c:v>
                </c:pt>
                <c:pt idx="189">
                  <c:v>27.09.2024</c:v>
                </c:pt>
                <c:pt idx="190">
                  <c:v>30.09.2024</c:v>
                </c:pt>
                <c:pt idx="191">
                  <c:v>01.10.2024</c:v>
                </c:pt>
                <c:pt idx="192">
                  <c:v>02.10.2024</c:v>
                </c:pt>
                <c:pt idx="193">
                  <c:v>03.10.2024</c:v>
                </c:pt>
                <c:pt idx="194">
                  <c:v>04.10.2024</c:v>
                </c:pt>
                <c:pt idx="195">
                  <c:v>07.10.2024</c:v>
                </c:pt>
                <c:pt idx="196">
                  <c:v>08.10.2024</c:v>
                </c:pt>
                <c:pt idx="197">
                  <c:v>09.10.2024</c:v>
                </c:pt>
                <c:pt idx="198">
                  <c:v>10.10.2024</c:v>
                </c:pt>
                <c:pt idx="199">
                  <c:v>11.10.2024</c:v>
                </c:pt>
                <c:pt idx="200">
                  <c:v>14.10.2024</c:v>
                </c:pt>
                <c:pt idx="201">
                  <c:v>15.10.2024</c:v>
                </c:pt>
                <c:pt idx="202">
                  <c:v>16.10.2024</c:v>
                </c:pt>
                <c:pt idx="203">
                  <c:v>17.10.2024</c:v>
                </c:pt>
                <c:pt idx="204">
                  <c:v>18.10.2024</c:v>
                </c:pt>
                <c:pt idx="205">
                  <c:v>21.10.2024</c:v>
                </c:pt>
                <c:pt idx="206">
                  <c:v>22.10.2024</c:v>
                </c:pt>
                <c:pt idx="207">
                  <c:v>23.10.2024</c:v>
                </c:pt>
                <c:pt idx="208">
                  <c:v>24.10.2024</c:v>
                </c:pt>
                <c:pt idx="209">
                  <c:v>25.10.2024</c:v>
                </c:pt>
                <c:pt idx="210">
                  <c:v>28.10.2024</c:v>
                </c:pt>
                <c:pt idx="211">
                  <c:v>29.10.2024</c:v>
                </c:pt>
                <c:pt idx="212">
                  <c:v>30.10.2024</c:v>
                </c:pt>
                <c:pt idx="213">
                  <c:v>31.10.2024</c:v>
                </c:pt>
                <c:pt idx="214">
                  <c:v>01.11.2024</c:v>
                </c:pt>
                <c:pt idx="215">
                  <c:v>02.11.2024</c:v>
                </c:pt>
                <c:pt idx="216">
                  <c:v>05.11.2024</c:v>
                </c:pt>
                <c:pt idx="217">
                  <c:v>06.11.2024</c:v>
                </c:pt>
                <c:pt idx="218">
                  <c:v>07.11.2024</c:v>
                </c:pt>
                <c:pt idx="219">
                  <c:v>08.11.2024</c:v>
                </c:pt>
                <c:pt idx="220">
                  <c:v>11.11.2024</c:v>
                </c:pt>
                <c:pt idx="221">
                  <c:v>12.11.2024</c:v>
                </c:pt>
                <c:pt idx="222">
                  <c:v>13.11.2024</c:v>
                </c:pt>
                <c:pt idx="223">
                  <c:v>14.11.2024</c:v>
                </c:pt>
                <c:pt idx="224">
                  <c:v>15.11.2024</c:v>
                </c:pt>
                <c:pt idx="225">
                  <c:v>18.11.2024</c:v>
                </c:pt>
                <c:pt idx="226">
                  <c:v>19.11.2024</c:v>
                </c:pt>
                <c:pt idx="227">
                  <c:v>20.11.2024</c:v>
                </c:pt>
                <c:pt idx="228">
                  <c:v>21.11.2024</c:v>
                </c:pt>
                <c:pt idx="229">
                  <c:v>22.11.2024</c:v>
                </c:pt>
                <c:pt idx="230">
                  <c:v>25.11.2024</c:v>
                </c:pt>
                <c:pt idx="231">
                  <c:v>26.11.2024</c:v>
                </c:pt>
                <c:pt idx="232">
                  <c:v>27.11.2024</c:v>
                </c:pt>
                <c:pt idx="233">
                  <c:v>28.11.2024</c:v>
                </c:pt>
                <c:pt idx="234">
                  <c:v>29.11.2024</c:v>
                </c:pt>
                <c:pt idx="235">
                  <c:v>02.12.2024</c:v>
                </c:pt>
                <c:pt idx="236">
                  <c:v>03.12.2024</c:v>
                </c:pt>
                <c:pt idx="237">
                  <c:v>04.12.2024</c:v>
                </c:pt>
                <c:pt idx="238">
                  <c:v>05.12.2024</c:v>
                </c:pt>
                <c:pt idx="239">
                  <c:v>06.12.2024</c:v>
                </c:pt>
                <c:pt idx="240">
                  <c:v>09.12.2024</c:v>
                </c:pt>
                <c:pt idx="241">
                  <c:v>10.12.2024</c:v>
                </c:pt>
                <c:pt idx="242">
                  <c:v>11.12.2024</c:v>
                </c:pt>
                <c:pt idx="243">
                  <c:v>12.12.2024</c:v>
                </c:pt>
                <c:pt idx="244">
                  <c:v>13.12.2024</c:v>
                </c:pt>
                <c:pt idx="245">
                  <c:v>16.12.2024</c:v>
                </c:pt>
                <c:pt idx="246">
                  <c:v>17.12.2024</c:v>
                </c:pt>
                <c:pt idx="247">
                  <c:v>18.12.2024</c:v>
                </c:pt>
                <c:pt idx="248">
                  <c:v>19.12.2024</c:v>
                </c:pt>
                <c:pt idx="249">
                  <c:v>20.12.2024</c:v>
                </c:pt>
                <c:pt idx="250">
                  <c:v>23.12.2024</c:v>
                </c:pt>
                <c:pt idx="251">
                  <c:v>24.12.2024</c:v>
                </c:pt>
                <c:pt idx="252">
                  <c:v>25.12.2024</c:v>
                </c:pt>
                <c:pt idx="253">
                  <c:v>26.12.2024</c:v>
                </c:pt>
                <c:pt idx="254">
                  <c:v>27.12.2024</c:v>
                </c:pt>
                <c:pt idx="255">
                  <c:v>28.12.2024</c:v>
                </c:pt>
                <c:pt idx="256">
                  <c:v>30.12.2024</c:v>
                </c:pt>
              </c:strCache>
            </c:strRef>
          </c:cat>
          <c:val>
            <c:numRef>
              <c:f>Лист4!$K$2:$K$258</c:f>
              <c:numCache>
                <c:formatCode>0.0%</c:formatCode>
                <c:ptCount val="257"/>
                <c:pt idx="0">
                  <c:v>0</c:v>
                </c:pt>
                <c:pt idx="1">
                  <c:v>1.0041592586258696E-2</c:v>
                </c:pt>
                <c:pt idx="2">
                  <c:v>1.1926004562600179E-2</c:v>
                </c:pt>
                <c:pt idx="3">
                  <c:v>1.2022806547686171E-2</c:v>
                </c:pt>
                <c:pt idx="4">
                  <c:v>1.9189380176889426E-2</c:v>
                </c:pt>
                <c:pt idx="5">
                  <c:v>1.8211680127520502E-2</c:v>
                </c:pt>
                <c:pt idx="6">
                  <c:v>2.1164140672644605E-2</c:v>
                </c:pt>
                <c:pt idx="7">
                  <c:v>2.6504383516557928E-2</c:v>
                </c:pt>
                <c:pt idx="8">
                  <c:v>2.7785396452529865E-2</c:v>
                </c:pt>
                <c:pt idx="9">
                  <c:v>2.7675687536099058E-2</c:v>
                </c:pt>
                <c:pt idx="10">
                  <c:v>2.5923571606041529E-2</c:v>
                </c:pt>
                <c:pt idx="11">
                  <c:v>2.7788623185366124E-2</c:v>
                </c:pt>
                <c:pt idx="12">
                  <c:v>2.5729967635869544E-2</c:v>
                </c:pt>
                <c:pt idx="13">
                  <c:v>2.1703005056290303E-2</c:v>
                </c:pt>
                <c:pt idx="14">
                  <c:v>2.3568056635614676E-2</c:v>
                </c:pt>
                <c:pt idx="15">
                  <c:v>2.4726453723810993E-2</c:v>
                </c:pt>
                <c:pt idx="16">
                  <c:v>2.0425218853154625E-2</c:v>
                </c:pt>
                <c:pt idx="17">
                  <c:v>1.8918334618648558E-2</c:v>
                </c:pt>
                <c:pt idx="18">
                  <c:v>2.0683357480050679E-2</c:v>
                </c:pt>
                <c:pt idx="19">
                  <c:v>2.5007179480560637E-2</c:v>
                </c:pt>
                <c:pt idx="20">
                  <c:v>3.128962831264448E-2</c:v>
                </c:pt>
                <c:pt idx="21">
                  <c:v>3.7133241479005319E-2</c:v>
                </c:pt>
                <c:pt idx="22">
                  <c:v>4.2199212031841293E-2</c:v>
                </c:pt>
                <c:pt idx="23">
                  <c:v>4.1056948607826049E-2</c:v>
                </c:pt>
                <c:pt idx="24">
                  <c:v>4.1198924852619001E-2</c:v>
                </c:pt>
                <c:pt idx="25">
                  <c:v>4.4945161675448819E-2</c:v>
                </c:pt>
                <c:pt idx="26">
                  <c:v>5.0811361971662805E-2</c:v>
                </c:pt>
                <c:pt idx="27">
                  <c:v>4.6045477572593363E-2</c:v>
                </c:pt>
                <c:pt idx="28">
                  <c:v>4.6229401344256793E-2</c:v>
                </c:pt>
                <c:pt idx="29">
                  <c:v>4.8204161840012194E-2</c:v>
                </c:pt>
                <c:pt idx="30">
                  <c:v>5.0172468870094855E-2</c:v>
                </c:pt>
                <c:pt idx="31">
                  <c:v>5.1314732294110099E-2</c:v>
                </c:pt>
                <c:pt idx="32">
                  <c:v>5.3731555188424984E-2</c:v>
                </c:pt>
                <c:pt idx="33">
                  <c:v>4.6261668672618939E-2</c:v>
                </c:pt>
                <c:pt idx="34">
                  <c:v>4.6932829102548812E-2</c:v>
                </c:pt>
                <c:pt idx="35">
                  <c:v>3.4971330478750229E-2</c:v>
                </c:pt>
                <c:pt idx="36">
                  <c:v>1.303277392541724E-2</c:v>
                </c:pt>
                <c:pt idx="37">
                  <c:v>1.3936259119553762E-2</c:v>
                </c:pt>
                <c:pt idx="38">
                  <c:v>3.6804114729712678E-2</c:v>
                </c:pt>
                <c:pt idx="39">
                  <c:v>3.5455340404180413E-2</c:v>
                </c:pt>
                <c:pt idx="40">
                  <c:v>4.128281990636018E-2</c:v>
                </c:pt>
                <c:pt idx="41">
                  <c:v>5.088235009405917E-2</c:v>
                </c:pt>
                <c:pt idx="42">
                  <c:v>5.4063908670553662E-2</c:v>
                </c:pt>
                <c:pt idx="43">
                  <c:v>6.3773147774683681E-2</c:v>
                </c:pt>
                <c:pt idx="44">
                  <c:v>6.510901516887091E-2</c:v>
                </c:pt>
                <c:pt idx="45">
                  <c:v>6.8235719287150109E-2</c:v>
                </c:pt>
                <c:pt idx="46">
                  <c:v>6.988135303361287E-2</c:v>
                </c:pt>
                <c:pt idx="47">
                  <c:v>7.1375330336774123E-2</c:v>
                </c:pt>
                <c:pt idx="48">
                  <c:v>7.5340984992465554E-2</c:v>
                </c:pt>
                <c:pt idx="49">
                  <c:v>7.1494719451713484E-2</c:v>
                </c:pt>
                <c:pt idx="50">
                  <c:v>6.38538160955886E-2</c:v>
                </c:pt>
                <c:pt idx="51">
                  <c:v>6.484442307630256E-2</c:v>
                </c:pt>
                <c:pt idx="52">
                  <c:v>6.3627944797054692E-2</c:v>
                </c:pt>
                <c:pt idx="53">
                  <c:v>5.3518590821235668E-2</c:v>
                </c:pt>
                <c:pt idx="54">
                  <c:v>5.4205884915346614E-2</c:v>
                </c:pt>
                <c:pt idx="55">
                  <c:v>6.052705454146512E-2</c:v>
                </c:pt>
                <c:pt idx="56">
                  <c:v>5.626776719767923E-2</c:v>
                </c:pt>
                <c:pt idx="57">
                  <c:v>5.8894327726347173E-2</c:v>
                </c:pt>
                <c:pt idx="58">
                  <c:v>6.0155980265302E-2</c:v>
                </c:pt>
                <c:pt idx="59">
                  <c:v>6.6141569676455569E-2</c:v>
                </c:pt>
                <c:pt idx="60">
                  <c:v>6.8942373778278165E-2</c:v>
                </c:pt>
                <c:pt idx="61">
                  <c:v>7.5318397862612185E-2</c:v>
                </c:pt>
                <c:pt idx="62">
                  <c:v>8.5243828066767557E-2</c:v>
                </c:pt>
                <c:pt idx="63">
                  <c:v>8.7825214335728541E-2</c:v>
                </c:pt>
                <c:pt idx="64">
                  <c:v>9.5666175127697928E-2</c:v>
                </c:pt>
                <c:pt idx="65">
                  <c:v>9.9531801065467107E-2</c:v>
                </c:pt>
                <c:pt idx="66">
                  <c:v>9.5595187005301341E-2</c:v>
                </c:pt>
                <c:pt idx="67">
                  <c:v>0.10269722597778075</c:v>
                </c:pt>
                <c:pt idx="68">
                  <c:v>0.10169048533288594</c:v>
                </c:pt>
                <c:pt idx="69">
                  <c:v>0.10970891643084624</c:v>
                </c:pt>
                <c:pt idx="70">
                  <c:v>0.10984443920996667</c:v>
                </c:pt>
                <c:pt idx="71">
                  <c:v>0.11523630977925903</c:v>
                </c:pt>
                <c:pt idx="72">
                  <c:v>0.12038294865300037</c:v>
                </c:pt>
                <c:pt idx="73">
                  <c:v>0.11739822077951412</c:v>
                </c:pt>
                <c:pt idx="74">
                  <c:v>0.11453610875380349</c:v>
                </c:pt>
                <c:pt idx="75">
                  <c:v>0.11510078700013882</c:v>
                </c:pt>
                <c:pt idx="76">
                  <c:v>0.11996024665145799</c:v>
                </c:pt>
                <c:pt idx="77">
                  <c:v>0.12263520817266893</c:v>
                </c:pt>
                <c:pt idx="78">
                  <c:v>0.10980894514876849</c:v>
                </c:pt>
                <c:pt idx="79">
                  <c:v>0.10642410240359323</c:v>
                </c:pt>
                <c:pt idx="80">
                  <c:v>0.10991865406519929</c:v>
                </c:pt>
                <c:pt idx="81">
                  <c:v>0.11314861363423678</c:v>
                </c:pt>
                <c:pt idx="82">
                  <c:v>0.1183372000348486</c:v>
                </c:pt>
                <c:pt idx="83">
                  <c:v>0.12228349429352292</c:v>
                </c:pt>
                <c:pt idx="84">
                  <c:v>0.1196214397036568</c:v>
                </c:pt>
                <c:pt idx="85">
                  <c:v>0.11090926104591303</c:v>
                </c:pt>
                <c:pt idx="86">
                  <c:v>0.1105672273652758</c:v>
                </c:pt>
                <c:pt idx="87">
                  <c:v>0.10872153618296876</c:v>
                </c:pt>
                <c:pt idx="88">
                  <c:v>0.1059981736692146</c:v>
                </c:pt>
                <c:pt idx="89">
                  <c:v>0.10758895295746185</c:v>
                </c:pt>
                <c:pt idx="90">
                  <c:v>0.11315184036707304</c:v>
                </c:pt>
                <c:pt idx="91">
                  <c:v>0.11551703553600867</c:v>
                </c:pt>
                <c:pt idx="92">
                  <c:v>0.11771766733029798</c:v>
                </c:pt>
                <c:pt idx="93">
                  <c:v>0.11990861892607874</c:v>
                </c:pt>
                <c:pt idx="94">
                  <c:v>0.12492296175353568</c:v>
                </c:pt>
                <c:pt idx="95">
                  <c:v>0.12996634517651828</c:v>
                </c:pt>
                <c:pt idx="96">
                  <c:v>0.11905998819015773</c:v>
                </c:pt>
                <c:pt idx="97">
                  <c:v>0.1062466320976021</c:v>
                </c:pt>
                <c:pt idx="98">
                  <c:v>0.11149329968926547</c:v>
                </c:pt>
                <c:pt idx="99">
                  <c:v>0.11089635411456822</c:v>
                </c:pt>
                <c:pt idx="100">
                  <c:v>9.5959807815792164E-2</c:v>
                </c:pt>
                <c:pt idx="101">
                  <c:v>6.4570150785225433E-2</c:v>
                </c:pt>
                <c:pt idx="102">
                  <c:v>6.5760815201783673E-2</c:v>
                </c:pt>
                <c:pt idx="103">
                  <c:v>7.0639635250120181E-2</c:v>
                </c:pt>
                <c:pt idx="104">
                  <c:v>5.9071798032338307E-2</c:v>
                </c:pt>
                <c:pt idx="105">
                  <c:v>3.8101261329865688E-2</c:v>
                </c:pt>
                <c:pt idx="106">
                  <c:v>1.3652306629967859E-2</c:v>
                </c:pt>
                <c:pt idx="107">
                  <c:v>2.8337167767520155E-2</c:v>
                </c:pt>
                <c:pt idx="108">
                  <c:v>3.6504028575945924E-2</c:v>
                </c:pt>
                <c:pt idx="109">
                  <c:v>3.009573716324998E-2</c:v>
                </c:pt>
                <c:pt idx="110">
                  <c:v>4.3273714066296431E-2</c:v>
                </c:pt>
                <c:pt idx="111">
                  <c:v>2.6404354798635676E-2</c:v>
                </c:pt>
                <c:pt idx="112">
                  <c:v>2.322924968781348E-2</c:v>
                </c:pt>
                <c:pt idx="113">
                  <c:v>2.3419626925149428E-2</c:v>
                </c:pt>
                <c:pt idx="114">
                  <c:v>3.7688239526831868E-2</c:v>
                </c:pt>
                <c:pt idx="115">
                  <c:v>2.7288479595754866E-2</c:v>
                </c:pt>
                <c:pt idx="116">
                  <c:v>4.8530061856468798E-3</c:v>
                </c:pt>
                <c:pt idx="117">
                  <c:v>-2.3116314038546637E-2</c:v>
                </c:pt>
                <c:pt idx="118">
                  <c:v>7.8474142576416828E-3</c:v>
                </c:pt>
                <c:pt idx="119">
                  <c:v>4.9175408423707268E-3</c:v>
                </c:pt>
                <c:pt idx="120">
                  <c:v>-3.4203368063734363E-4</c:v>
                </c:pt>
                <c:pt idx="121">
                  <c:v>3.9624279228551718E-3</c:v>
                </c:pt>
                <c:pt idx="122">
                  <c:v>1.6969387985582784E-2</c:v>
                </c:pt>
                <c:pt idx="123">
                  <c:v>1.6524098854187264E-2</c:v>
                </c:pt>
                <c:pt idx="124">
                  <c:v>1.7827698920012569E-2</c:v>
                </c:pt>
                <c:pt idx="125">
                  <c:v>2.8098389537641433E-2</c:v>
                </c:pt>
                <c:pt idx="126">
                  <c:v>3.8133528658227611E-2</c:v>
                </c:pt>
                <c:pt idx="127">
                  <c:v>3.3545114565149303E-2</c:v>
                </c:pt>
                <c:pt idx="128">
                  <c:v>1.1196762941618754E-2</c:v>
                </c:pt>
                <c:pt idx="129">
                  <c:v>1.6191745372058364E-2</c:v>
                </c:pt>
                <c:pt idx="130">
                  <c:v>1.0799874802765785E-2</c:v>
                </c:pt>
                <c:pt idx="131">
                  <c:v>-1.4533204694250901E-2</c:v>
                </c:pt>
                <c:pt idx="132">
                  <c:v>-3.9804976267379999E-2</c:v>
                </c:pt>
                <c:pt idx="133">
                  <c:v>-3.4493774018992562E-2</c:v>
                </c:pt>
                <c:pt idx="134">
                  <c:v>-4.062456640777512E-2</c:v>
                </c:pt>
                <c:pt idx="135">
                  <c:v>-5.9897841638405946E-2</c:v>
                </c:pt>
                <c:pt idx="136">
                  <c:v>-4.977235399840596E-2</c:v>
                </c:pt>
                <c:pt idx="137">
                  <c:v>-4.9004391583390206E-2</c:v>
                </c:pt>
                <c:pt idx="138">
                  <c:v>-3.8233557376149974E-2</c:v>
                </c:pt>
                <c:pt idx="139">
                  <c:v>-2.932132128256193E-2</c:v>
                </c:pt>
                <c:pt idx="140">
                  <c:v>-2.4061746759553637E-2</c:v>
                </c:pt>
                <c:pt idx="141">
                  <c:v>-2.2942070465391651E-2</c:v>
                </c:pt>
                <c:pt idx="142">
                  <c:v>-1.5278579979413398E-2</c:v>
                </c:pt>
                <c:pt idx="143">
                  <c:v>-1.8631155396226728E-2</c:v>
                </c:pt>
                <c:pt idx="144">
                  <c:v>-3.4164647269700033E-2</c:v>
                </c:pt>
                <c:pt idx="145">
                  <c:v>-6.2004898180445411E-2</c:v>
                </c:pt>
                <c:pt idx="146">
                  <c:v>-4.9798167861095588E-2</c:v>
                </c:pt>
                <c:pt idx="147">
                  <c:v>-5.0475781756697979E-2</c:v>
                </c:pt>
                <c:pt idx="148">
                  <c:v>-5.2731268009202692E-2</c:v>
                </c:pt>
                <c:pt idx="149">
                  <c:v>-6.4570150785225433E-2</c:v>
                </c:pt>
                <c:pt idx="150">
                  <c:v>-8.7247629158048734E-2</c:v>
                </c:pt>
                <c:pt idx="151">
                  <c:v>-8.6592602392299711E-2</c:v>
                </c:pt>
                <c:pt idx="152">
                  <c:v>-7.2333669989125937E-2</c:v>
                </c:pt>
                <c:pt idx="153">
                  <c:v>-7.9571231740725556E-2</c:v>
                </c:pt>
                <c:pt idx="154">
                  <c:v>-8.0932912997602635E-2</c:v>
                </c:pt>
                <c:pt idx="155">
                  <c:v>-8.2068722955945472E-2</c:v>
                </c:pt>
                <c:pt idx="156">
                  <c:v>-6.9216646069355514E-2</c:v>
                </c:pt>
                <c:pt idx="157">
                  <c:v>-7.3569508665391026E-2</c:v>
                </c:pt>
                <c:pt idx="158">
                  <c:v>-8.4217727024855527E-2</c:v>
                </c:pt>
                <c:pt idx="159">
                  <c:v>-8.7415419265531202E-2</c:v>
                </c:pt>
                <c:pt idx="160">
                  <c:v>-0.10437512705260554</c:v>
                </c:pt>
                <c:pt idx="161">
                  <c:v>-0.10670482816034277</c:v>
                </c:pt>
                <c:pt idx="162">
                  <c:v>-0.10679517667975658</c:v>
                </c:pt>
                <c:pt idx="163">
                  <c:v>-0.12047329717241406</c:v>
                </c:pt>
                <c:pt idx="164">
                  <c:v>-0.14089206255989628</c:v>
                </c:pt>
                <c:pt idx="165">
                  <c:v>-0.10821171239484884</c:v>
                </c:pt>
                <c:pt idx="166">
                  <c:v>-0.11897931986925281</c:v>
                </c:pt>
                <c:pt idx="167">
                  <c:v>-0.12878858769130497</c:v>
                </c:pt>
                <c:pt idx="168">
                  <c:v>-0.12611362617009403</c:v>
                </c:pt>
                <c:pt idx="169">
                  <c:v>-0.14481254295588086</c:v>
                </c:pt>
                <c:pt idx="170">
                  <c:v>-0.17877390605690013</c:v>
                </c:pt>
                <c:pt idx="171">
                  <c:v>-0.1854500162950008</c:v>
                </c:pt>
                <c:pt idx="172">
                  <c:v>-0.15938769517700246</c:v>
                </c:pt>
                <c:pt idx="173">
                  <c:v>-0.15407326619577888</c:v>
                </c:pt>
                <c:pt idx="174">
                  <c:v>-0.15350858794944366</c:v>
                </c:pt>
                <c:pt idx="175">
                  <c:v>-0.12775925991655668</c:v>
                </c:pt>
                <c:pt idx="176">
                  <c:v>-0.13801704360284084</c:v>
                </c:pt>
                <c:pt idx="177">
                  <c:v>-0.13909799910296827</c:v>
                </c:pt>
                <c:pt idx="178">
                  <c:v>-0.15620936333334412</c:v>
                </c:pt>
                <c:pt idx="179">
                  <c:v>-0.13556149991449173</c:v>
                </c:pt>
                <c:pt idx="180">
                  <c:v>-0.11451997508962264</c:v>
                </c:pt>
                <c:pt idx="181">
                  <c:v>-0.10489140430639765</c:v>
                </c:pt>
                <c:pt idx="182">
                  <c:v>-0.11209024526396294</c:v>
                </c:pt>
                <c:pt idx="183">
                  <c:v>-0.10977345108757042</c:v>
                </c:pt>
                <c:pt idx="184">
                  <c:v>-0.10220998931951442</c:v>
                </c:pt>
                <c:pt idx="185">
                  <c:v>-9.0103287718086844E-2</c:v>
                </c:pt>
                <c:pt idx="186">
                  <c:v>-7.3295236374313899E-2</c:v>
                </c:pt>
                <c:pt idx="187">
                  <c:v>-8.6799113293816621E-2</c:v>
                </c:pt>
                <c:pt idx="188">
                  <c:v>-8.6947543004281869E-2</c:v>
                </c:pt>
                <c:pt idx="189">
                  <c:v>-7.7619058374823746E-2</c:v>
                </c:pt>
                <c:pt idx="190">
                  <c:v>-7.794173165844398E-2</c:v>
                </c:pt>
                <c:pt idx="191">
                  <c:v>-9.1936071969049182E-2</c:v>
                </c:pt>
                <c:pt idx="192">
                  <c:v>-0.10723078561264365</c:v>
                </c:pt>
                <c:pt idx="193">
                  <c:v>-0.1021970823881696</c:v>
                </c:pt>
                <c:pt idx="194">
                  <c:v>-9.5024055293293941E-2</c:v>
                </c:pt>
                <c:pt idx="195">
                  <c:v>-9.8502473290718928E-2</c:v>
                </c:pt>
                <c:pt idx="196">
                  <c:v>-0.10026749615212116</c:v>
                </c:pt>
                <c:pt idx="197">
                  <c:v>-0.11303245125213368</c:v>
                </c:pt>
                <c:pt idx="198">
                  <c:v>-0.10892482035164941</c:v>
                </c:pt>
                <c:pt idx="199">
                  <c:v>-0.11118998680266279</c:v>
                </c:pt>
                <c:pt idx="200">
                  <c:v>-0.10511082213925937</c:v>
                </c:pt>
                <c:pt idx="201">
                  <c:v>-9.4646527551458415E-2</c:v>
                </c:pt>
                <c:pt idx="202">
                  <c:v>-0.101851821974696</c:v>
                </c:pt>
                <c:pt idx="203">
                  <c:v>-0.1082827005172452</c:v>
                </c:pt>
                <c:pt idx="204">
                  <c:v>-0.11203539080574743</c:v>
                </c:pt>
                <c:pt idx="205">
                  <c:v>-0.10693392619171316</c:v>
                </c:pt>
                <c:pt idx="206">
                  <c:v>-0.11097379570263721</c:v>
                </c:pt>
                <c:pt idx="207">
                  <c:v>-0.11751115642878129</c:v>
                </c:pt>
                <c:pt idx="208">
                  <c:v>-0.12283849234134958</c:v>
                </c:pt>
                <c:pt idx="209">
                  <c:v>-0.14157290318833471</c:v>
                </c:pt>
                <c:pt idx="210">
                  <c:v>-0.16909693428113237</c:v>
                </c:pt>
                <c:pt idx="211">
                  <c:v>-0.1611591715040771</c:v>
                </c:pt>
                <c:pt idx="212">
                  <c:v>-0.15608674748556839</c:v>
                </c:pt>
                <c:pt idx="213">
                  <c:v>-0.17389185927572759</c:v>
                </c:pt>
                <c:pt idx="214">
                  <c:v>-0.16920986993039944</c:v>
                </c:pt>
                <c:pt idx="215">
                  <c:v>-0.1628628864415913</c:v>
                </c:pt>
                <c:pt idx="216">
                  <c:v>-0.15572212667507768</c:v>
                </c:pt>
                <c:pt idx="217">
                  <c:v>-0.14076299324644825</c:v>
                </c:pt>
                <c:pt idx="218">
                  <c:v>-0.13180558289315325</c:v>
                </c:pt>
                <c:pt idx="219">
                  <c:v>-0.11763054554372065</c:v>
                </c:pt>
                <c:pt idx="220">
                  <c:v>-0.10125487639999875</c:v>
                </c:pt>
                <c:pt idx="221">
                  <c:v>-0.11046719864735355</c:v>
                </c:pt>
                <c:pt idx="222">
                  <c:v>-0.10813427080678006</c:v>
                </c:pt>
                <c:pt idx="223">
                  <c:v>-0.12959849763319153</c:v>
                </c:pt>
                <c:pt idx="224">
                  <c:v>-0.11613011477488699</c:v>
                </c:pt>
                <c:pt idx="225">
                  <c:v>-0.12208021012484238</c:v>
                </c:pt>
                <c:pt idx="226">
                  <c:v>-0.15120470070439573</c:v>
                </c:pt>
                <c:pt idx="227">
                  <c:v>-0.16205297649970485</c:v>
                </c:pt>
                <c:pt idx="228">
                  <c:v>-0.17118140369331847</c:v>
                </c:pt>
                <c:pt idx="229">
                  <c:v>-0.16716412131224767</c:v>
                </c:pt>
                <c:pt idx="230">
                  <c:v>-0.18341394787535781</c:v>
                </c:pt>
                <c:pt idx="231">
                  <c:v>-0.20482009351071762</c:v>
                </c:pt>
                <c:pt idx="232">
                  <c:v>-0.19593689801265524</c:v>
                </c:pt>
                <c:pt idx="233">
                  <c:v>-0.17786719412992757</c:v>
                </c:pt>
                <c:pt idx="234">
                  <c:v>-0.16814827482728911</c:v>
                </c:pt>
                <c:pt idx="235">
                  <c:v>-0.16532811032844918</c:v>
                </c:pt>
                <c:pt idx="236">
                  <c:v>-0.18052602198695766</c:v>
                </c:pt>
                <c:pt idx="237">
                  <c:v>-0.19795683276811737</c:v>
                </c:pt>
                <c:pt idx="238">
                  <c:v>-0.18982223928805375</c:v>
                </c:pt>
                <c:pt idx="239">
                  <c:v>-0.18162633788410221</c:v>
                </c:pt>
                <c:pt idx="240">
                  <c:v>-0.16979713530658813</c:v>
                </c:pt>
                <c:pt idx="241">
                  <c:v>-0.18597597374730168</c:v>
                </c:pt>
                <c:pt idx="242">
                  <c:v>-0.18927046797306324</c:v>
                </c:pt>
                <c:pt idx="243">
                  <c:v>-0.19569489304994014</c:v>
                </c:pt>
                <c:pt idx="244">
                  <c:v>-0.19809235554723781</c:v>
                </c:pt>
                <c:pt idx="245">
                  <c:v>-0.21903385165418454</c:v>
                </c:pt>
                <c:pt idx="246">
                  <c:v>-0.23295720384239349</c:v>
                </c:pt>
                <c:pt idx="247">
                  <c:v>-0.22256712410982515</c:v>
                </c:pt>
                <c:pt idx="248">
                  <c:v>-0.22027614379612215</c:v>
                </c:pt>
                <c:pt idx="249">
                  <c:v>-0.14865235503096053</c:v>
                </c:pt>
                <c:pt idx="250">
                  <c:v>-0.12798190448225466</c:v>
                </c:pt>
                <c:pt idx="251">
                  <c:v>-0.13169910070955859</c:v>
                </c:pt>
                <c:pt idx="252">
                  <c:v>-0.11818877032438346</c:v>
                </c:pt>
                <c:pt idx="253">
                  <c:v>-0.10730177373504002</c:v>
                </c:pt>
                <c:pt idx="254">
                  <c:v>-0.11024455408165579</c:v>
                </c:pt>
                <c:pt idx="255">
                  <c:v>-0.1008160407342753</c:v>
                </c:pt>
                <c:pt idx="256">
                  <c:v>-6.9720016391802808E-2</c:v>
                </c:pt>
              </c:numCache>
            </c:numRef>
          </c:val>
          <c:smooth val="0"/>
          <c:extLst>
            <c:ext xmlns:c16="http://schemas.microsoft.com/office/drawing/2014/chart" uri="{C3380CC4-5D6E-409C-BE32-E72D297353CC}">
              <c16:uniqueId val="{00000002-6733-461D-87D8-73827964C059}"/>
            </c:ext>
          </c:extLst>
        </c:ser>
        <c:dLbls>
          <c:showLegendKey val="0"/>
          <c:showVal val="0"/>
          <c:showCatName val="0"/>
          <c:showSerName val="0"/>
          <c:showPercent val="0"/>
          <c:showBubbleSize val="0"/>
        </c:dLbls>
        <c:smooth val="0"/>
        <c:axId val="1830967530"/>
        <c:axId val="1830967531"/>
      </c:lineChart>
      <c:catAx>
        <c:axId val="1830967530"/>
        <c:scaling>
          <c:orientation val="minMax"/>
        </c:scaling>
        <c:delete val="0"/>
        <c:axPos val="b"/>
        <c:numFmt formatCode="General" sourceLinked="1"/>
        <c:majorTickMark val="none"/>
        <c:minorTickMark val="out"/>
        <c:tickLblPos val="low"/>
        <c:spPr>
          <a:prstGeom prst="rect">
            <a:avLst/>
          </a:prstGeom>
          <a:noFill/>
          <a:ln w="9525" cap="flat" cmpd="sng" algn="ctr">
            <a:solidFill>
              <a:schemeClr val="tx1">
                <a:lumMod val="15000"/>
                <a:lumOff val="85000"/>
              </a:schemeClr>
            </a:solidFill>
            <a:round/>
          </a:ln>
        </c:spPr>
        <c:txPr>
          <a:bodyPr/>
          <a:lstStyle/>
          <a:p>
            <a:pPr>
              <a:defRPr sz="900">
                <a:solidFill>
                  <a:schemeClr val="tx1">
                    <a:lumMod val="65000"/>
                    <a:lumOff val="35000"/>
                  </a:schemeClr>
                </a:solidFill>
                <a:latin typeface="Calibri"/>
                <a:ea typeface="Arial"/>
                <a:cs typeface="Arial"/>
              </a:defRPr>
            </a:pPr>
            <a:endParaRPr lang="ru-RU"/>
          </a:p>
        </c:txPr>
        <c:crossAx val="1830967531"/>
        <c:crosses val="autoZero"/>
        <c:auto val="1"/>
        <c:lblAlgn val="ctr"/>
        <c:lblOffset val="100"/>
        <c:tickMarkSkip val="1"/>
        <c:noMultiLvlLbl val="0"/>
      </c:catAx>
      <c:valAx>
        <c:axId val="1830967531"/>
        <c:scaling>
          <c:orientation val="minMax"/>
          <c:max val="0.5"/>
          <c:min val="-0.5"/>
        </c:scaling>
        <c:delete val="0"/>
        <c:axPos val="l"/>
        <c:majorGridlines>
          <c:spPr>
            <a:prstGeom prst="rect">
              <a:avLst/>
            </a:prstGeom>
            <a:ln w="9525" cap="flat" cmpd="sng" algn="ctr">
              <a:solidFill>
                <a:schemeClr val="tx1">
                  <a:lumMod val="15000"/>
                  <a:lumOff val="85000"/>
                </a:schemeClr>
              </a:solidFill>
              <a:round/>
            </a:ln>
          </c:spPr>
        </c:majorGridlines>
        <c:numFmt formatCode="0.0%" sourceLinked="1"/>
        <c:majorTickMark val="none"/>
        <c:minorTickMark val="none"/>
        <c:tickLblPos val="nextTo"/>
        <c:spPr>
          <a:prstGeom prst="rect">
            <a:avLst/>
          </a:prstGeom>
          <a:noFill/>
          <a:ln>
            <a:noFill/>
          </a:ln>
        </c:spPr>
        <c:txPr>
          <a:bodyPr/>
          <a:lstStyle/>
          <a:p>
            <a:pPr>
              <a:defRPr sz="900">
                <a:solidFill>
                  <a:schemeClr val="tx1">
                    <a:lumMod val="65000"/>
                    <a:lumOff val="35000"/>
                  </a:schemeClr>
                </a:solidFill>
                <a:latin typeface="Calibri"/>
                <a:ea typeface="Arial"/>
                <a:cs typeface="Arial"/>
              </a:defRPr>
            </a:pPr>
            <a:endParaRPr lang="ru-RU"/>
          </a:p>
        </c:txPr>
        <c:crossAx val="1830967530"/>
        <c:crosses val="autoZero"/>
        <c:crossBetween val="between"/>
      </c:valAx>
      <c:spPr>
        <a:prstGeom prst="rect">
          <a:avLst/>
        </a:prstGeom>
        <a:noFill/>
        <a:ln>
          <a:noFill/>
        </a:ln>
      </c:spPr>
    </c:plotArea>
    <c:legend>
      <c:legendPos val="b"/>
      <c:layout/>
      <c:overlay val="0"/>
      <c:spPr>
        <a:prstGeom prst="rect">
          <a:avLst/>
        </a:prstGeom>
        <a:noFill/>
        <a:ln>
          <a:noFill/>
        </a:ln>
        <a:effectLst/>
      </c:spPr>
      <c:txPr>
        <a:bodyPr rot="0" spcFirstLastPara="1" vertOverflow="ellipsis" vert="horz" wrap="square" anchor="ctr" anchorCtr="1"/>
        <a:lstStyle/>
        <a:p>
          <a:pPr>
            <a:defRPr sz="900">
              <a:solidFill>
                <a:schemeClr val="tx1">
                  <a:lumMod val="65000"/>
                  <a:lumOff val="35000"/>
                </a:schemeClr>
              </a:solidFill>
              <a:latin typeface="+mn-lt"/>
              <a:ea typeface="+mn-ea"/>
              <a:cs typeface="+mn-cs"/>
            </a:defRPr>
          </a:pPr>
          <a:endParaRPr lang="ru-RU"/>
        </a:p>
      </c:txPr>
    </c:legend>
    <c:plotVisOnly val="1"/>
    <c:dispBlanksAs val="gap"/>
    <c:showDLblsOverMax val="0"/>
  </c:chart>
  <c:spPr>
    <a:xfrm>
      <a:off x="0" y="0"/>
      <a:ext cx="6196352" cy="2816692"/>
    </a:xfrm>
    <a:prstGeom prst="rect">
      <a:avLst/>
    </a:prstGeom>
    <a:solidFill>
      <a:schemeClr val="bg1"/>
    </a:solidFill>
    <a:ln w="9525" cap="flat" cmpd="sng" algn="ctr">
      <a:solidFill>
        <a:schemeClr val="tx1">
          <a:lumMod val="15000"/>
          <a:lumOff val="85000"/>
        </a:schemeClr>
      </a:solidFill>
      <a:round/>
    </a:ln>
  </c:spPr>
  <c:txPr>
    <a:bodyPr/>
    <a:lstStyle/>
    <a:p>
      <a:pPr>
        <a:defRPr sz="1000">
          <a:solidFill>
            <a:schemeClr val="tx1"/>
          </a:solidFill>
          <a:latin typeface="+mn-lt"/>
          <a:ea typeface="+mn-ea"/>
          <a:cs typeface="+mn-cs"/>
        </a:defRPr>
      </a:pPr>
      <a:endParaRPr lang="ru-R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strRef>
              <c:f>Лист5!$C$1</c:f>
              <c:strCache>
                <c:ptCount val="1"/>
                <c:pt idx="0">
                  <c:v>Объем, млн. руб.</c:v>
                </c:pt>
              </c:strCache>
            </c:strRef>
          </c:tx>
          <c:spPr>
            <a:prstGeom prst="rect">
              <a:avLst/>
            </a:prstGeom>
            <a:ln w="28575" cap="rnd">
              <a:solidFill>
                <a:schemeClr val="accent2"/>
              </a:solidFill>
              <a:round/>
            </a:ln>
            <a:effectLst/>
          </c:spPr>
          <c:marker>
            <c:symbol val="none"/>
          </c:marker>
          <c:cat>
            <c:numRef>
              <c:f>Лист5!$A$2:$A$258</c:f>
              <c:numCache>
                <c:formatCode>dd/mm/yyyy</c:formatCode>
                <c:ptCount val="257"/>
                <c:pt idx="0">
                  <c:v>45289</c:v>
                </c:pt>
                <c:pt idx="1">
                  <c:v>45294</c:v>
                </c:pt>
                <c:pt idx="2">
                  <c:v>45295</c:v>
                </c:pt>
                <c:pt idx="3">
                  <c:v>45296</c:v>
                </c:pt>
                <c:pt idx="4">
                  <c:v>45299</c:v>
                </c:pt>
                <c:pt idx="5">
                  <c:v>45300</c:v>
                </c:pt>
                <c:pt idx="6">
                  <c:v>45301</c:v>
                </c:pt>
                <c:pt idx="7">
                  <c:v>45302</c:v>
                </c:pt>
                <c:pt idx="8">
                  <c:v>45303</c:v>
                </c:pt>
                <c:pt idx="9">
                  <c:v>45306</c:v>
                </c:pt>
                <c:pt idx="10">
                  <c:v>45307</c:v>
                </c:pt>
                <c:pt idx="11">
                  <c:v>45308</c:v>
                </c:pt>
                <c:pt idx="12">
                  <c:v>45309</c:v>
                </c:pt>
                <c:pt idx="13">
                  <c:v>45310</c:v>
                </c:pt>
                <c:pt idx="14">
                  <c:v>45313</c:v>
                </c:pt>
                <c:pt idx="15">
                  <c:v>45314</c:v>
                </c:pt>
                <c:pt idx="16">
                  <c:v>45315</c:v>
                </c:pt>
                <c:pt idx="17">
                  <c:v>45316</c:v>
                </c:pt>
                <c:pt idx="18">
                  <c:v>45317</c:v>
                </c:pt>
                <c:pt idx="19">
                  <c:v>45320</c:v>
                </c:pt>
                <c:pt idx="20">
                  <c:v>45321</c:v>
                </c:pt>
                <c:pt idx="21">
                  <c:v>45322</c:v>
                </c:pt>
                <c:pt idx="22">
                  <c:v>45323</c:v>
                </c:pt>
                <c:pt idx="23">
                  <c:v>45324</c:v>
                </c:pt>
                <c:pt idx="24">
                  <c:v>45327</c:v>
                </c:pt>
                <c:pt idx="25">
                  <c:v>45328</c:v>
                </c:pt>
                <c:pt idx="26">
                  <c:v>45329</c:v>
                </c:pt>
                <c:pt idx="27">
                  <c:v>45330</c:v>
                </c:pt>
                <c:pt idx="28">
                  <c:v>45331</c:v>
                </c:pt>
                <c:pt idx="29">
                  <c:v>45334</c:v>
                </c:pt>
                <c:pt idx="30">
                  <c:v>45335</c:v>
                </c:pt>
                <c:pt idx="31">
                  <c:v>45336</c:v>
                </c:pt>
                <c:pt idx="32">
                  <c:v>45337</c:v>
                </c:pt>
                <c:pt idx="33">
                  <c:v>45338</c:v>
                </c:pt>
                <c:pt idx="34">
                  <c:v>45341</c:v>
                </c:pt>
                <c:pt idx="35">
                  <c:v>45342</c:v>
                </c:pt>
                <c:pt idx="36">
                  <c:v>45343</c:v>
                </c:pt>
                <c:pt idx="37">
                  <c:v>45344</c:v>
                </c:pt>
                <c:pt idx="38">
                  <c:v>45348</c:v>
                </c:pt>
                <c:pt idx="39">
                  <c:v>45349</c:v>
                </c:pt>
                <c:pt idx="40">
                  <c:v>45350</c:v>
                </c:pt>
                <c:pt idx="41">
                  <c:v>45351</c:v>
                </c:pt>
                <c:pt idx="42">
                  <c:v>45352</c:v>
                </c:pt>
                <c:pt idx="43">
                  <c:v>45355</c:v>
                </c:pt>
                <c:pt idx="44">
                  <c:v>45356</c:v>
                </c:pt>
                <c:pt idx="45">
                  <c:v>45357</c:v>
                </c:pt>
                <c:pt idx="46">
                  <c:v>45358</c:v>
                </c:pt>
                <c:pt idx="47">
                  <c:v>45362</c:v>
                </c:pt>
                <c:pt idx="48">
                  <c:v>45363</c:v>
                </c:pt>
                <c:pt idx="49">
                  <c:v>45364</c:v>
                </c:pt>
                <c:pt idx="50">
                  <c:v>45365</c:v>
                </c:pt>
                <c:pt idx="51">
                  <c:v>45366</c:v>
                </c:pt>
                <c:pt idx="52">
                  <c:v>45369</c:v>
                </c:pt>
                <c:pt idx="53">
                  <c:v>45370</c:v>
                </c:pt>
                <c:pt idx="54">
                  <c:v>45371</c:v>
                </c:pt>
                <c:pt idx="55">
                  <c:v>45372</c:v>
                </c:pt>
                <c:pt idx="56">
                  <c:v>45373</c:v>
                </c:pt>
                <c:pt idx="57">
                  <c:v>45376</c:v>
                </c:pt>
                <c:pt idx="58">
                  <c:v>45377</c:v>
                </c:pt>
                <c:pt idx="59">
                  <c:v>45378</c:v>
                </c:pt>
                <c:pt idx="60">
                  <c:v>45379</c:v>
                </c:pt>
                <c:pt idx="61">
                  <c:v>45380</c:v>
                </c:pt>
                <c:pt idx="62">
                  <c:v>45383</c:v>
                </c:pt>
                <c:pt idx="63">
                  <c:v>45384</c:v>
                </c:pt>
                <c:pt idx="64">
                  <c:v>45385</c:v>
                </c:pt>
                <c:pt idx="65">
                  <c:v>45386</c:v>
                </c:pt>
                <c:pt idx="66">
                  <c:v>45387</c:v>
                </c:pt>
                <c:pt idx="67">
                  <c:v>45390</c:v>
                </c:pt>
                <c:pt idx="68">
                  <c:v>45391</c:v>
                </c:pt>
                <c:pt idx="69">
                  <c:v>45392</c:v>
                </c:pt>
                <c:pt idx="70">
                  <c:v>45393</c:v>
                </c:pt>
                <c:pt idx="71">
                  <c:v>45394</c:v>
                </c:pt>
                <c:pt idx="72">
                  <c:v>45397</c:v>
                </c:pt>
                <c:pt idx="73">
                  <c:v>45398</c:v>
                </c:pt>
                <c:pt idx="74">
                  <c:v>45399</c:v>
                </c:pt>
                <c:pt idx="75">
                  <c:v>45400</c:v>
                </c:pt>
                <c:pt idx="76">
                  <c:v>45401</c:v>
                </c:pt>
                <c:pt idx="77">
                  <c:v>45404</c:v>
                </c:pt>
                <c:pt idx="78">
                  <c:v>45405</c:v>
                </c:pt>
                <c:pt idx="79">
                  <c:v>45406</c:v>
                </c:pt>
                <c:pt idx="80">
                  <c:v>45407</c:v>
                </c:pt>
                <c:pt idx="81">
                  <c:v>45408</c:v>
                </c:pt>
                <c:pt idx="82">
                  <c:v>45409</c:v>
                </c:pt>
                <c:pt idx="83">
                  <c:v>45411</c:v>
                </c:pt>
                <c:pt idx="84">
                  <c:v>45412</c:v>
                </c:pt>
                <c:pt idx="85">
                  <c:v>45414</c:v>
                </c:pt>
                <c:pt idx="86">
                  <c:v>45415</c:v>
                </c:pt>
                <c:pt idx="87">
                  <c:v>45418</c:v>
                </c:pt>
                <c:pt idx="88">
                  <c:v>45419</c:v>
                </c:pt>
                <c:pt idx="89">
                  <c:v>45420</c:v>
                </c:pt>
                <c:pt idx="90">
                  <c:v>45422</c:v>
                </c:pt>
                <c:pt idx="91">
                  <c:v>45425</c:v>
                </c:pt>
                <c:pt idx="92">
                  <c:v>45426</c:v>
                </c:pt>
                <c:pt idx="93">
                  <c:v>45427</c:v>
                </c:pt>
                <c:pt idx="94">
                  <c:v>45428</c:v>
                </c:pt>
                <c:pt idx="95">
                  <c:v>45429</c:v>
                </c:pt>
                <c:pt idx="96">
                  <c:v>45432</c:v>
                </c:pt>
                <c:pt idx="97">
                  <c:v>45433</c:v>
                </c:pt>
                <c:pt idx="98">
                  <c:v>45434</c:v>
                </c:pt>
                <c:pt idx="99">
                  <c:v>45435</c:v>
                </c:pt>
                <c:pt idx="100">
                  <c:v>45436</c:v>
                </c:pt>
                <c:pt idx="101">
                  <c:v>45439</c:v>
                </c:pt>
                <c:pt idx="102">
                  <c:v>45440</c:v>
                </c:pt>
                <c:pt idx="103">
                  <c:v>45441</c:v>
                </c:pt>
                <c:pt idx="104">
                  <c:v>45442</c:v>
                </c:pt>
                <c:pt idx="105">
                  <c:v>45443</c:v>
                </c:pt>
                <c:pt idx="106">
                  <c:v>45446</c:v>
                </c:pt>
                <c:pt idx="107">
                  <c:v>45447</c:v>
                </c:pt>
                <c:pt idx="108">
                  <c:v>45448</c:v>
                </c:pt>
                <c:pt idx="109">
                  <c:v>45449</c:v>
                </c:pt>
                <c:pt idx="110">
                  <c:v>45450</c:v>
                </c:pt>
                <c:pt idx="111">
                  <c:v>45453</c:v>
                </c:pt>
                <c:pt idx="112">
                  <c:v>45454</c:v>
                </c:pt>
                <c:pt idx="113">
                  <c:v>45456</c:v>
                </c:pt>
                <c:pt idx="114">
                  <c:v>45457</c:v>
                </c:pt>
                <c:pt idx="115">
                  <c:v>45460</c:v>
                </c:pt>
                <c:pt idx="116">
                  <c:v>45461</c:v>
                </c:pt>
                <c:pt idx="117">
                  <c:v>45462</c:v>
                </c:pt>
                <c:pt idx="118">
                  <c:v>45463</c:v>
                </c:pt>
                <c:pt idx="119">
                  <c:v>45464</c:v>
                </c:pt>
                <c:pt idx="120">
                  <c:v>45467</c:v>
                </c:pt>
                <c:pt idx="121">
                  <c:v>45468</c:v>
                </c:pt>
                <c:pt idx="122">
                  <c:v>45469</c:v>
                </c:pt>
                <c:pt idx="123">
                  <c:v>45470</c:v>
                </c:pt>
                <c:pt idx="124">
                  <c:v>45471</c:v>
                </c:pt>
                <c:pt idx="125">
                  <c:v>45474</c:v>
                </c:pt>
                <c:pt idx="126">
                  <c:v>45475</c:v>
                </c:pt>
                <c:pt idx="127">
                  <c:v>45476</c:v>
                </c:pt>
                <c:pt idx="128">
                  <c:v>45477</c:v>
                </c:pt>
                <c:pt idx="129">
                  <c:v>45478</c:v>
                </c:pt>
                <c:pt idx="130">
                  <c:v>45481</c:v>
                </c:pt>
                <c:pt idx="131">
                  <c:v>45482</c:v>
                </c:pt>
                <c:pt idx="132">
                  <c:v>45483</c:v>
                </c:pt>
                <c:pt idx="133">
                  <c:v>45484</c:v>
                </c:pt>
                <c:pt idx="134">
                  <c:v>45485</c:v>
                </c:pt>
                <c:pt idx="135">
                  <c:v>45488</c:v>
                </c:pt>
                <c:pt idx="136">
                  <c:v>45489</c:v>
                </c:pt>
                <c:pt idx="137">
                  <c:v>45490</c:v>
                </c:pt>
                <c:pt idx="138">
                  <c:v>45491</c:v>
                </c:pt>
                <c:pt idx="139">
                  <c:v>45492</c:v>
                </c:pt>
                <c:pt idx="140">
                  <c:v>45495</c:v>
                </c:pt>
                <c:pt idx="141">
                  <c:v>45496</c:v>
                </c:pt>
                <c:pt idx="142">
                  <c:v>45497</c:v>
                </c:pt>
                <c:pt idx="143">
                  <c:v>45498</c:v>
                </c:pt>
                <c:pt idx="144">
                  <c:v>45499</c:v>
                </c:pt>
                <c:pt idx="145">
                  <c:v>45502</c:v>
                </c:pt>
                <c:pt idx="146">
                  <c:v>45503</c:v>
                </c:pt>
                <c:pt idx="147">
                  <c:v>45504</c:v>
                </c:pt>
                <c:pt idx="148">
                  <c:v>45505</c:v>
                </c:pt>
                <c:pt idx="149">
                  <c:v>45506</c:v>
                </c:pt>
                <c:pt idx="150">
                  <c:v>45509</c:v>
                </c:pt>
                <c:pt idx="151">
                  <c:v>45510</c:v>
                </c:pt>
                <c:pt idx="152">
                  <c:v>45511</c:v>
                </c:pt>
                <c:pt idx="153">
                  <c:v>45512</c:v>
                </c:pt>
                <c:pt idx="154">
                  <c:v>45513</c:v>
                </c:pt>
                <c:pt idx="155">
                  <c:v>45516</c:v>
                </c:pt>
                <c:pt idx="156">
                  <c:v>45517</c:v>
                </c:pt>
                <c:pt idx="157">
                  <c:v>45518</c:v>
                </c:pt>
                <c:pt idx="158">
                  <c:v>45519</c:v>
                </c:pt>
                <c:pt idx="159">
                  <c:v>45520</c:v>
                </c:pt>
                <c:pt idx="160">
                  <c:v>45523</c:v>
                </c:pt>
                <c:pt idx="161">
                  <c:v>45524</c:v>
                </c:pt>
                <c:pt idx="162">
                  <c:v>45525</c:v>
                </c:pt>
                <c:pt idx="163">
                  <c:v>45526</c:v>
                </c:pt>
                <c:pt idx="164">
                  <c:v>45527</c:v>
                </c:pt>
                <c:pt idx="165">
                  <c:v>45530</c:v>
                </c:pt>
                <c:pt idx="166">
                  <c:v>45531</c:v>
                </c:pt>
                <c:pt idx="167">
                  <c:v>45532</c:v>
                </c:pt>
                <c:pt idx="168">
                  <c:v>45533</c:v>
                </c:pt>
                <c:pt idx="169">
                  <c:v>45534</c:v>
                </c:pt>
                <c:pt idx="170">
                  <c:v>45537</c:v>
                </c:pt>
                <c:pt idx="171">
                  <c:v>45538</c:v>
                </c:pt>
                <c:pt idx="172">
                  <c:v>45539</c:v>
                </c:pt>
                <c:pt idx="173">
                  <c:v>45540</c:v>
                </c:pt>
                <c:pt idx="174">
                  <c:v>45541</c:v>
                </c:pt>
                <c:pt idx="175">
                  <c:v>45544</c:v>
                </c:pt>
                <c:pt idx="176">
                  <c:v>45545</c:v>
                </c:pt>
                <c:pt idx="177">
                  <c:v>45546</c:v>
                </c:pt>
                <c:pt idx="178">
                  <c:v>45547</c:v>
                </c:pt>
                <c:pt idx="179">
                  <c:v>45548</c:v>
                </c:pt>
                <c:pt idx="180">
                  <c:v>45551</c:v>
                </c:pt>
                <c:pt idx="181">
                  <c:v>45552</c:v>
                </c:pt>
                <c:pt idx="182">
                  <c:v>45553</c:v>
                </c:pt>
                <c:pt idx="183">
                  <c:v>45554</c:v>
                </c:pt>
                <c:pt idx="184">
                  <c:v>45555</c:v>
                </c:pt>
                <c:pt idx="185">
                  <c:v>45558</c:v>
                </c:pt>
                <c:pt idx="186">
                  <c:v>45559</c:v>
                </c:pt>
                <c:pt idx="187">
                  <c:v>45560</c:v>
                </c:pt>
                <c:pt idx="188">
                  <c:v>45561</c:v>
                </c:pt>
                <c:pt idx="189">
                  <c:v>45562</c:v>
                </c:pt>
                <c:pt idx="190">
                  <c:v>45565</c:v>
                </c:pt>
                <c:pt idx="191">
                  <c:v>45566</c:v>
                </c:pt>
                <c:pt idx="192">
                  <c:v>45567</c:v>
                </c:pt>
                <c:pt idx="193">
                  <c:v>45568</c:v>
                </c:pt>
                <c:pt idx="194">
                  <c:v>45569</c:v>
                </c:pt>
                <c:pt idx="195">
                  <c:v>45572</c:v>
                </c:pt>
                <c:pt idx="196">
                  <c:v>45573</c:v>
                </c:pt>
                <c:pt idx="197">
                  <c:v>45574</c:v>
                </c:pt>
                <c:pt idx="198">
                  <c:v>45575</c:v>
                </c:pt>
                <c:pt idx="199">
                  <c:v>45576</c:v>
                </c:pt>
                <c:pt idx="200">
                  <c:v>45579</c:v>
                </c:pt>
                <c:pt idx="201">
                  <c:v>45580</c:v>
                </c:pt>
                <c:pt idx="202">
                  <c:v>45581</c:v>
                </c:pt>
                <c:pt idx="203">
                  <c:v>45582</c:v>
                </c:pt>
                <c:pt idx="204">
                  <c:v>45583</c:v>
                </c:pt>
                <c:pt idx="205">
                  <c:v>45586</c:v>
                </c:pt>
                <c:pt idx="206">
                  <c:v>45587</c:v>
                </c:pt>
                <c:pt idx="207">
                  <c:v>45588</c:v>
                </c:pt>
                <c:pt idx="208">
                  <c:v>45589</c:v>
                </c:pt>
                <c:pt idx="209">
                  <c:v>45590</c:v>
                </c:pt>
                <c:pt idx="210">
                  <c:v>45593</c:v>
                </c:pt>
                <c:pt idx="211">
                  <c:v>45594</c:v>
                </c:pt>
                <c:pt idx="212">
                  <c:v>45595</c:v>
                </c:pt>
                <c:pt idx="213">
                  <c:v>45596</c:v>
                </c:pt>
                <c:pt idx="214">
                  <c:v>45597</c:v>
                </c:pt>
                <c:pt idx="215">
                  <c:v>45598</c:v>
                </c:pt>
                <c:pt idx="216">
                  <c:v>45601</c:v>
                </c:pt>
                <c:pt idx="217">
                  <c:v>45602</c:v>
                </c:pt>
                <c:pt idx="218">
                  <c:v>45603</c:v>
                </c:pt>
                <c:pt idx="219">
                  <c:v>45604</c:v>
                </c:pt>
                <c:pt idx="220">
                  <c:v>45607</c:v>
                </c:pt>
                <c:pt idx="221">
                  <c:v>45608</c:v>
                </c:pt>
                <c:pt idx="222">
                  <c:v>45609</c:v>
                </c:pt>
                <c:pt idx="223">
                  <c:v>45610</c:v>
                </c:pt>
                <c:pt idx="224">
                  <c:v>45611</c:v>
                </c:pt>
                <c:pt idx="225">
                  <c:v>45614</c:v>
                </c:pt>
                <c:pt idx="226">
                  <c:v>45615</c:v>
                </c:pt>
                <c:pt idx="227">
                  <c:v>45616</c:v>
                </c:pt>
                <c:pt idx="228">
                  <c:v>45617</c:v>
                </c:pt>
                <c:pt idx="229">
                  <c:v>45618</c:v>
                </c:pt>
                <c:pt idx="230">
                  <c:v>45621</c:v>
                </c:pt>
                <c:pt idx="231">
                  <c:v>45622</c:v>
                </c:pt>
                <c:pt idx="232">
                  <c:v>45623</c:v>
                </c:pt>
                <c:pt idx="233">
                  <c:v>45624</c:v>
                </c:pt>
                <c:pt idx="234">
                  <c:v>45625</c:v>
                </c:pt>
                <c:pt idx="235">
                  <c:v>45628</c:v>
                </c:pt>
                <c:pt idx="236">
                  <c:v>45629</c:v>
                </c:pt>
                <c:pt idx="237">
                  <c:v>45630</c:v>
                </c:pt>
                <c:pt idx="238">
                  <c:v>45631</c:v>
                </c:pt>
                <c:pt idx="239">
                  <c:v>45632</c:v>
                </c:pt>
                <c:pt idx="240">
                  <c:v>45635</c:v>
                </c:pt>
                <c:pt idx="241">
                  <c:v>45636</c:v>
                </c:pt>
                <c:pt idx="242">
                  <c:v>45637</c:v>
                </c:pt>
                <c:pt idx="243">
                  <c:v>45638</c:v>
                </c:pt>
                <c:pt idx="244">
                  <c:v>45639</c:v>
                </c:pt>
                <c:pt idx="245">
                  <c:v>45642</c:v>
                </c:pt>
                <c:pt idx="246">
                  <c:v>45643</c:v>
                </c:pt>
                <c:pt idx="247">
                  <c:v>45644</c:v>
                </c:pt>
                <c:pt idx="248">
                  <c:v>45645</c:v>
                </c:pt>
                <c:pt idx="249">
                  <c:v>45646</c:v>
                </c:pt>
                <c:pt idx="250">
                  <c:v>45649</c:v>
                </c:pt>
                <c:pt idx="251">
                  <c:v>45650</c:v>
                </c:pt>
                <c:pt idx="252">
                  <c:v>45651</c:v>
                </c:pt>
                <c:pt idx="253">
                  <c:v>45652</c:v>
                </c:pt>
                <c:pt idx="254">
                  <c:v>45653</c:v>
                </c:pt>
                <c:pt idx="255">
                  <c:v>45654</c:v>
                </c:pt>
                <c:pt idx="256">
                  <c:v>45656</c:v>
                </c:pt>
              </c:numCache>
            </c:numRef>
          </c:cat>
          <c:val>
            <c:numRef>
              <c:f>Лист5!$C$2:$C$258</c:f>
              <c:numCache>
                <c:formatCode>#,##0.0</c:formatCode>
                <c:ptCount val="257"/>
                <c:pt idx="0">
                  <c:v>20.608795000000001</c:v>
                </c:pt>
                <c:pt idx="1">
                  <c:v>30.837350000000001</c:v>
                </c:pt>
                <c:pt idx="2">
                  <c:v>101.439955</c:v>
                </c:pt>
                <c:pt idx="3">
                  <c:v>36.836419999999997</c:v>
                </c:pt>
                <c:pt idx="4">
                  <c:v>39.630699999999997</c:v>
                </c:pt>
                <c:pt idx="5">
                  <c:v>30.158035000000002</c:v>
                </c:pt>
                <c:pt idx="6">
                  <c:v>31.691109999999998</c:v>
                </c:pt>
                <c:pt idx="7">
                  <c:v>19.616975</c:v>
                </c:pt>
                <c:pt idx="8">
                  <c:v>21.128534999999999</c:v>
                </c:pt>
                <c:pt idx="9">
                  <c:v>14.59219</c:v>
                </c:pt>
                <c:pt idx="10">
                  <c:v>20.516459999999999</c:v>
                </c:pt>
                <c:pt idx="11">
                  <c:v>59.668460000000003</c:v>
                </c:pt>
                <c:pt idx="12">
                  <c:v>25.381889999999999</c:v>
                </c:pt>
                <c:pt idx="13">
                  <c:v>29.173310000000001</c:v>
                </c:pt>
                <c:pt idx="14">
                  <c:v>532.78236000000004</c:v>
                </c:pt>
                <c:pt idx="15">
                  <c:v>1752.949055</c:v>
                </c:pt>
                <c:pt idx="16">
                  <c:v>441.51132000000001</c:v>
                </c:pt>
                <c:pt idx="17">
                  <c:v>160.48862500000001</c:v>
                </c:pt>
                <c:pt idx="18">
                  <c:v>215.85754499999999</c:v>
                </c:pt>
                <c:pt idx="19">
                  <c:v>64.288764999999998</c:v>
                </c:pt>
                <c:pt idx="20">
                  <c:v>39.322344999999999</c:v>
                </c:pt>
                <c:pt idx="21">
                  <c:v>103.216365</c:v>
                </c:pt>
                <c:pt idx="22">
                  <c:v>19.799389999999999</c:v>
                </c:pt>
                <c:pt idx="23">
                  <c:v>31.055375000000002</c:v>
                </c:pt>
                <c:pt idx="24">
                  <c:v>22.881934999999999</c:v>
                </c:pt>
                <c:pt idx="25">
                  <c:v>79.210735</c:v>
                </c:pt>
                <c:pt idx="26">
                  <c:v>321.95690999999999</c:v>
                </c:pt>
                <c:pt idx="27">
                  <c:v>66.076520000000002</c:v>
                </c:pt>
                <c:pt idx="28">
                  <c:v>27.977260000000001</c:v>
                </c:pt>
                <c:pt idx="29">
                  <c:v>22.612465</c:v>
                </c:pt>
                <c:pt idx="30">
                  <c:v>15.125584999999999</c:v>
                </c:pt>
                <c:pt idx="31">
                  <c:v>64.811959999999999</c:v>
                </c:pt>
                <c:pt idx="32">
                  <c:v>29.696784999999998</c:v>
                </c:pt>
                <c:pt idx="33">
                  <c:v>25.79327</c:v>
                </c:pt>
                <c:pt idx="34">
                  <c:v>17.939109999999999</c:v>
                </c:pt>
                <c:pt idx="35">
                  <c:v>41.713434999999997</c:v>
                </c:pt>
                <c:pt idx="36">
                  <c:v>40.627825000000001</c:v>
                </c:pt>
                <c:pt idx="37">
                  <c:v>12.435169999999999</c:v>
                </c:pt>
                <c:pt idx="38">
                  <c:v>23.306830000000001</c:v>
                </c:pt>
                <c:pt idx="39">
                  <c:v>41.528855</c:v>
                </c:pt>
                <c:pt idx="40">
                  <c:v>65.843164999999999</c:v>
                </c:pt>
                <c:pt idx="41">
                  <c:v>25.834575000000001</c:v>
                </c:pt>
                <c:pt idx="42">
                  <c:v>29.10444</c:v>
                </c:pt>
                <c:pt idx="43">
                  <c:v>25.22512</c:v>
                </c:pt>
                <c:pt idx="44">
                  <c:v>29.295909999999999</c:v>
                </c:pt>
                <c:pt idx="45">
                  <c:v>17.285644999999999</c:v>
                </c:pt>
                <c:pt idx="46">
                  <c:v>10.252834999999999</c:v>
                </c:pt>
                <c:pt idx="47">
                  <c:v>11.114145000000001</c:v>
                </c:pt>
                <c:pt idx="48">
                  <c:v>8.0567299999999999</c:v>
                </c:pt>
                <c:pt idx="49">
                  <c:v>6.4949349999999999</c:v>
                </c:pt>
                <c:pt idx="50">
                  <c:v>16.880524999999999</c:v>
                </c:pt>
                <c:pt idx="51">
                  <c:v>3.4782950000000001</c:v>
                </c:pt>
                <c:pt idx="52">
                  <c:v>102.97855</c:v>
                </c:pt>
                <c:pt idx="53">
                  <c:v>37.526724999999999</c:v>
                </c:pt>
                <c:pt idx="54">
                  <c:v>20.576004999999999</c:v>
                </c:pt>
                <c:pt idx="55">
                  <c:v>15.976274999999999</c:v>
                </c:pt>
                <c:pt idx="56">
                  <c:v>14.633374999999999</c:v>
                </c:pt>
                <c:pt idx="57">
                  <c:v>11.535955</c:v>
                </c:pt>
                <c:pt idx="58">
                  <c:v>17.169149999999998</c:v>
                </c:pt>
                <c:pt idx="59">
                  <c:v>10.924035</c:v>
                </c:pt>
                <c:pt idx="60">
                  <c:v>117.40279</c:v>
                </c:pt>
                <c:pt idx="61">
                  <c:v>21.315460000000002</c:v>
                </c:pt>
                <c:pt idx="62">
                  <c:v>52.021585000000002</c:v>
                </c:pt>
                <c:pt idx="63">
                  <c:v>5.3399749999999999</c:v>
                </c:pt>
                <c:pt idx="64">
                  <c:v>8.2336299999999998</c:v>
                </c:pt>
                <c:pt idx="65">
                  <c:v>6.9833600000000002</c:v>
                </c:pt>
                <c:pt idx="66">
                  <c:v>15.940860000000001</c:v>
                </c:pt>
                <c:pt idx="67">
                  <c:v>8.7929700000000004</c:v>
                </c:pt>
                <c:pt idx="68">
                  <c:v>19.358550000000001</c:v>
                </c:pt>
                <c:pt idx="69">
                  <c:v>107.15251499999999</c:v>
                </c:pt>
                <c:pt idx="70">
                  <c:v>87.204239999999999</c:v>
                </c:pt>
                <c:pt idx="71">
                  <c:v>26.669775000000001</c:v>
                </c:pt>
                <c:pt idx="72">
                  <c:v>14.790050000000001</c:v>
                </c:pt>
                <c:pt idx="73">
                  <c:v>14.37041</c:v>
                </c:pt>
                <c:pt idx="74">
                  <c:v>14.74422</c:v>
                </c:pt>
                <c:pt idx="75">
                  <c:v>7.4088050000000001</c:v>
                </c:pt>
                <c:pt idx="76">
                  <c:v>6.5097699999999996</c:v>
                </c:pt>
                <c:pt idx="77">
                  <c:v>9.2088249999999992</c:v>
                </c:pt>
                <c:pt idx="78">
                  <c:v>9.2256300000000007</c:v>
                </c:pt>
                <c:pt idx="79">
                  <c:v>6.635205</c:v>
                </c:pt>
                <c:pt idx="80">
                  <c:v>3.5834250000000001</c:v>
                </c:pt>
                <c:pt idx="81">
                  <c:v>2.625095</c:v>
                </c:pt>
                <c:pt idx="82">
                  <c:v>14.00107</c:v>
                </c:pt>
                <c:pt idx="83">
                  <c:v>3.4436900000000001</c:v>
                </c:pt>
                <c:pt idx="84">
                  <c:v>3.8832249999999999</c:v>
                </c:pt>
                <c:pt idx="85">
                  <c:v>11.23028</c:v>
                </c:pt>
                <c:pt idx="86">
                  <c:v>8.2948599999999999</c:v>
                </c:pt>
                <c:pt idx="87">
                  <c:v>16.636695</c:v>
                </c:pt>
                <c:pt idx="88">
                  <c:v>7.6223749999999999</c:v>
                </c:pt>
                <c:pt idx="89">
                  <c:v>31.638839999999998</c:v>
                </c:pt>
                <c:pt idx="90">
                  <c:v>5.2474249999999998</c:v>
                </c:pt>
                <c:pt idx="91">
                  <c:v>10.608264999999999</c:v>
                </c:pt>
                <c:pt idx="92">
                  <c:v>6.8412300000000004</c:v>
                </c:pt>
                <c:pt idx="93">
                  <c:v>8.7153749999999999</c:v>
                </c:pt>
                <c:pt idx="94">
                  <c:v>3.3811650000000002</c:v>
                </c:pt>
                <c:pt idx="95">
                  <c:v>7.1179100000000002</c:v>
                </c:pt>
                <c:pt idx="96">
                  <c:v>23.634844999999999</c:v>
                </c:pt>
                <c:pt idx="97">
                  <c:v>7.43065</c:v>
                </c:pt>
                <c:pt idx="98">
                  <c:v>7.2926500000000001</c:v>
                </c:pt>
                <c:pt idx="99">
                  <c:v>5.4791249999999998</c:v>
                </c:pt>
                <c:pt idx="100">
                  <c:v>8.5626499999999997</c:v>
                </c:pt>
                <c:pt idx="101">
                  <c:v>16.848579999999998</c:v>
                </c:pt>
                <c:pt idx="102">
                  <c:v>7.2315550000000002</c:v>
                </c:pt>
                <c:pt idx="103">
                  <c:v>6.8306250000000004</c:v>
                </c:pt>
                <c:pt idx="104">
                  <c:v>285.88362999999998</c:v>
                </c:pt>
                <c:pt idx="105">
                  <c:v>63.268925000000003</c:v>
                </c:pt>
                <c:pt idx="106">
                  <c:v>33.675955000000002</c:v>
                </c:pt>
                <c:pt idx="107">
                  <c:v>28.737974999999999</c:v>
                </c:pt>
                <c:pt idx="108">
                  <c:v>18.240684999999999</c:v>
                </c:pt>
                <c:pt idx="109">
                  <c:v>21.370384999999999</c:v>
                </c:pt>
                <c:pt idx="110">
                  <c:v>9.7951999999999995</c:v>
                </c:pt>
                <c:pt idx="111">
                  <c:v>5.0864349999999998</c:v>
                </c:pt>
                <c:pt idx="112">
                  <c:v>9.3450849999999992</c:v>
                </c:pt>
                <c:pt idx="113">
                  <c:v>10.869355000000001</c:v>
                </c:pt>
                <c:pt idx="114">
                  <c:v>13.23884</c:v>
                </c:pt>
                <c:pt idx="115">
                  <c:v>4.380865</c:v>
                </c:pt>
                <c:pt idx="116">
                  <c:v>3.99797</c:v>
                </c:pt>
                <c:pt idx="117">
                  <c:v>5.5309200000000001</c:v>
                </c:pt>
                <c:pt idx="118">
                  <c:v>9.5864349999999998</c:v>
                </c:pt>
                <c:pt idx="119">
                  <c:v>2.4608050000000001</c:v>
                </c:pt>
                <c:pt idx="120">
                  <c:v>2.2004700000000001</c:v>
                </c:pt>
                <c:pt idx="121">
                  <c:v>19.377490000000002</c:v>
                </c:pt>
                <c:pt idx="122">
                  <c:v>13.354445</c:v>
                </c:pt>
                <c:pt idx="123">
                  <c:v>3.4510900000000002</c:v>
                </c:pt>
                <c:pt idx="124">
                  <c:v>1.7808949999999999</c:v>
                </c:pt>
                <c:pt idx="125">
                  <c:v>4.0977699999999997</c:v>
                </c:pt>
                <c:pt idx="126">
                  <c:v>4.0361500000000001</c:v>
                </c:pt>
                <c:pt idx="127">
                  <c:v>28.06532</c:v>
                </c:pt>
                <c:pt idx="128">
                  <c:v>5.3531950000000004</c:v>
                </c:pt>
                <c:pt idx="129">
                  <c:v>7.1689949999999998</c:v>
                </c:pt>
                <c:pt idx="130">
                  <c:v>4.6325450000000004</c:v>
                </c:pt>
                <c:pt idx="131">
                  <c:v>5.2064700000000004</c:v>
                </c:pt>
                <c:pt idx="132">
                  <c:v>27.159314999999999</c:v>
                </c:pt>
                <c:pt idx="133">
                  <c:v>20.136324999999999</c:v>
                </c:pt>
                <c:pt idx="134">
                  <c:v>7.9662899999999999</c:v>
                </c:pt>
                <c:pt idx="135">
                  <c:v>30.478275</c:v>
                </c:pt>
                <c:pt idx="136">
                  <c:v>5.4636500000000003</c:v>
                </c:pt>
                <c:pt idx="137">
                  <c:v>16.223974999999999</c:v>
                </c:pt>
                <c:pt idx="138">
                  <c:v>4.76037</c:v>
                </c:pt>
                <c:pt idx="139">
                  <c:v>3.5818850000000002</c:v>
                </c:pt>
                <c:pt idx="140">
                  <c:v>5.3398399999999997</c:v>
                </c:pt>
                <c:pt idx="141">
                  <c:v>5.2319000000000004</c:v>
                </c:pt>
                <c:pt idx="142">
                  <c:v>6.7938349999999996</c:v>
                </c:pt>
                <c:pt idx="143">
                  <c:v>2.81426</c:v>
                </c:pt>
                <c:pt idx="144">
                  <c:v>10.68793</c:v>
                </c:pt>
                <c:pt idx="145">
                  <c:v>3.8878750000000002</c:v>
                </c:pt>
                <c:pt idx="146">
                  <c:v>1.92316</c:v>
                </c:pt>
                <c:pt idx="147">
                  <c:v>5.4537950000000004</c:v>
                </c:pt>
                <c:pt idx="148">
                  <c:v>11.770709999999999</c:v>
                </c:pt>
                <c:pt idx="149">
                  <c:v>6.9965299999999999</c:v>
                </c:pt>
                <c:pt idx="150">
                  <c:v>7.0407299999999999</c:v>
                </c:pt>
                <c:pt idx="151">
                  <c:v>3.5640450000000001</c:v>
                </c:pt>
                <c:pt idx="152">
                  <c:v>8.0258199999999995</c:v>
                </c:pt>
                <c:pt idx="153">
                  <c:v>3.1362049999999999</c:v>
                </c:pt>
                <c:pt idx="154">
                  <c:v>1.1886350000000001</c:v>
                </c:pt>
                <c:pt idx="155">
                  <c:v>5.147405</c:v>
                </c:pt>
                <c:pt idx="156">
                  <c:v>14.910600000000001</c:v>
                </c:pt>
                <c:pt idx="157">
                  <c:v>191.17833999999999</c:v>
                </c:pt>
                <c:pt idx="158">
                  <c:v>29.908085</c:v>
                </c:pt>
                <c:pt idx="159">
                  <c:v>6.7595450000000001</c:v>
                </c:pt>
                <c:pt idx="160">
                  <c:v>8.4863099999999996</c:v>
                </c:pt>
                <c:pt idx="161">
                  <c:v>6.1431800000000001</c:v>
                </c:pt>
                <c:pt idx="162">
                  <c:v>8.4864800000000002</c:v>
                </c:pt>
                <c:pt idx="163">
                  <c:v>8.4947750000000006</c:v>
                </c:pt>
                <c:pt idx="164">
                  <c:v>3.75447</c:v>
                </c:pt>
                <c:pt idx="165">
                  <c:v>10.16694</c:v>
                </c:pt>
                <c:pt idx="166">
                  <c:v>2.2277999999999998</c:v>
                </c:pt>
                <c:pt idx="167">
                  <c:v>3.7372899999999998</c:v>
                </c:pt>
                <c:pt idx="168">
                  <c:v>2.097575</c:v>
                </c:pt>
                <c:pt idx="169">
                  <c:v>6.6876150000000001</c:v>
                </c:pt>
                <c:pt idx="170">
                  <c:v>8.3959150000000005</c:v>
                </c:pt>
                <c:pt idx="171">
                  <c:v>8.4797860000000007</c:v>
                </c:pt>
                <c:pt idx="172">
                  <c:v>3.6719940000000002</c:v>
                </c:pt>
                <c:pt idx="173">
                  <c:v>19.379283000000001</c:v>
                </c:pt>
                <c:pt idx="174">
                  <c:v>4.8597070000000002</c:v>
                </c:pt>
                <c:pt idx="175">
                  <c:v>5.7706030000000004</c:v>
                </c:pt>
                <c:pt idx="176">
                  <c:v>5.9369740000000002</c:v>
                </c:pt>
                <c:pt idx="177">
                  <c:v>2.1633429999999998</c:v>
                </c:pt>
                <c:pt idx="178">
                  <c:v>1.9931970000000001</c:v>
                </c:pt>
                <c:pt idx="179">
                  <c:v>1.9129685000000001</c:v>
                </c:pt>
                <c:pt idx="180">
                  <c:v>3.2759244999999999</c:v>
                </c:pt>
                <c:pt idx="181">
                  <c:v>4.7386090000000003</c:v>
                </c:pt>
                <c:pt idx="182">
                  <c:v>115.84733199999999</c:v>
                </c:pt>
                <c:pt idx="183">
                  <c:v>55.794862999999999</c:v>
                </c:pt>
                <c:pt idx="184">
                  <c:v>13.649163</c:v>
                </c:pt>
                <c:pt idx="185">
                  <c:v>11.049759999999999</c:v>
                </c:pt>
                <c:pt idx="186">
                  <c:v>8.9750315000000001</c:v>
                </c:pt>
                <c:pt idx="187">
                  <c:v>15.210791499999999</c:v>
                </c:pt>
                <c:pt idx="188">
                  <c:v>6.9427804999999996</c:v>
                </c:pt>
                <c:pt idx="189">
                  <c:v>1.6777845</c:v>
                </c:pt>
                <c:pt idx="190">
                  <c:v>6.7700015000000002</c:v>
                </c:pt>
                <c:pt idx="191">
                  <c:v>3.2427440000000001</c:v>
                </c:pt>
                <c:pt idx="192">
                  <c:v>6.7139525000000004</c:v>
                </c:pt>
                <c:pt idx="193">
                  <c:v>3.7308059999999998</c:v>
                </c:pt>
                <c:pt idx="194">
                  <c:v>1.3734120000000001</c:v>
                </c:pt>
                <c:pt idx="195">
                  <c:v>0.67840750000000005</c:v>
                </c:pt>
                <c:pt idx="196">
                  <c:v>0.74829699999999999</c:v>
                </c:pt>
                <c:pt idx="197">
                  <c:v>1.9701635</c:v>
                </c:pt>
                <c:pt idx="198">
                  <c:v>3.0738884999999998</c:v>
                </c:pt>
                <c:pt idx="199">
                  <c:v>0.70932249999999997</c:v>
                </c:pt>
                <c:pt idx="200">
                  <c:v>1.3338080000000001</c:v>
                </c:pt>
                <c:pt idx="201">
                  <c:v>3.3073250000000001</c:v>
                </c:pt>
                <c:pt idx="202">
                  <c:v>86.183301</c:v>
                </c:pt>
                <c:pt idx="203">
                  <c:v>6.3746640000000001</c:v>
                </c:pt>
                <c:pt idx="204">
                  <c:v>5.9009035000000001</c:v>
                </c:pt>
                <c:pt idx="205">
                  <c:v>3.0300734999999999</c:v>
                </c:pt>
                <c:pt idx="206">
                  <c:v>1.7421895000000001</c:v>
                </c:pt>
                <c:pt idx="207">
                  <c:v>3.795839</c:v>
                </c:pt>
                <c:pt idx="208">
                  <c:v>1.710663</c:v>
                </c:pt>
                <c:pt idx="209">
                  <c:v>5.748291</c:v>
                </c:pt>
                <c:pt idx="210">
                  <c:v>1.9418905</c:v>
                </c:pt>
                <c:pt idx="211">
                  <c:v>2.0845250000000002</c:v>
                </c:pt>
                <c:pt idx="212">
                  <c:v>2.2233654999999999</c:v>
                </c:pt>
                <c:pt idx="213">
                  <c:v>1.761207</c:v>
                </c:pt>
                <c:pt idx="214">
                  <c:v>1.8469850000000001</c:v>
                </c:pt>
                <c:pt idx="215">
                  <c:v>0.47323599999999999</c:v>
                </c:pt>
                <c:pt idx="216">
                  <c:v>1.2794315000000001</c:v>
                </c:pt>
                <c:pt idx="217">
                  <c:v>5.973427</c:v>
                </c:pt>
                <c:pt idx="218">
                  <c:v>1.5950219999999999</c:v>
                </c:pt>
                <c:pt idx="219">
                  <c:v>3.5712964999999999</c:v>
                </c:pt>
                <c:pt idx="220">
                  <c:v>4.0548114999999996</c:v>
                </c:pt>
                <c:pt idx="221">
                  <c:v>19.117267999999999</c:v>
                </c:pt>
                <c:pt idx="222">
                  <c:v>7.1499895000000002</c:v>
                </c:pt>
                <c:pt idx="223">
                  <c:v>8.3421540000000007</c:v>
                </c:pt>
                <c:pt idx="224">
                  <c:v>4.4074780000000002</c:v>
                </c:pt>
                <c:pt idx="225">
                  <c:v>3.102506</c:v>
                </c:pt>
                <c:pt idx="226">
                  <c:v>3.7955635000000001</c:v>
                </c:pt>
                <c:pt idx="227">
                  <c:v>4.6495315000000002</c:v>
                </c:pt>
                <c:pt idx="228">
                  <c:v>3.1481590000000002</c:v>
                </c:pt>
                <c:pt idx="229">
                  <c:v>4.4529329999999998</c:v>
                </c:pt>
                <c:pt idx="230">
                  <c:v>3.2072980000000002</c:v>
                </c:pt>
                <c:pt idx="231">
                  <c:v>5.4518215000000003</c:v>
                </c:pt>
                <c:pt idx="232">
                  <c:v>12.460444000000001</c:v>
                </c:pt>
                <c:pt idx="233">
                  <c:v>2.0581044999999998</c:v>
                </c:pt>
                <c:pt idx="234">
                  <c:v>3.6246835000000002</c:v>
                </c:pt>
                <c:pt idx="235">
                  <c:v>4.3751645000000003</c:v>
                </c:pt>
                <c:pt idx="236">
                  <c:v>5.0999485</c:v>
                </c:pt>
                <c:pt idx="237">
                  <c:v>2.8006845</c:v>
                </c:pt>
                <c:pt idx="238">
                  <c:v>2.6845754999999998</c:v>
                </c:pt>
                <c:pt idx="239">
                  <c:v>2.9055555000000002</c:v>
                </c:pt>
                <c:pt idx="240">
                  <c:v>1.984235</c:v>
                </c:pt>
                <c:pt idx="241">
                  <c:v>2.3171974999999998</c:v>
                </c:pt>
                <c:pt idx="242">
                  <c:v>1.7543605</c:v>
                </c:pt>
                <c:pt idx="243">
                  <c:v>0.94376899999999997</c:v>
                </c:pt>
                <c:pt idx="244">
                  <c:v>0.42683900000000002</c:v>
                </c:pt>
                <c:pt idx="245">
                  <c:v>1.9235770000000001</c:v>
                </c:pt>
                <c:pt idx="246">
                  <c:v>1.1113485000000001</c:v>
                </c:pt>
                <c:pt idx="247">
                  <c:v>54.218037500000001</c:v>
                </c:pt>
                <c:pt idx="248">
                  <c:v>273.01566300000002</c:v>
                </c:pt>
                <c:pt idx="249">
                  <c:v>112.9489665</c:v>
                </c:pt>
                <c:pt idx="250">
                  <c:v>15.771991</c:v>
                </c:pt>
                <c:pt idx="251">
                  <c:v>12.158849</c:v>
                </c:pt>
                <c:pt idx="252">
                  <c:v>52.432862499999999</c:v>
                </c:pt>
                <c:pt idx="253">
                  <c:v>11.780884500000001</c:v>
                </c:pt>
                <c:pt idx="254">
                  <c:v>3.473112</c:v>
                </c:pt>
                <c:pt idx="255">
                  <c:v>7.2809410000000003</c:v>
                </c:pt>
                <c:pt idx="256">
                  <c:v>16.433269500000002</c:v>
                </c:pt>
              </c:numCache>
            </c:numRef>
          </c:val>
          <c:smooth val="0"/>
          <c:extLst>
            <c:ext xmlns:c16="http://schemas.microsoft.com/office/drawing/2014/chart" uri="{C3380CC4-5D6E-409C-BE32-E72D297353CC}">
              <c16:uniqueId val="{00000000-248D-45F1-9795-E3075C4C3712}"/>
            </c:ext>
          </c:extLst>
        </c:ser>
        <c:dLbls>
          <c:showLegendKey val="0"/>
          <c:showVal val="0"/>
          <c:showCatName val="0"/>
          <c:showSerName val="0"/>
          <c:showPercent val="0"/>
          <c:showBubbleSize val="0"/>
        </c:dLbls>
        <c:marker val="1"/>
        <c:smooth val="0"/>
        <c:axId val="318269696"/>
        <c:axId val="326430720"/>
      </c:lineChart>
      <c:lineChart>
        <c:grouping val="standard"/>
        <c:varyColors val="0"/>
        <c:ser>
          <c:idx val="0"/>
          <c:order val="0"/>
          <c:tx>
            <c:strRef>
              <c:f>Лист5!$B$1</c:f>
              <c:strCache>
                <c:ptCount val="1"/>
                <c:pt idx="0">
                  <c:v>Средневзвешенная цена, руб.</c:v>
                </c:pt>
              </c:strCache>
            </c:strRef>
          </c:tx>
          <c:spPr>
            <a:prstGeom prst="rect">
              <a:avLst/>
            </a:prstGeom>
            <a:ln w="28575" cap="rnd">
              <a:solidFill>
                <a:schemeClr val="accent1"/>
              </a:solidFill>
              <a:round/>
            </a:ln>
            <a:effectLst/>
          </c:spPr>
          <c:marker>
            <c:symbol val="none"/>
          </c:marker>
          <c:cat>
            <c:numRef>
              <c:f>Лист5!$A$2:$A$258</c:f>
              <c:numCache>
                <c:formatCode>dd/mm/yyyy</c:formatCode>
                <c:ptCount val="257"/>
                <c:pt idx="0">
                  <c:v>45289</c:v>
                </c:pt>
                <c:pt idx="1">
                  <c:v>45294</c:v>
                </c:pt>
                <c:pt idx="2">
                  <c:v>45295</c:v>
                </c:pt>
                <c:pt idx="3">
                  <c:v>45296</c:v>
                </c:pt>
                <c:pt idx="4">
                  <c:v>45299</c:v>
                </c:pt>
                <c:pt idx="5">
                  <c:v>45300</c:v>
                </c:pt>
                <c:pt idx="6">
                  <c:v>45301</c:v>
                </c:pt>
                <c:pt idx="7">
                  <c:v>45302</c:v>
                </c:pt>
                <c:pt idx="8">
                  <c:v>45303</c:v>
                </c:pt>
                <c:pt idx="9">
                  <c:v>45306</c:v>
                </c:pt>
                <c:pt idx="10">
                  <c:v>45307</c:v>
                </c:pt>
                <c:pt idx="11">
                  <c:v>45308</c:v>
                </c:pt>
                <c:pt idx="12">
                  <c:v>45309</c:v>
                </c:pt>
                <c:pt idx="13">
                  <c:v>45310</c:v>
                </c:pt>
                <c:pt idx="14">
                  <c:v>45313</c:v>
                </c:pt>
                <c:pt idx="15">
                  <c:v>45314</c:v>
                </c:pt>
                <c:pt idx="16">
                  <c:v>45315</c:v>
                </c:pt>
                <c:pt idx="17">
                  <c:v>45316</c:v>
                </c:pt>
                <c:pt idx="18">
                  <c:v>45317</c:v>
                </c:pt>
                <c:pt idx="19">
                  <c:v>45320</c:v>
                </c:pt>
                <c:pt idx="20">
                  <c:v>45321</c:v>
                </c:pt>
                <c:pt idx="21">
                  <c:v>45322</c:v>
                </c:pt>
                <c:pt idx="22">
                  <c:v>45323</c:v>
                </c:pt>
                <c:pt idx="23">
                  <c:v>45324</c:v>
                </c:pt>
                <c:pt idx="24">
                  <c:v>45327</c:v>
                </c:pt>
                <c:pt idx="25">
                  <c:v>45328</c:v>
                </c:pt>
                <c:pt idx="26">
                  <c:v>45329</c:v>
                </c:pt>
                <c:pt idx="27">
                  <c:v>45330</c:v>
                </c:pt>
                <c:pt idx="28">
                  <c:v>45331</c:v>
                </c:pt>
                <c:pt idx="29">
                  <c:v>45334</c:v>
                </c:pt>
                <c:pt idx="30">
                  <c:v>45335</c:v>
                </c:pt>
                <c:pt idx="31">
                  <c:v>45336</c:v>
                </c:pt>
                <c:pt idx="32">
                  <c:v>45337</c:v>
                </c:pt>
                <c:pt idx="33">
                  <c:v>45338</c:v>
                </c:pt>
                <c:pt idx="34">
                  <c:v>45341</c:v>
                </c:pt>
                <c:pt idx="35">
                  <c:v>45342</c:v>
                </c:pt>
                <c:pt idx="36">
                  <c:v>45343</c:v>
                </c:pt>
                <c:pt idx="37">
                  <c:v>45344</c:v>
                </c:pt>
                <c:pt idx="38">
                  <c:v>45348</c:v>
                </c:pt>
                <c:pt idx="39">
                  <c:v>45349</c:v>
                </c:pt>
                <c:pt idx="40">
                  <c:v>45350</c:v>
                </c:pt>
                <c:pt idx="41">
                  <c:v>45351</c:v>
                </c:pt>
                <c:pt idx="42">
                  <c:v>45352</c:v>
                </c:pt>
                <c:pt idx="43">
                  <c:v>45355</c:v>
                </c:pt>
                <c:pt idx="44">
                  <c:v>45356</c:v>
                </c:pt>
                <c:pt idx="45">
                  <c:v>45357</c:v>
                </c:pt>
                <c:pt idx="46">
                  <c:v>45358</c:v>
                </c:pt>
                <c:pt idx="47">
                  <c:v>45362</c:v>
                </c:pt>
                <c:pt idx="48">
                  <c:v>45363</c:v>
                </c:pt>
                <c:pt idx="49">
                  <c:v>45364</c:v>
                </c:pt>
                <c:pt idx="50">
                  <c:v>45365</c:v>
                </c:pt>
                <c:pt idx="51">
                  <c:v>45366</c:v>
                </c:pt>
                <c:pt idx="52">
                  <c:v>45369</c:v>
                </c:pt>
                <c:pt idx="53">
                  <c:v>45370</c:v>
                </c:pt>
                <c:pt idx="54">
                  <c:v>45371</c:v>
                </c:pt>
                <c:pt idx="55">
                  <c:v>45372</c:v>
                </c:pt>
                <c:pt idx="56">
                  <c:v>45373</c:v>
                </c:pt>
                <c:pt idx="57">
                  <c:v>45376</c:v>
                </c:pt>
                <c:pt idx="58">
                  <c:v>45377</c:v>
                </c:pt>
                <c:pt idx="59">
                  <c:v>45378</c:v>
                </c:pt>
                <c:pt idx="60">
                  <c:v>45379</c:v>
                </c:pt>
                <c:pt idx="61">
                  <c:v>45380</c:v>
                </c:pt>
                <c:pt idx="62">
                  <c:v>45383</c:v>
                </c:pt>
                <c:pt idx="63">
                  <c:v>45384</c:v>
                </c:pt>
                <c:pt idx="64">
                  <c:v>45385</c:v>
                </c:pt>
                <c:pt idx="65">
                  <c:v>45386</c:v>
                </c:pt>
                <c:pt idx="66">
                  <c:v>45387</c:v>
                </c:pt>
                <c:pt idx="67">
                  <c:v>45390</c:v>
                </c:pt>
                <c:pt idx="68">
                  <c:v>45391</c:v>
                </c:pt>
                <c:pt idx="69">
                  <c:v>45392</c:v>
                </c:pt>
                <c:pt idx="70">
                  <c:v>45393</c:v>
                </c:pt>
                <c:pt idx="71">
                  <c:v>45394</c:v>
                </c:pt>
                <c:pt idx="72">
                  <c:v>45397</c:v>
                </c:pt>
                <c:pt idx="73">
                  <c:v>45398</c:v>
                </c:pt>
                <c:pt idx="74">
                  <c:v>45399</c:v>
                </c:pt>
                <c:pt idx="75">
                  <c:v>45400</c:v>
                </c:pt>
                <c:pt idx="76">
                  <c:v>45401</c:v>
                </c:pt>
                <c:pt idx="77">
                  <c:v>45404</c:v>
                </c:pt>
                <c:pt idx="78">
                  <c:v>45405</c:v>
                </c:pt>
                <c:pt idx="79">
                  <c:v>45406</c:v>
                </c:pt>
                <c:pt idx="80">
                  <c:v>45407</c:v>
                </c:pt>
                <c:pt idx="81">
                  <c:v>45408</c:v>
                </c:pt>
                <c:pt idx="82">
                  <c:v>45409</c:v>
                </c:pt>
                <c:pt idx="83">
                  <c:v>45411</c:v>
                </c:pt>
                <c:pt idx="84">
                  <c:v>45412</c:v>
                </c:pt>
                <c:pt idx="85">
                  <c:v>45414</c:v>
                </c:pt>
                <c:pt idx="86">
                  <c:v>45415</c:v>
                </c:pt>
                <c:pt idx="87">
                  <c:v>45418</c:v>
                </c:pt>
                <c:pt idx="88">
                  <c:v>45419</c:v>
                </c:pt>
                <c:pt idx="89">
                  <c:v>45420</c:v>
                </c:pt>
                <c:pt idx="90">
                  <c:v>45422</c:v>
                </c:pt>
                <c:pt idx="91">
                  <c:v>45425</c:v>
                </c:pt>
                <c:pt idx="92">
                  <c:v>45426</c:v>
                </c:pt>
                <c:pt idx="93">
                  <c:v>45427</c:v>
                </c:pt>
                <c:pt idx="94">
                  <c:v>45428</c:v>
                </c:pt>
                <c:pt idx="95">
                  <c:v>45429</c:v>
                </c:pt>
                <c:pt idx="96">
                  <c:v>45432</c:v>
                </c:pt>
                <c:pt idx="97">
                  <c:v>45433</c:v>
                </c:pt>
                <c:pt idx="98">
                  <c:v>45434</c:v>
                </c:pt>
                <c:pt idx="99">
                  <c:v>45435</c:v>
                </c:pt>
                <c:pt idx="100">
                  <c:v>45436</c:v>
                </c:pt>
                <c:pt idx="101">
                  <c:v>45439</c:v>
                </c:pt>
                <c:pt idx="102">
                  <c:v>45440</c:v>
                </c:pt>
                <c:pt idx="103">
                  <c:v>45441</c:v>
                </c:pt>
                <c:pt idx="104">
                  <c:v>45442</c:v>
                </c:pt>
                <c:pt idx="105">
                  <c:v>45443</c:v>
                </c:pt>
                <c:pt idx="106">
                  <c:v>45446</c:v>
                </c:pt>
                <c:pt idx="107">
                  <c:v>45447</c:v>
                </c:pt>
                <c:pt idx="108">
                  <c:v>45448</c:v>
                </c:pt>
                <c:pt idx="109">
                  <c:v>45449</c:v>
                </c:pt>
                <c:pt idx="110">
                  <c:v>45450</c:v>
                </c:pt>
                <c:pt idx="111">
                  <c:v>45453</c:v>
                </c:pt>
                <c:pt idx="112">
                  <c:v>45454</c:v>
                </c:pt>
                <c:pt idx="113">
                  <c:v>45456</c:v>
                </c:pt>
                <c:pt idx="114">
                  <c:v>45457</c:v>
                </c:pt>
                <c:pt idx="115">
                  <c:v>45460</c:v>
                </c:pt>
                <c:pt idx="116">
                  <c:v>45461</c:v>
                </c:pt>
                <c:pt idx="117">
                  <c:v>45462</c:v>
                </c:pt>
                <c:pt idx="118">
                  <c:v>45463</c:v>
                </c:pt>
                <c:pt idx="119">
                  <c:v>45464</c:v>
                </c:pt>
                <c:pt idx="120">
                  <c:v>45467</c:v>
                </c:pt>
                <c:pt idx="121">
                  <c:v>45468</c:v>
                </c:pt>
                <c:pt idx="122">
                  <c:v>45469</c:v>
                </c:pt>
                <c:pt idx="123">
                  <c:v>45470</c:v>
                </c:pt>
                <c:pt idx="124">
                  <c:v>45471</c:v>
                </c:pt>
                <c:pt idx="125">
                  <c:v>45474</c:v>
                </c:pt>
                <c:pt idx="126">
                  <c:v>45475</c:v>
                </c:pt>
                <c:pt idx="127">
                  <c:v>45476</c:v>
                </c:pt>
                <c:pt idx="128">
                  <c:v>45477</c:v>
                </c:pt>
                <c:pt idx="129">
                  <c:v>45478</c:v>
                </c:pt>
                <c:pt idx="130">
                  <c:v>45481</c:v>
                </c:pt>
                <c:pt idx="131">
                  <c:v>45482</c:v>
                </c:pt>
                <c:pt idx="132">
                  <c:v>45483</c:v>
                </c:pt>
                <c:pt idx="133">
                  <c:v>45484</c:v>
                </c:pt>
                <c:pt idx="134">
                  <c:v>45485</c:v>
                </c:pt>
                <c:pt idx="135">
                  <c:v>45488</c:v>
                </c:pt>
                <c:pt idx="136">
                  <c:v>45489</c:v>
                </c:pt>
                <c:pt idx="137">
                  <c:v>45490</c:v>
                </c:pt>
                <c:pt idx="138">
                  <c:v>45491</c:v>
                </c:pt>
                <c:pt idx="139">
                  <c:v>45492</c:v>
                </c:pt>
                <c:pt idx="140">
                  <c:v>45495</c:v>
                </c:pt>
                <c:pt idx="141">
                  <c:v>45496</c:v>
                </c:pt>
                <c:pt idx="142">
                  <c:v>45497</c:v>
                </c:pt>
                <c:pt idx="143">
                  <c:v>45498</c:v>
                </c:pt>
                <c:pt idx="144">
                  <c:v>45499</c:v>
                </c:pt>
                <c:pt idx="145">
                  <c:v>45502</c:v>
                </c:pt>
                <c:pt idx="146">
                  <c:v>45503</c:v>
                </c:pt>
                <c:pt idx="147">
                  <c:v>45504</c:v>
                </c:pt>
                <c:pt idx="148">
                  <c:v>45505</c:v>
                </c:pt>
                <c:pt idx="149">
                  <c:v>45506</c:v>
                </c:pt>
                <c:pt idx="150">
                  <c:v>45509</c:v>
                </c:pt>
                <c:pt idx="151">
                  <c:v>45510</c:v>
                </c:pt>
                <c:pt idx="152">
                  <c:v>45511</c:v>
                </c:pt>
                <c:pt idx="153">
                  <c:v>45512</c:v>
                </c:pt>
                <c:pt idx="154">
                  <c:v>45513</c:v>
                </c:pt>
                <c:pt idx="155">
                  <c:v>45516</c:v>
                </c:pt>
                <c:pt idx="156">
                  <c:v>45517</c:v>
                </c:pt>
                <c:pt idx="157">
                  <c:v>45518</c:v>
                </c:pt>
                <c:pt idx="158">
                  <c:v>45519</c:v>
                </c:pt>
                <c:pt idx="159">
                  <c:v>45520</c:v>
                </c:pt>
                <c:pt idx="160">
                  <c:v>45523</c:v>
                </c:pt>
                <c:pt idx="161">
                  <c:v>45524</c:v>
                </c:pt>
                <c:pt idx="162">
                  <c:v>45525</c:v>
                </c:pt>
                <c:pt idx="163">
                  <c:v>45526</c:v>
                </c:pt>
                <c:pt idx="164">
                  <c:v>45527</c:v>
                </c:pt>
                <c:pt idx="165">
                  <c:v>45530</c:v>
                </c:pt>
                <c:pt idx="166">
                  <c:v>45531</c:v>
                </c:pt>
                <c:pt idx="167">
                  <c:v>45532</c:v>
                </c:pt>
                <c:pt idx="168">
                  <c:v>45533</c:v>
                </c:pt>
                <c:pt idx="169">
                  <c:v>45534</c:v>
                </c:pt>
                <c:pt idx="170">
                  <c:v>45537</c:v>
                </c:pt>
                <c:pt idx="171">
                  <c:v>45538</c:v>
                </c:pt>
                <c:pt idx="172">
                  <c:v>45539</c:v>
                </c:pt>
                <c:pt idx="173">
                  <c:v>45540</c:v>
                </c:pt>
                <c:pt idx="174">
                  <c:v>45541</c:v>
                </c:pt>
                <c:pt idx="175">
                  <c:v>45544</c:v>
                </c:pt>
                <c:pt idx="176">
                  <c:v>45545</c:v>
                </c:pt>
                <c:pt idx="177">
                  <c:v>45546</c:v>
                </c:pt>
                <c:pt idx="178">
                  <c:v>45547</c:v>
                </c:pt>
                <c:pt idx="179">
                  <c:v>45548</c:v>
                </c:pt>
                <c:pt idx="180">
                  <c:v>45551</c:v>
                </c:pt>
                <c:pt idx="181">
                  <c:v>45552</c:v>
                </c:pt>
                <c:pt idx="182">
                  <c:v>45553</c:v>
                </c:pt>
                <c:pt idx="183">
                  <c:v>45554</c:v>
                </c:pt>
                <c:pt idx="184">
                  <c:v>45555</c:v>
                </c:pt>
                <c:pt idx="185">
                  <c:v>45558</c:v>
                </c:pt>
                <c:pt idx="186">
                  <c:v>45559</c:v>
                </c:pt>
                <c:pt idx="187">
                  <c:v>45560</c:v>
                </c:pt>
                <c:pt idx="188">
                  <c:v>45561</c:v>
                </c:pt>
                <c:pt idx="189">
                  <c:v>45562</c:v>
                </c:pt>
                <c:pt idx="190">
                  <c:v>45565</c:v>
                </c:pt>
                <c:pt idx="191">
                  <c:v>45566</c:v>
                </c:pt>
                <c:pt idx="192">
                  <c:v>45567</c:v>
                </c:pt>
                <c:pt idx="193">
                  <c:v>45568</c:v>
                </c:pt>
                <c:pt idx="194">
                  <c:v>45569</c:v>
                </c:pt>
                <c:pt idx="195">
                  <c:v>45572</c:v>
                </c:pt>
                <c:pt idx="196">
                  <c:v>45573</c:v>
                </c:pt>
                <c:pt idx="197">
                  <c:v>45574</c:v>
                </c:pt>
                <c:pt idx="198">
                  <c:v>45575</c:v>
                </c:pt>
                <c:pt idx="199">
                  <c:v>45576</c:v>
                </c:pt>
                <c:pt idx="200">
                  <c:v>45579</c:v>
                </c:pt>
                <c:pt idx="201">
                  <c:v>45580</c:v>
                </c:pt>
                <c:pt idx="202">
                  <c:v>45581</c:v>
                </c:pt>
                <c:pt idx="203">
                  <c:v>45582</c:v>
                </c:pt>
                <c:pt idx="204">
                  <c:v>45583</c:v>
                </c:pt>
                <c:pt idx="205">
                  <c:v>45586</c:v>
                </c:pt>
                <c:pt idx="206">
                  <c:v>45587</c:v>
                </c:pt>
                <c:pt idx="207">
                  <c:v>45588</c:v>
                </c:pt>
                <c:pt idx="208">
                  <c:v>45589</c:v>
                </c:pt>
                <c:pt idx="209">
                  <c:v>45590</c:v>
                </c:pt>
                <c:pt idx="210">
                  <c:v>45593</c:v>
                </c:pt>
                <c:pt idx="211">
                  <c:v>45594</c:v>
                </c:pt>
                <c:pt idx="212">
                  <c:v>45595</c:v>
                </c:pt>
                <c:pt idx="213">
                  <c:v>45596</c:v>
                </c:pt>
                <c:pt idx="214">
                  <c:v>45597</c:v>
                </c:pt>
                <c:pt idx="215">
                  <c:v>45598</c:v>
                </c:pt>
                <c:pt idx="216">
                  <c:v>45601</c:v>
                </c:pt>
                <c:pt idx="217">
                  <c:v>45602</c:v>
                </c:pt>
                <c:pt idx="218">
                  <c:v>45603</c:v>
                </c:pt>
                <c:pt idx="219">
                  <c:v>45604</c:v>
                </c:pt>
                <c:pt idx="220">
                  <c:v>45607</c:v>
                </c:pt>
                <c:pt idx="221">
                  <c:v>45608</c:v>
                </c:pt>
                <c:pt idx="222">
                  <c:v>45609</c:v>
                </c:pt>
                <c:pt idx="223">
                  <c:v>45610</c:v>
                </c:pt>
                <c:pt idx="224">
                  <c:v>45611</c:v>
                </c:pt>
                <c:pt idx="225">
                  <c:v>45614</c:v>
                </c:pt>
                <c:pt idx="226">
                  <c:v>45615</c:v>
                </c:pt>
                <c:pt idx="227">
                  <c:v>45616</c:v>
                </c:pt>
                <c:pt idx="228">
                  <c:v>45617</c:v>
                </c:pt>
                <c:pt idx="229">
                  <c:v>45618</c:v>
                </c:pt>
                <c:pt idx="230">
                  <c:v>45621</c:v>
                </c:pt>
                <c:pt idx="231">
                  <c:v>45622</c:v>
                </c:pt>
                <c:pt idx="232">
                  <c:v>45623</c:v>
                </c:pt>
                <c:pt idx="233">
                  <c:v>45624</c:v>
                </c:pt>
                <c:pt idx="234">
                  <c:v>45625</c:v>
                </c:pt>
                <c:pt idx="235">
                  <c:v>45628</c:v>
                </c:pt>
                <c:pt idx="236">
                  <c:v>45629</c:v>
                </c:pt>
                <c:pt idx="237">
                  <c:v>45630</c:v>
                </c:pt>
                <c:pt idx="238">
                  <c:v>45631</c:v>
                </c:pt>
                <c:pt idx="239">
                  <c:v>45632</c:v>
                </c:pt>
                <c:pt idx="240">
                  <c:v>45635</c:v>
                </c:pt>
                <c:pt idx="241">
                  <c:v>45636</c:v>
                </c:pt>
                <c:pt idx="242">
                  <c:v>45637</c:v>
                </c:pt>
                <c:pt idx="243">
                  <c:v>45638</c:v>
                </c:pt>
                <c:pt idx="244">
                  <c:v>45639</c:v>
                </c:pt>
                <c:pt idx="245">
                  <c:v>45642</c:v>
                </c:pt>
                <c:pt idx="246">
                  <c:v>45643</c:v>
                </c:pt>
                <c:pt idx="247">
                  <c:v>45644</c:v>
                </c:pt>
                <c:pt idx="248">
                  <c:v>45645</c:v>
                </c:pt>
                <c:pt idx="249">
                  <c:v>45646</c:v>
                </c:pt>
                <c:pt idx="250">
                  <c:v>45649</c:v>
                </c:pt>
                <c:pt idx="251">
                  <c:v>45650</c:v>
                </c:pt>
                <c:pt idx="252">
                  <c:v>45651</c:v>
                </c:pt>
                <c:pt idx="253">
                  <c:v>45652</c:v>
                </c:pt>
                <c:pt idx="254">
                  <c:v>45653</c:v>
                </c:pt>
                <c:pt idx="255">
                  <c:v>45654</c:v>
                </c:pt>
                <c:pt idx="256">
                  <c:v>45656</c:v>
                </c:pt>
              </c:numCache>
            </c:numRef>
          </c:cat>
          <c:val>
            <c:numRef>
              <c:f>Лист5!$B$2:$B$258</c:f>
              <c:numCache>
                <c:formatCode>General</c:formatCode>
                <c:ptCount val="257"/>
                <c:pt idx="0">
                  <c:v>0.69599999999999995</c:v>
                </c:pt>
                <c:pt idx="1">
                  <c:v>0.71399999999999997</c:v>
                </c:pt>
                <c:pt idx="2">
                  <c:v>0.74750000000000005</c:v>
                </c:pt>
                <c:pt idx="3">
                  <c:v>0.72699999999999998</c:v>
                </c:pt>
                <c:pt idx="4">
                  <c:v>0.73050000000000004</c:v>
                </c:pt>
                <c:pt idx="5">
                  <c:v>0.72199999999999998</c:v>
                </c:pt>
                <c:pt idx="6">
                  <c:v>0.72650000000000003</c:v>
                </c:pt>
                <c:pt idx="7">
                  <c:v>0.71</c:v>
                </c:pt>
                <c:pt idx="8">
                  <c:v>0.71950000000000003</c:v>
                </c:pt>
                <c:pt idx="9">
                  <c:v>0.72150000000000003</c:v>
                </c:pt>
                <c:pt idx="10">
                  <c:v>0.71850000000000003</c:v>
                </c:pt>
                <c:pt idx="11">
                  <c:v>0.73199999999999998</c:v>
                </c:pt>
                <c:pt idx="12">
                  <c:v>0.73399999999999999</c:v>
                </c:pt>
                <c:pt idx="13">
                  <c:v>0.72450000000000003</c:v>
                </c:pt>
                <c:pt idx="14">
                  <c:v>0.82299999999999995</c:v>
                </c:pt>
                <c:pt idx="15">
                  <c:v>1.0085</c:v>
                </c:pt>
                <c:pt idx="16">
                  <c:v>1.0175000000000001</c:v>
                </c:pt>
                <c:pt idx="17">
                  <c:v>0.95699999999999996</c:v>
                </c:pt>
                <c:pt idx="18">
                  <c:v>0.95899999999999996</c:v>
                </c:pt>
                <c:pt idx="19">
                  <c:v>0.92400000000000004</c:v>
                </c:pt>
                <c:pt idx="20">
                  <c:v>0.90249999999999997</c:v>
                </c:pt>
                <c:pt idx="21">
                  <c:v>0.91649999999999998</c:v>
                </c:pt>
                <c:pt idx="22">
                  <c:v>0.90100000000000002</c:v>
                </c:pt>
                <c:pt idx="23">
                  <c:v>0.87849999999999995</c:v>
                </c:pt>
                <c:pt idx="24">
                  <c:v>0.88400000000000001</c:v>
                </c:pt>
                <c:pt idx="25">
                  <c:v>0.90449999999999997</c:v>
                </c:pt>
                <c:pt idx="26">
                  <c:v>0.96150000000000002</c:v>
                </c:pt>
                <c:pt idx="27">
                  <c:v>0.90700000000000003</c:v>
                </c:pt>
                <c:pt idx="28">
                  <c:v>0.88800000000000001</c:v>
                </c:pt>
                <c:pt idx="29">
                  <c:v>0.88749999999999996</c:v>
                </c:pt>
                <c:pt idx="30">
                  <c:v>0.88500000000000001</c:v>
                </c:pt>
                <c:pt idx="31">
                  <c:v>0.90700000000000003</c:v>
                </c:pt>
                <c:pt idx="32">
                  <c:v>0.89300000000000002</c:v>
                </c:pt>
                <c:pt idx="33">
                  <c:v>0.89700000000000002</c:v>
                </c:pt>
                <c:pt idx="34">
                  <c:v>0.89</c:v>
                </c:pt>
                <c:pt idx="35">
                  <c:v>0.90049999999999997</c:v>
                </c:pt>
                <c:pt idx="36">
                  <c:v>0.84850000000000003</c:v>
                </c:pt>
                <c:pt idx="37">
                  <c:v>0.85050000000000003</c:v>
                </c:pt>
                <c:pt idx="38">
                  <c:v>0.86050000000000004</c:v>
                </c:pt>
                <c:pt idx="39">
                  <c:v>0.87949999999999995</c:v>
                </c:pt>
                <c:pt idx="40">
                  <c:v>0.89600000000000002</c:v>
                </c:pt>
                <c:pt idx="41">
                  <c:v>0.89600000000000002</c:v>
                </c:pt>
                <c:pt idx="42">
                  <c:v>0.89900000000000002</c:v>
                </c:pt>
                <c:pt idx="43">
                  <c:v>0.90400000000000003</c:v>
                </c:pt>
                <c:pt idx="44">
                  <c:v>0.90600000000000003</c:v>
                </c:pt>
                <c:pt idx="45">
                  <c:v>0.90249999999999997</c:v>
                </c:pt>
                <c:pt idx="46">
                  <c:v>0.89949999999999997</c:v>
                </c:pt>
                <c:pt idx="47">
                  <c:v>0.89249999999999996</c:v>
                </c:pt>
                <c:pt idx="48">
                  <c:v>0.88449999999999995</c:v>
                </c:pt>
                <c:pt idx="49">
                  <c:v>0.88500000000000001</c:v>
                </c:pt>
                <c:pt idx="50">
                  <c:v>0.876</c:v>
                </c:pt>
                <c:pt idx="51">
                  <c:v>0.874</c:v>
                </c:pt>
                <c:pt idx="52">
                  <c:v>0.86250000000000004</c:v>
                </c:pt>
                <c:pt idx="53">
                  <c:v>0.83450000000000002</c:v>
                </c:pt>
                <c:pt idx="54">
                  <c:v>0.82150000000000001</c:v>
                </c:pt>
                <c:pt idx="55">
                  <c:v>0.82450000000000001</c:v>
                </c:pt>
                <c:pt idx="56">
                  <c:v>0.83</c:v>
                </c:pt>
                <c:pt idx="57">
                  <c:v>0.81</c:v>
                </c:pt>
                <c:pt idx="58">
                  <c:v>0.8155</c:v>
                </c:pt>
                <c:pt idx="59">
                  <c:v>0.8105</c:v>
                </c:pt>
                <c:pt idx="60">
                  <c:v>0.84799999999999998</c:v>
                </c:pt>
                <c:pt idx="61">
                  <c:v>0.8095</c:v>
                </c:pt>
                <c:pt idx="62">
                  <c:v>0.82</c:v>
                </c:pt>
                <c:pt idx="63">
                  <c:v>0.8105</c:v>
                </c:pt>
                <c:pt idx="64">
                  <c:v>0.80649999999999999</c:v>
                </c:pt>
                <c:pt idx="65">
                  <c:v>0.8075</c:v>
                </c:pt>
                <c:pt idx="66">
                  <c:v>0.81100000000000005</c:v>
                </c:pt>
                <c:pt idx="67">
                  <c:v>0.8105</c:v>
                </c:pt>
                <c:pt idx="68">
                  <c:v>0.81599999999999995</c:v>
                </c:pt>
                <c:pt idx="69">
                  <c:v>0.84850000000000003</c:v>
                </c:pt>
                <c:pt idx="70">
                  <c:v>0.86</c:v>
                </c:pt>
                <c:pt idx="71">
                  <c:v>0.82599999999999996</c:v>
                </c:pt>
                <c:pt idx="72">
                  <c:v>0.82699999999999996</c:v>
                </c:pt>
                <c:pt idx="73">
                  <c:v>0.83350000000000002</c:v>
                </c:pt>
                <c:pt idx="74">
                  <c:v>0.83099999999999996</c:v>
                </c:pt>
                <c:pt idx="75">
                  <c:v>0.82799999999999996</c:v>
                </c:pt>
                <c:pt idx="76">
                  <c:v>0.82399999999999995</c:v>
                </c:pt>
                <c:pt idx="77">
                  <c:v>0.82450000000000001</c:v>
                </c:pt>
                <c:pt idx="78">
                  <c:v>0.8145</c:v>
                </c:pt>
                <c:pt idx="79">
                  <c:v>0.80600000000000005</c:v>
                </c:pt>
                <c:pt idx="80">
                  <c:v>0.80449999999999999</c:v>
                </c:pt>
                <c:pt idx="81">
                  <c:v>0.80500000000000005</c:v>
                </c:pt>
                <c:pt idx="82">
                  <c:v>0.81100000000000005</c:v>
                </c:pt>
                <c:pt idx="83">
                  <c:v>0.80649999999999999</c:v>
                </c:pt>
                <c:pt idx="84">
                  <c:v>0.80900000000000005</c:v>
                </c:pt>
                <c:pt idx="85">
                  <c:v>0.81499999999999995</c:v>
                </c:pt>
                <c:pt idx="86">
                  <c:v>0.8125</c:v>
                </c:pt>
                <c:pt idx="87">
                  <c:v>0.82150000000000001</c:v>
                </c:pt>
                <c:pt idx="88">
                  <c:v>0.81</c:v>
                </c:pt>
                <c:pt idx="89">
                  <c:v>0.82199999999999995</c:v>
                </c:pt>
                <c:pt idx="90">
                  <c:v>0.8125</c:v>
                </c:pt>
                <c:pt idx="91">
                  <c:v>0.82450000000000001</c:v>
                </c:pt>
                <c:pt idx="92">
                  <c:v>0.81399999999999995</c:v>
                </c:pt>
                <c:pt idx="93">
                  <c:v>0.80700000000000005</c:v>
                </c:pt>
                <c:pt idx="94">
                  <c:v>0.80300000000000005</c:v>
                </c:pt>
                <c:pt idx="95">
                  <c:v>0.80149999999999999</c:v>
                </c:pt>
                <c:pt idx="96">
                  <c:v>0.78400000000000003</c:v>
                </c:pt>
                <c:pt idx="97">
                  <c:v>0.76549999999999996</c:v>
                </c:pt>
                <c:pt idx="98">
                  <c:v>0.77100000000000002</c:v>
                </c:pt>
                <c:pt idx="99">
                  <c:v>0.76300000000000001</c:v>
                </c:pt>
                <c:pt idx="100">
                  <c:v>0.73350000000000004</c:v>
                </c:pt>
                <c:pt idx="101">
                  <c:v>0.70299999999999996</c:v>
                </c:pt>
                <c:pt idx="102">
                  <c:v>0.6905</c:v>
                </c:pt>
                <c:pt idx="103">
                  <c:v>0.67</c:v>
                </c:pt>
                <c:pt idx="104">
                  <c:v>0.77149999999999996</c:v>
                </c:pt>
                <c:pt idx="105">
                  <c:v>0.73250000000000004</c:v>
                </c:pt>
                <c:pt idx="106">
                  <c:v>0.66600000000000004</c:v>
                </c:pt>
                <c:pt idx="107">
                  <c:v>0.71199999999999997</c:v>
                </c:pt>
                <c:pt idx="108">
                  <c:v>0.70599999999999996</c:v>
                </c:pt>
                <c:pt idx="109">
                  <c:v>0.70950000000000002</c:v>
                </c:pt>
                <c:pt idx="110">
                  <c:v>0.70750000000000002</c:v>
                </c:pt>
                <c:pt idx="111">
                  <c:v>0.70550000000000002</c:v>
                </c:pt>
                <c:pt idx="112">
                  <c:v>0.67549999999999999</c:v>
                </c:pt>
                <c:pt idx="113">
                  <c:v>0.66849999999999998</c:v>
                </c:pt>
                <c:pt idx="114">
                  <c:v>0.70199999999999996</c:v>
                </c:pt>
                <c:pt idx="115">
                  <c:v>0.68100000000000005</c:v>
                </c:pt>
                <c:pt idx="116">
                  <c:v>0.66649999999999998</c:v>
                </c:pt>
                <c:pt idx="117">
                  <c:v>0.64400000000000002</c:v>
                </c:pt>
                <c:pt idx="118">
                  <c:v>0.65849999999999997</c:v>
                </c:pt>
                <c:pt idx="119">
                  <c:v>0.65800000000000003</c:v>
                </c:pt>
                <c:pt idx="120">
                  <c:v>0.65300000000000002</c:v>
                </c:pt>
                <c:pt idx="121">
                  <c:v>0.67800000000000005</c:v>
                </c:pt>
                <c:pt idx="122">
                  <c:v>0.67549999999999999</c:v>
                </c:pt>
                <c:pt idx="123">
                  <c:v>0.66500000000000004</c:v>
                </c:pt>
                <c:pt idx="124">
                  <c:v>0.66449999999999998</c:v>
                </c:pt>
                <c:pt idx="125">
                  <c:v>0.66649999999999998</c:v>
                </c:pt>
                <c:pt idx="126">
                  <c:v>0.66300000000000003</c:v>
                </c:pt>
                <c:pt idx="127">
                  <c:v>0.69199999999999995</c:v>
                </c:pt>
                <c:pt idx="128">
                  <c:v>0.65949999999999998</c:v>
                </c:pt>
                <c:pt idx="129">
                  <c:v>0.63849999999999996</c:v>
                </c:pt>
                <c:pt idx="130">
                  <c:v>0.64149999999999996</c:v>
                </c:pt>
                <c:pt idx="131">
                  <c:v>0.61450000000000005</c:v>
                </c:pt>
                <c:pt idx="132">
                  <c:v>0.55700000000000005</c:v>
                </c:pt>
                <c:pt idx="133">
                  <c:v>0.57699999999999996</c:v>
                </c:pt>
                <c:pt idx="134">
                  <c:v>0.59199999999999997</c:v>
                </c:pt>
                <c:pt idx="135">
                  <c:v>0.60650000000000004</c:v>
                </c:pt>
                <c:pt idx="136">
                  <c:v>0.57399999999999995</c:v>
                </c:pt>
                <c:pt idx="137">
                  <c:v>0.59099999999999997</c:v>
                </c:pt>
                <c:pt idx="138">
                  <c:v>0.59350000000000003</c:v>
                </c:pt>
                <c:pt idx="139">
                  <c:v>0.59899999999999998</c:v>
                </c:pt>
                <c:pt idx="140">
                  <c:v>0.60050000000000003</c:v>
                </c:pt>
                <c:pt idx="141">
                  <c:v>0.59399999999999997</c:v>
                </c:pt>
                <c:pt idx="142">
                  <c:v>0.60499999999999998</c:v>
                </c:pt>
                <c:pt idx="143">
                  <c:v>0.6</c:v>
                </c:pt>
                <c:pt idx="144">
                  <c:v>0.59250000000000003</c:v>
                </c:pt>
                <c:pt idx="145">
                  <c:v>0.58899999999999997</c:v>
                </c:pt>
                <c:pt idx="146">
                  <c:v>0.59</c:v>
                </c:pt>
                <c:pt idx="147">
                  <c:v>0.59799999999999998</c:v>
                </c:pt>
                <c:pt idx="148">
                  <c:v>0.59799999999999998</c:v>
                </c:pt>
                <c:pt idx="149">
                  <c:v>0.61350000000000005</c:v>
                </c:pt>
                <c:pt idx="150">
                  <c:v>0.58150000000000002</c:v>
                </c:pt>
                <c:pt idx="151">
                  <c:v>0.57750000000000001</c:v>
                </c:pt>
                <c:pt idx="152">
                  <c:v>0.56899999999999995</c:v>
                </c:pt>
                <c:pt idx="153">
                  <c:v>0.57350000000000001</c:v>
                </c:pt>
                <c:pt idx="154">
                  <c:v>0.56599999999999995</c:v>
                </c:pt>
                <c:pt idx="155">
                  <c:v>0.55549999999999999</c:v>
                </c:pt>
                <c:pt idx="156">
                  <c:v>0.58099999999999996</c:v>
                </c:pt>
                <c:pt idx="157">
                  <c:v>0.68200000000000005</c:v>
                </c:pt>
                <c:pt idx="158">
                  <c:v>0.63600000000000001</c:v>
                </c:pt>
                <c:pt idx="159">
                  <c:v>0.61550000000000005</c:v>
                </c:pt>
                <c:pt idx="160">
                  <c:v>0.59950000000000003</c:v>
                </c:pt>
                <c:pt idx="161">
                  <c:v>0.59950000000000003</c:v>
                </c:pt>
                <c:pt idx="162">
                  <c:v>0.60650000000000004</c:v>
                </c:pt>
                <c:pt idx="163">
                  <c:v>0.58199999999999996</c:v>
                </c:pt>
                <c:pt idx="164">
                  <c:v>0.5655</c:v>
                </c:pt>
                <c:pt idx="165">
                  <c:v>0.59099999999999997</c:v>
                </c:pt>
                <c:pt idx="166">
                  <c:v>0.58299999999999996</c:v>
                </c:pt>
                <c:pt idx="167">
                  <c:v>0.5655</c:v>
                </c:pt>
                <c:pt idx="168">
                  <c:v>0.56850000000000001</c:v>
                </c:pt>
                <c:pt idx="169">
                  <c:v>0.54849999999999999</c:v>
                </c:pt>
                <c:pt idx="170">
                  <c:v>0.53100000000000003</c:v>
                </c:pt>
                <c:pt idx="171">
                  <c:v>0.51749999999999996</c:v>
                </c:pt>
                <c:pt idx="172">
                  <c:v>0.51900000000000002</c:v>
                </c:pt>
                <c:pt idx="173">
                  <c:v>0.54700000000000004</c:v>
                </c:pt>
                <c:pt idx="174">
                  <c:v>0.53400000000000003</c:v>
                </c:pt>
                <c:pt idx="175">
                  <c:v>0.56100000000000005</c:v>
                </c:pt>
                <c:pt idx="176">
                  <c:v>0.5635</c:v>
                </c:pt>
                <c:pt idx="177">
                  <c:v>0.54949999999999999</c:v>
                </c:pt>
                <c:pt idx="178">
                  <c:v>0.53149999999999997</c:v>
                </c:pt>
                <c:pt idx="179">
                  <c:v>0.53349999999999997</c:v>
                </c:pt>
                <c:pt idx="180">
                  <c:v>0.55000000000000004</c:v>
                </c:pt>
                <c:pt idx="181">
                  <c:v>0.55300000000000005</c:v>
                </c:pt>
                <c:pt idx="182">
                  <c:v>0.61850000000000005</c:v>
                </c:pt>
                <c:pt idx="183">
                  <c:v>0.60050000000000003</c:v>
                </c:pt>
                <c:pt idx="184">
                  <c:v>0.59099999999999997</c:v>
                </c:pt>
                <c:pt idx="185">
                  <c:v>0.59450000000000003</c:v>
                </c:pt>
                <c:pt idx="186">
                  <c:v>0.59550000000000003</c:v>
                </c:pt>
                <c:pt idx="187">
                  <c:v>0.59599999999999997</c:v>
                </c:pt>
                <c:pt idx="188">
                  <c:v>0.58299999999999996</c:v>
                </c:pt>
                <c:pt idx="189">
                  <c:v>0.58250000000000002</c:v>
                </c:pt>
                <c:pt idx="190">
                  <c:v>0.58750000000000002</c:v>
                </c:pt>
                <c:pt idx="191">
                  <c:v>0.57799999999999996</c:v>
                </c:pt>
                <c:pt idx="192">
                  <c:v>0.58450000000000002</c:v>
                </c:pt>
                <c:pt idx="193">
                  <c:v>0.5675</c:v>
                </c:pt>
                <c:pt idx="194">
                  <c:v>0.57099999999999995</c:v>
                </c:pt>
                <c:pt idx="195">
                  <c:v>0.5665</c:v>
                </c:pt>
                <c:pt idx="196">
                  <c:v>0.5665</c:v>
                </c:pt>
                <c:pt idx="197">
                  <c:v>0.5665</c:v>
                </c:pt>
                <c:pt idx="198">
                  <c:v>0.57199999999999995</c:v>
                </c:pt>
                <c:pt idx="199">
                  <c:v>0.57050000000000001</c:v>
                </c:pt>
                <c:pt idx="200">
                  <c:v>0.5675</c:v>
                </c:pt>
                <c:pt idx="201">
                  <c:v>0.57899999999999996</c:v>
                </c:pt>
                <c:pt idx="202">
                  <c:v>0.61750000000000005</c:v>
                </c:pt>
                <c:pt idx="203">
                  <c:v>0.57250000000000001</c:v>
                </c:pt>
                <c:pt idx="204">
                  <c:v>0.57650000000000001</c:v>
                </c:pt>
                <c:pt idx="205">
                  <c:v>0.57050000000000001</c:v>
                </c:pt>
                <c:pt idx="206">
                  <c:v>0.5665</c:v>
                </c:pt>
                <c:pt idx="207">
                  <c:v>0.56100000000000005</c:v>
                </c:pt>
                <c:pt idx="208">
                  <c:v>0.55149999999999999</c:v>
                </c:pt>
                <c:pt idx="209">
                  <c:v>0.54900000000000004</c:v>
                </c:pt>
                <c:pt idx="210">
                  <c:v>0.53349999999999997</c:v>
                </c:pt>
                <c:pt idx="211">
                  <c:v>0.53600000000000003</c:v>
                </c:pt>
                <c:pt idx="212">
                  <c:v>0.54500000000000004</c:v>
                </c:pt>
                <c:pt idx="213">
                  <c:v>0.53449999999999998</c:v>
                </c:pt>
                <c:pt idx="214">
                  <c:v>0.53349999999999997</c:v>
                </c:pt>
                <c:pt idx="215">
                  <c:v>0.53949999999999998</c:v>
                </c:pt>
                <c:pt idx="216">
                  <c:v>0.53949999999999998</c:v>
                </c:pt>
                <c:pt idx="217">
                  <c:v>0.55249999999999999</c:v>
                </c:pt>
                <c:pt idx="218">
                  <c:v>0.54</c:v>
                </c:pt>
                <c:pt idx="219">
                  <c:v>0.54649999999999999</c:v>
                </c:pt>
                <c:pt idx="220">
                  <c:v>0.55249999999999999</c:v>
                </c:pt>
                <c:pt idx="221">
                  <c:v>0.57450000000000001</c:v>
                </c:pt>
                <c:pt idx="222">
                  <c:v>0.57550000000000001</c:v>
                </c:pt>
                <c:pt idx="223">
                  <c:v>0.56799999999999995</c:v>
                </c:pt>
                <c:pt idx="224">
                  <c:v>0.5645</c:v>
                </c:pt>
                <c:pt idx="225">
                  <c:v>0.55249999999999999</c:v>
                </c:pt>
                <c:pt idx="226">
                  <c:v>0.54400000000000004</c:v>
                </c:pt>
                <c:pt idx="227">
                  <c:v>0.54949999999999999</c:v>
                </c:pt>
                <c:pt idx="228">
                  <c:v>0.53</c:v>
                </c:pt>
                <c:pt idx="229">
                  <c:v>0.53300000000000003</c:v>
                </c:pt>
                <c:pt idx="230">
                  <c:v>0.52649999999999997</c:v>
                </c:pt>
                <c:pt idx="231">
                  <c:v>0.504</c:v>
                </c:pt>
                <c:pt idx="232">
                  <c:v>0.45050000000000001</c:v>
                </c:pt>
                <c:pt idx="233">
                  <c:v>0.45700000000000002</c:v>
                </c:pt>
                <c:pt idx="234">
                  <c:v>0.45700000000000002</c:v>
                </c:pt>
                <c:pt idx="235">
                  <c:v>0.45300000000000001</c:v>
                </c:pt>
                <c:pt idx="236">
                  <c:v>0.45100000000000001</c:v>
                </c:pt>
                <c:pt idx="237">
                  <c:v>0.443</c:v>
                </c:pt>
                <c:pt idx="238">
                  <c:v>0.42349999999999999</c:v>
                </c:pt>
                <c:pt idx="239">
                  <c:v>0.42749999999999999</c:v>
                </c:pt>
                <c:pt idx="240">
                  <c:v>0.42949999999999999</c:v>
                </c:pt>
                <c:pt idx="241">
                  <c:v>0.42099999999999999</c:v>
                </c:pt>
                <c:pt idx="242">
                  <c:v>0.41549999999999998</c:v>
                </c:pt>
                <c:pt idx="243">
                  <c:v>0.41599999999999998</c:v>
                </c:pt>
                <c:pt idx="244">
                  <c:v>0.40899999999999997</c:v>
                </c:pt>
                <c:pt idx="245">
                  <c:v>0.39300000000000002</c:v>
                </c:pt>
                <c:pt idx="246">
                  <c:v>0.38200000000000001</c:v>
                </c:pt>
                <c:pt idx="247">
                  <c:v>0.45150000000000001</c:v>
                </c:pt>
                <c:pt idx="248">
                  <c:v>0.57899999999999996</c:v>
                </c:pt>
                <c:pt idx="249">
                  <c:v>0.59</c:v>
                </c:pt>
                <c:pt idx="250">
                  <c:v>0.53949999999999998</c:v>
                </c:pt>
                <c:pt idx="251">
                  <c:v>0.53349999999999997</c:v>
                </c:pt>
                <c:pt idx="252">
                  <c:v>0.56100000000000005</c:v>
                </c:pt>
                <c:pt idx="253">
                  <c:v>0.55900000000000005</c:v>
                </c:pt>
                <c:pt idx="254">
                  <c:v>0.54749999999999999</c:v>
                </c:pt>
                <c:pt idx="255">
                  <c:v>0.55449999999999999</c:v>
                </c:pt>
                <c:pt idx="256">
                  <c:v>0.57350000000000001</c:v>
                </c:pt>
              </c:numCache>
            </c:numRef>
          </c:val>
          <c:smooth val="0"/>
          <c:extLst>
            <c:ext xmlns:c16="http://schemas.microsoft.com/office/drawing/2014/chart" uri="{C3380CC4-5D6E-409C-BE32-E72D297353CC}">
              <c16:uniqueId val="{00000001-248D-45F1-9795-E3075C4C3712}"/>
            </c:ext>
          </c:extLst>
        </c:ser>
        <c:dLbls>
          <c:showLegendKey val="0"/>
          <c:showVal val="0"/>
          <c:showCatName val="0"/>
          <c:showSerName val="0"/>
          <c:showPercent val="0"/>
          <c:showBubbleSize val="0"/>
        </c:dLbls>
        <c:marker val="1"/>
        <c:smooth val="0"/>
        <c:axId val="326433792"/>
        <c:axId val="326432256"/>
      </c:lineChart>
      <c:dateAx>
        <c:axId val="318269696"/>
        <c:scaling>
          <c:orientation val="minMax"/>
        </c:scaling>
        <c:delete val="0"/>
        <c:axPos val="b"/>
        <c:numFmt formatCode="dd/mm/yyyy" sourceLinked="1"/>
        <c:majorTickMark val="out"/>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a:solidFill>
                  <a:schemeClr val="tx1">
                    <a:lumMod val="65000"/>
                    <a:lumOff val="35000"/>
                  </a:schemeClr>
                </a:solidFill>
                <a:latin typeface="Calibri"/>
                <a:ea typeface="Arial"/>
                <a:cs typeface="Arial"/>
              </a:defRPr>
            </a:pPr>
            <a:endParaRPr lang="ru-RU"/>
          </a:p>
        </c:txPr>
        <c:crossAx val="326430720"/>
        <c:crosses val="autoZero"/>
        <c:auto val="1"/>
        <c:lblOffset val="100"/>
        <c:baseTimeUnit val="days"/>
      </c:dateAx>
      <c:valAx>
        <c:axId val="326430720"/>
        <c:scaling>
          <c:orientation val="minMax"/>
        </c:scaling>
        <c:delete val="0"/>
        <c:axPos val="l"/>
        <c:majorGridlines>
          <c:spPr>
            <a:prstGeom prst="rect">
              <a:avLst/>
            </a:prstGeom>
            <a:ln w="9525" cap="flat" cmpd="sng" algn="ctr">
              <a:solidFill>
                <a:schemeClr val="tx1">
                  <a:lumMod val="15000"/>
                  <a:lumOff val="85000"/>
                </a:schemeClr>
              </a:solidFill>
              <a:round/>
            </a:ln>
          </c:spPr>
        </c:majorGridlines>
        <c:numFmt formatCode="#,##0.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a:solidFill>
                  <a:schemeClr val="tx1">
                    <a:lumMod val="65000"/>
                    <a:lumOff val="35000"/>
                  </a:schemeClr>
                </a:solidFill>
                <a:latin typeface="Calibri"/>
                <a:ea typeface="Arial"/>
                <a:cs typeface="Arial"/>
              </a:defRPr>
            </a:pPr>
            <a:endParaRPr lang="ru-RU"/>
          </a:p>
        </c:txPr>
        <c:crossAx val="318269696"/>
        <c:crosses val="autoZero"/>
        <c:crossBetween val="between"/>
      </c:valAx>
      <c:valAx>
        <c:axId val="326432256"/>
        <c:scaling>
          <c:orientation val="minMax"/>
          <c:min val="0.3"/>
        </c:scaling>
        <c:delete val="0"/>
        <c:axPos val="r"/>
        <c:numFmt formatCode="General" sourceLinked="1"/>
        <c:majorTickMark val="out"/>
        <c:minorTickMark val="none"/>
        <c:tickLblPos val="nextTo"/>
        <c:spPr>
          <a:prstGeom prst="rect">
            <a:avLst/>
          </a:prstGeom>
          <a:noFill/>
          <a:effectLst/>
        </c:spPr>
        <c:txPr>
          <a:bodyPr rot="-60000000" spcFirstLastPara="1" vertOverflow="ellipsis" vert="horz" wrap="square" anchor="ctr" anchorCtr="1"/>
          <a:lstStyle/>
          <a:p>
            <a:pPr>
              <a:defRPr sz="900">
                <a:solidFill>
                  <a:schemeClr val="tx1">
                    <a:lumMod val="65000"/>
                    <a:lumOff val="35000"/>
                  </a:schemeClr>
                </a:solidFill>
                <a:latin typeface="Calibri"/>
                <a:ea typeface="Arial"/>
                <a:cs typeface="Arial"/>
              </a:defRPr>
            </a:pPr>
            <a:endParaRPr lang="ru-RU"/>
          </a:p>
        </c:txPr>
        <c:crossAx val="326433792"/>
        <c:crosses val="max"/>
        <c:crossBetween val="between"/>
      </c:valAx>
      <c:dateAx>
        <c:axId val="326433792"/>
        <c:scaling>
          <c:orientation val="minMax"/>
        </c:scaling>
        <c:delete val="1"/>
        <c:axPos val="b"/>
        <c:numFmt formatCode="dd/mm/yyyy" sourceLinked="1"/>
        <c:majorTickMark val="out"/>
        <c:minorTickMark val="none"/>
        <c:tickLblPos val="nextTo"/>
        <c:crossAx val="326432256"/>
        <c:crosses val="autoZero"/>
        <c:auto val="1"/>
        <c:lblOffset val="100"/>
        <c:baseTimeUnit val="days"/>
      </c:dateAx>
      <c:spPr>
        <a:prstGeom prst="rect">
          <a:avLst/>
        </a:prstGeom>
        <a:noFill/>
        <a:ln>
          <a:noFill/>
        </a:ln>
        <a:effectLst/>
      </c:spPr>
    </c:plotArea>
    <c:legend>
      <c:legendPos val="b"/>
      <c:layout/>
      <c:overlay val="0"/>
      <c:spPr>
        <a:prstGeom prst="rect">
          <a:avLst/>
        </a:prstGeom>
        <a:noFill/>
        <a:ln>
          <a:noFill/>
        </a:ln>
        <a:effectLst/>
      </c:spPr>
      <c:txPr>
        <a:bodyPr rot="0" spcFirstLastPara="1" vertOverflow="ellipsis" vert="horz" wrap="square" anchor="ctr" anchorCtr="1"/>
        <a:lstStyle/>
        <a:p>
          <a:pPr>
            <a:defRPr sz="900">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sz="1000">
          <a:solidFill>
            <a:schemeClr val="tx1"/>
          </a:solidFill>
          <a:latin typeface="+mn-lt"/>
          <a:ea typeface="+mn-ea"/>
          <a:cs typeface="+mn-cs"/>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spc="0">
                <a:solidFill>
                  <a:schemeClr val="tx1">
                    <a:lumMod val="65000"/>
                    <a:lumOff val="35000"/>
                  </a:schemeClr>
                </a:solidFill>
                <a:latin typeface="Times New Roman"/>
                <a:ea typeface="Times New Roman"/>
                <a:cs typeface="Times New Roman"/>
              </a:defRPr>
            </a:pPr>
            <a:r>
              <a:rPr lang="ru-RU" sz="800">
                <a:latin typeface="Times New Roman"/>
                <a:ea typeface="Times New Roman"/>
                <a:cs typeface="Times New Roman"/>
              </a:rPr>
              <a:t>Передача электроэнергии и потери</a:t>
            </a:r>
            <a:endParaRPr lang="ru-RU" sz="800">
              <a:latin typeface="Times New Roman"/>
              <a:cs typeface="Times New Roman"/>
            </a:endParaRPr>
          </a:p>
        </c:rich>
      </c:tx>
      <c:layout/>
      <c:overlay val="0"/>
      <c:spPr>
        <a:prstGeom prst="rect">
          <a:avLst/>
        </a:prstGeom>
        <a:noFill/>
        <a:ln>
          <a:noFill/>
        </a:ln>
        <a:effectLst/>
      </c:spPr>
    </c:title>
    <c:autoTitleDeleted val="0"/>
    <c:plotArea>
      <c:layout>
        <c:manualLayout>
          <c:layoutTarget val="inner"/>
          <c:xMode val="edge"/>
          <c:yMode val="edge"/>
          <c:x val="0.12358"/>
          <c:y val="0.17634"/>
          <c:w val="0.81694"/>
          <c:h val="0.46566999999999997"/>
        </c:manualLayout>
      </c:layout>
      <c:barChart>
        <c:barDir val="col"/>
        <c:grouping val="clustered"/>
        <c:varyColors val="0"/>
        <c:ser>
          <c:idx val="0"/>
          <c:order val="0"/>
          <c:tx>
            <c:strRef>
              <c:f>Лист2!$A$2</c:f>
              <c:strCache>
                <c:ptCount val="1"/>
                <c:pt idx="0">
                  <c:v>Отпуск в сеть, млн кВт*ч</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800" b="0" i="0" u="none" strike="noStrike">
                    <a:solidFill>
                      <a:schemeClr val="tx1">
                        <a:lumMod val="75000"/>
                        <a:lumOff val="25000"/>
                      </a:schemeClr>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Лист2!$B$1:$D$1</c:f>
              <c:strCache>
                <c:ptCount val="3"/>
                <c:pt idx="0">
                  <c:v>2022 г.</c:v>
                </c:pt>
                <c:pt idx="1">
                  <c:v>2023 г.</c:v>
                </c:pt>
                <c:pt idx="2">
                  <c:v>2024 г.</c:v>
                </c:pt>
              </c:strCache>
            </c:strRef>
          </c:cat>
          <c:val>
            <c:numRef>
              <c:f>Лист2!$B$2:$D$2</c:f>
              <c:numCache>
                <c:formatCode>#,##0.0</c:formatCode>
                <c:ptCount val="3"/>
                <c:pt idx="0">
                  <c:v>60285.599999999999</c:v>
                </c:pt>
                <c:pt idx="1">
                  <c:v>61360.2</c:v>
                </c:pt>
                <c:pt idx="2">
                  <c:v>63925.1</c:v>
                </c:pt>
              </c:numCache>
            </c:numRef>
          </c:val>
          <c:extLst>
            <c:ext xmlns:c16="http://schemas.microsoft.com/office/drawing/2014/chart" uri="{C3380CC4-5D6E-409C-BE32-E72D297353CC}">
              <c16:uniqueId val="{00000000-1E56-4792-80AA-514E2567B2CF}"/>
            </c:ext>
          </c:extLst>
        </c:ser>
        <c:ser>
          <c:idx val="1"/>
          <c:order val="1"/>
          <c:tx>
            <c:strRef>
              <c:f>Лист2!$A$3</c:f>
              <c:strCache>
                <c:ptCount val="1"/>
                <c:pt idx="0">
                  <c:v>Отпуск из сети потребителям и смежным ТСО, млн кВт*ч</c:v>
                </c:pt>
              </c:strCache>
            </c:strRef>
          </c:tx>
          <c:spPr>
            <a:prstGeom prst="rect">
              <a:avLst/>
            </a:prstGeom>
            <a:solidFill>
              <a:schemeClr val="accent2"/>
            </a:solidFill>
            <a:ln>
              <a:noFill/>
            </a:ln>
            <a:effectLst/>
          </c:spPr>
          <c:invertIfNegative val="0"/>
          <c:dLbls>
            <c:spPr>
              <a:noFill/>
              <a:ln>
                <a:noFill/>
                <a:miter/>
              </a:ln>
              <a:effectLst/>
            </c:spPr>
            <c:txPr>
              <a:bodyPr rot="0" spcFirstLastPara="1" vertOverflow="ellipsis" vert="horz" wrap="square" lIns="38099" tIns="19049" rIns="38099" bIns="19049" anchor="ctr" anchorCtr="1">
                <a:spAutoFit/>
              </a:bodyPr>
              <a:lstStyle/>
              <a:p>
                <a:pPr>
                  <a:defRPr sz="800" b="0" i="0" u="none" strike="noStrike">
                    <a:solidFill>
                      <a:schemeClr val="tx1">
                        <a:lumMod val="75000"/>
                        <a:lumOff val="25000"/>
                      </a:schemeClr>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Лист2!$B$1:$D$1</c:f>
              <c:strCache>
                <c:ptCount val="3"/>
                <c:pt idx="0">
                  <c:v>2022 г.</c:v>
                </c:pt>
                <c:pt idx="1">
                  <c:v>2023 г.</c:v>
                </c:pt>
                <c:pt idx="2">
                  <c:v>2024 г.</c:v>
                </c:pt>
              </c:strCache>
            </c:strRef>
          </c:cat>
          <c:val>
            <c:numRef>
              <c:f>Лист2!$B$3:$D$3</c:f>
              <c:numCache>
                <c:formatCode>#,##0.0</c:formatCode>
                <c:ptCount val="3"/>
                <c:pt idx="0">
                  <c:v>55785.8</c:v>
                </c:pt>
                <c:pt idx="1">
                  <c:v>56708.4</c:v>
                </c:pt>
                <c:pt idx="2">
                  <c:v>59041.7</c:v>
                </c:pt>
              </c:numCache>
            </c:numRef>
          </c:val>
          <c:extLst>
            <c:ext xmlns:c16="http://schemas.microsoft.com/office/drawing/2014/chart" uri="{C3380CC4-5D6E-409C-BE32-E72D297353CC}">
              <c16:uniqueId val="{00000001-1E56-4792-80AA-514E2567B2CF}"/>
            </c:ext>
          </c:extLst>
        </c:ser>
        <c:dLbls>
          <c:showLegendKey val="0"/>
          <c:showVal val="0"/>
          <c:showCatName val="0"/>
          <c:showSerName val="0"/>
          <c:showPercent val="0"/>
          <c:showBubbleSize val="0"/>
        </c:dLbls>
        <c:gapWidth val="219"/>
        <c:axId val="318168064"/>
        <c:axId val="318325504"/>
      </c:barChart>
      <c:lineChart>
        <c:grouping val="standard"/>
        <c:varyColors val="0"/>
        <c:ser>
          <c:idx val="2"/>
          <c:order val="2"/>
          <c:tx>
            <c:strRef>
              <c:f>Лист2!$A$4</c:f>
              <c:strCache>
                <c:ptCount val="1"/>
                <c:pt idx="0">
                  <c:v>Потери</c:v>
                </c:pt>
              </c:strCache>
            </c:strRef>
          </c:tx>
          <c:spPr>
            <a:prstGeom prst="rect">
              <a:avLst/>
            </a:prstGeom>
            <a:ln w="28575" cap="rnd">
              <a:solidFill>
                <a:schemeClr val="accent3"/>
              </a:solidFill>
              <a:round/>
            </a:ln>
            <a:effectLst/>
          </c:spPr>
          <c:marker>
            <c:symbol val="none"/>
          </c:marker>
          <c:dLbls>
            <c:dLbl>
              <c:idx val="1"/>
              <c:layout>
                <c:manualLayout>
                  <c:x val="0"/>
                  <c:y val="4.6780000000000002E-2"/>
                </c:manualLayout>
              </c:layout>
              <c:spPr/>
              <c:txPr>
                <a:bodyPr/>
                <a:lstStyle/>
                <a:p>
                  <a:pPr>
                    <a:defRPr sz="800">
                      <a:latin typeface="Times New Roman"/>
                      <a:ea typeface="Times New Roman"/>
                      <a:cs typeface="Times New Roman"/>
                    </a:defRPr>
                  </a:pPr>
                  <a:endParaRPr lang="ru-RU"/>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E56-4792-80AA-514E2567B2CF}"/>
                </c:ext>
              </c:extLst>
            </c:dLbl>
            <c:spPr>
              <a:noFill/>
              <a:ln>
                <a:noFill/>
              </a:ln>
              <a:effectLst/>
            </c:spPr>
            <c:txPr>
              <a:bodyPr rot="0" spcFirstLastPara="1" vertOverflow="ellipsis" vert="horz" wrap="square" lIns="38099" tIns="19049" rIns="38099" bIns="19049" anchor="ctr" anchorCtr="1">
                <a:spAutoFit/>
              </a:bodyPr>
              <a:lstStyle/>
              <a:p>
                <a:pPr>
                  <a:defRPr sz="800" b="0" i="0" u="none" strike="noStrike">
                    <a:solidFill>
                      <a:schemeClr val="tx1">
                        <a:lumMod val="75000"/>
                        <a:lumOff val="25000"/>
                      </a:schemeClr>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Лист2!$B$1:$D$1</c:f>
              <c:strCache>
                <c:ptCount val="3"/>
                <c:pt idx="0">
                  <c:v>2022 г.</c:v>
                </c:pt>
                <c:pt idx="1">
                  <c:v>2023 г.</c:v>
                </c:pt>
                <c:pt idx="2">
                  <c:v>2024 г.</c:v>
                </c:pt>
              </c:strCache>
            </c:strRef>
          </c:cat>
          <c:val>
            <c:numRef>
              <c:f>Лист2!$B$4:$D$4</c:f>
              <c:numCache>
                <c:formatCode>0.00%</c:formatCode>
                <c:ptCount val="3"/>
                <c:pt idx="0">
                  <c:v>7.46E-2</c:v>
                </c:pt>
                <c:pt idx="1">
                  <c:v>7.5800000000000006E-2</c:v>
                </c:pt>
                <c:pt idx="2">
                  <c:v>7.6399999999999996E-2</c:v>
                </c:pt>
              </c:numCache>
            </c:numRef>
          </c:val>
          <c:smooth val="0"/>
          <c:extLst>
            <c:ext xmlns:c16="http://schemas.microsoft.com/office/drawing/2014/chart" uri="{C3380CC4-5D6E-409C-BE32-E72D297353CC}">
              <c16:uniqueId val="{00000003-1E56-4792-80AA-514E2567B2CF}"/>
            </c:ext>
          </c:extLst>
        </c:ser>
        <c:dLbls>
          <c:showLegendKey val="0"/>
          <c:showVal val="0"/>
          <c:showCatName val="0"/>
          <c:showSerName val="0"/>
          <c:showPercent val="0"/>
          <c:showBubbleSize val="0"/>
        </c:dLbls>
        <c:marker val="1"/>
        <c:smooth val="0"/>
        <c:axId val="318332928"/>
        <c:axId val="318327040"/>
      </c:lineChart>
      <c:catAx>
        <c:axId val="318168064"/>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a:solidFill>
                  <a:schemeClr val="tx1">
                    <a:lumMod val="65000"/>
                    <a:lumOff val="35000"/>
                  </a:schemeClr>
                </a:solidFill>
                <a:latin typeface="Times New Roman"/>
                <a:ea typeface="Times New Roman"/>
                <a:cs typeface="Times New Roman"/>
              </a:defRPr>
            </a:pPr>
            <a:endParaRPr lang="ru-RU"/>
          </a:p>
        </c:txPr>
        <c:crossAx val="318325504"/>
        <c:crosses val="autoZero"/>
        <c:auto val="1"/>
        <c:lblAlgn val="ctr"/>
        <c:lblOffset val="100"/>
        <c:noMultiLvlLbl val="0"/>
      </c:catAx>
      <c:valAx>
        <c:axId val="318325504"/>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800" b="0" i="0" u="none" strike="noStrike">
                <a:solidFill>
                  <a:schemeClr val="tx1">
                    <a:lumMod val="65000"/>
                    <a:lumOff val="35000"/>
                  </a:schemeClr>
                </a:solidFill>
                <a:latin typeface="Times New Roman"/>
                <a:ea typeface="Times New Roman"/>
                <a:cs typeface="Times New Roman"/>
              </a:defRPr>
            </a:pPr>
            <a:endParaRPr lang="ru-RU"/>
          </a:p>
        </c:txPr>
        <c:crossAx val="318168064"/>
        <c:crosses val="autoZero"/>
        <c:crossBetween val="between"/>
      </c:valAx>
      <c:valAx>
        <c:axId val="318327040"/>
        <c:scaling>
          <c:orientation val="minMax"/>
        </c:scaling>
        <c:delete val="0"/>
        <c:axPos val="r"/>
        <c:numFmt formatCode="0.00%" sourceLinked="1"/>
        <c:majorTickMark val="out"/>
        <c:minorTickMark val="none"/>
        <c:tickLblPos val="nextTo"/>
        <c:spPr>
          <a:prstGeom prst="rect">
            <a:avLst/>
          </a:prstGeom>
          <a:noFill/>
          <a:ln>
            <a:noFill/>
          </a:ln>
          <a:effectLst/>
        </c:spPr>
        <c:txPr>
          <a:bodyPr rot="-60000000" spcFirstLastPara="1" vertOverflow="ellipsis" vert="horz" wrap="square" anchor="ctr" anchorCtr="1"/>
          <a:lstStyle/>
          <a:p>
            <a:pPr>
              <a:defRPr sz="800" b="0" i="0" u="none" strike="noStrike">
                <a:solidFill>
                  <a:schemeClr val="tx1">
                    <a:lumMod val="65000"/>
                    <a:lumOff val="35000"/>
                  </a:schemeClr>
                </a:solidFill>
                <a:latin typeface="Times New Roman"/>
                <a:ea typeface="Times New Roman"/>
                <a:cs typeface="Times New Roman"/>
              </a:defRPr>
            </a:pPr>
            <a:endParaRPr lang="ru-RU"/>
          </a:p>
        </c:txPr>
        <c:crossAx val="318332928"/>
        <c:crosses val="max"/>
        <c:crossBetween val="between"/>
      </c:valAx>
      <c:catAx>
        <c:axId val="318332928"/>
        <c:scaling>
          <c:orientation val="minMax"/>
        </c:scaling>
        <c:delete val="1"/>
        <c:axPos val="b"/>
        <c:numFmt formatCode="General" sourceLinked="1"/>
        <c:majorTickMark val="out"/>
        <c:minorTickMark val="none"/>
        <c:tickLblPos val="nextTo"/>
        <c:crossAx val="318327040"/>
        <c:crosses val="autoZero"/>
        <c:auto val="1"/>
        <c:lblAlgn val="ctr"/>
        <c:lblOffset val="100"/>
        <c:noMultiLvlLbl val="0"/>
      </c:catAx>
      <c:spPr>
        <a:prstGeom prst="rect">
          <a:avLst/>
        </a:prstGeom>
        <a:noFill/>
        <a:ln>
          <a:noFill/>
        </a:ln>
        <a:effectLst/>
      </c:spPr>
    </c:plotArea>
    <c:legend>
      <c:legendPos val="b"/>
      <c:layout>
        <c:manualLayout>
          <c:xMode val="edge"/>
          <c:yMode val="edge"/>
          <c:x val="5.6862000000000003E-2"/>
          <c:y val="0.64309300000000003"/>
        </c:manualLayout>
      </c:layout>
      <c:overlay val="0"/>
      <c:spPr>
        <a:prstGeom prst="rect">
          <a:avLst/>
        </a:prstGeom>
        <a:noFill/>
        <a:ln>
          <a:noFill/>
        </a:ln>
        <a:effectLst/>
      </c:spPr>
      <c:txPr>
        <a:bodyPr rot="0" spcFirstLastPara="1" vertOverflow="ellipsis" vert="horz" wrap="square" anchor="ctr" anchorCtr="1"/>
        <a:lstStyle/>
        <a:p>
          <a:pPr>
            <a:defRPr sz="800" b="0" i="0" u="none" strike="noStrike">
              <a:solidFill>
                <a:schemeClr val="tx1">
                  <a:lumMod val="65000"/>
                  <a:lumOff val="35000"/>
                </a:schemeClr>
              </a:solidFill>
              <a:latin typeface="Times New Roman"/>
              <a:ea typeface="Times New Roman"/>
              <a:cs typeface="Times New Roman"/>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sz="800">
          <a:latin typeface="Times New Roman"/>
          <a:ea typeface="Times New Roman"/>
          <a:cs typeface="Times New Roman"/>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spc="0">
                <a:solidFill>
                  <a:schemeClr val="tx1">
                    <a:lumMod val="65000"/>
                    <a:lumOff val="35000"/>
                  </a:schemeClr>
                </a:solidFill>
                <a:latin typeface="+mn-lt"/>
                <a:ea typeface="+mn-ea"/>
                <a:cs typeface="+mn-cs"/>
              </a:defRPr>
            </a:pPr>
            <a:r>
              <a:rPr lang="ru-RU"/>
              <a:t>Технологическое присоединение</a:t>
            </a:r>
          </a:p>
        </c:rich>
      </c:tx>
      <c:layout/>
      <c:overlay val="0"/>
      <c:spPr>
        <a:prstGeom prst="rect">
          <a:avLst/>
        </a:prstGeom>
        <a:noFill/>
        <a:ln>
          <a:noFill/>
          <a:round/>
        </a:ln>
        <a:effectLst/>
      </c:spPr>
    </c:title>
    <c:autoTitleDeleted val="0"/>
    <c:plotArea>
      <c:layout/>
      <c:barChart>
        <c:barDir val="col"/>
        <c:grouping val="clustered"/>
        <c:varyColors val="0"/>
        <c:ser>
          <c:idx val="0"/>
          <c:order val="0"/>
          <c:tx>
            <c:strRef>
              <c:f>Лист2!$G$2</c:f>
              <c:strCache>
                <c:ptCount val="1"/>
                <c:pt idx="0">
                  <c:v>Исполнено договоров ТП, шт</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Лист2!$H$1:$J$1</c:f>
              <c:strCache>
                <c:ptCount val="3"/>
                <c:pt idx="0">
                  <c:v>2022 г.</c:v>
                </c:pt>
                <c:pt idx="1">
                  <c:v>2023 г.</c:v>
                </c:pt>
                <c:pt idx="2">
                  <c:v>2024 г.</c:v>
                </c:pt>
              </c:strCache>
            </c:strRef>
          </c:cat>
          <c:val>
            <c:numRef>
              <c:f>Лист2!$H$2:$J$2</c:f>
              <c:numCache>
                <c:formatCode>#,##0</c:formatCode>
                <c:ptCount val="3"/>
                <c:pt idx="0">
                  <c:v>21494</c:v>
                </c:pt>
                <c:pt idx="1">
                  <c:v>21160</c:v>
                </c:pt>
                <c:pt idx="2">
                  <c:v>26884</c:v>
                </c:pt>
              </c:numCache>
            </c:numRef>
          </c:val>
          <c:extLst>
            <c:ext xmlns:c16="http://schemas.microsoft.com/office/drawing/2014/chart" uri="{C3380CC4-5D6E-409C-BE32-E72D297353CC}">
              <c16:uniqueId val="{00000000-3B10-491C-B40C-794160558B5C}"/>
            </c:ext>
          </c:extLst>
        </c:ser>
        <c:dLbls>
          <c:showLegendKey val="0"/>
          <c:showVal val="0"/>
          <c:showCatName val="0"/>
          <c:showSerName val="0"/>
          <c:showPercent val="0"/>
          <c:showBubbleSize val="0"/>
        </c:dLbls>
        <c:gapWidth val="219"/>
        <c:axId val="318360192"/>
        <c:axId val="318366080"/>
      </c:barChart>
      <c:lineChart>
        <c:grouping val="standard"/>
        <c:varyColors val="0"/>
        <c:ser>
          <c:idx val="1"/>
          <c:order val="1"/>
          <c:tx>
            <c:strRef>
              <c:f>Лист2!$G$3</c:f>
              <c:strCache>
                <c:ptCount val="1"/>
                <c:pt idx="0">
                  <c:v>Исполнено договоров ТП, кВт</c:v>
                </c:pt>
              </c:strCache>
            </c:strRef>
          </c:tx>
          <c:spPr>
            <a:prstGeom prst="rect">
              <a:avLst/>
            </a:prstGeom>
            <a:ln w="28575" cap="rnd">
              <a:solidFill>
                <a:schemeClr val="accent2"/>
              </a:solidFill>
              <a:round/>
            </a:ln>
            <a:effectLst/>
          </c:spPr>
          <c:marker>
            <c:symbol val="none"/>
          </c:marker>
          <c:dLbls>
            <c:dLbl>
              <c:idx val="0"/>
              <c:layout>
                <c:manualLayout>
                  <c:x val="2.196E-2"/>
                  <c:y val="0.10599"/>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B10-491C-B40C-794160558B5C}"/>
                </c:ext>
              </c:extLst>
            </c:dLbl>
            <c:dLbl>
              <c:idx val="1"/>
              <c:layout>
                <c:manualLayout>
                  <c:x val="-6.2700000000000004E-3"/>
                  <c:y val="6.6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B10-491C-B40C-794160558B5C}"/>
                </c:ext>
              </c:extLst>
            </c:dLbl>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Лист2!$H$1:$J$1</c:f>
              <c:strCache>
                <c:ptCount val="3"/>
                <c:pt idx="0">
                  <c:v>2022 г.</c:v>
                </c:pt>
                <c:pt idx="1">
                  <c:v>2023 г.</c:v>
                </c:pt>
                <c:pt idx="2">
                  <c:v>2024 г.</c:v>
                </c:pt>
              </c:strCache>
            </c:strRef>
          </c:cat>
          <c:val>
            <c:numRef>
              <c:f>Лист2!$H$3:$J$3</c:f>
              <c:numCache>
                <c:formatCode>#,##0</c:formatCode>
                <c:ptCount val="3"/>
                <c:pt idx="0">
                  <c:v>634334</c:v>
                </c:pt>
                <c:pt idx="1">
                  <c:v>536661</c:v>
                </c:pt>
                <c:pt idx="2">
                  <c:v>929468</c:v>
                </c:pt>
              </c:numCache>
            </c:numRef>
          </c:val>
          <c:smooth val="0"/>
          <c:extLst>
            <c:ext xmlns:c16="http://schemas.microsoft.com/office/drawing/2014/chart" uri="{C3380CC4-5D6E-409C-BE32-E72D297353CC}">
              <c16:uniqueId val="{00000003-3B10-491C-B40C-794160558B5C}"/>
            </c:ext>
          </c:extLst>
        </c:ser>
        <c:dLbls>
          <c:showLegendKey val="0"/>
          <c:showVal val="0"/>
          <c:showCatName val="0"/>
          <c:showSerName val="0"/>
          <c:showPercent val="0"/>
          <c:showBubbleSize val="0"/>
        </c:dLbls>
        <c:marker val="1"/>
        <c:smooth val="0"/>
        <c:axId val="318369152"/>
        <c:axId val="318367616"/>
      </c:lineChart>
      <c:catAx>
        <c:axId val="318360192"/>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366080"/>
        <c:crosses val="autoZero"/>
        <c:auto val="1"/>
        <c:lblAlgn val="ctr"/>
        <c:lblOffset val="100"/>
        <c:noMultiLvlLbl val="0"/>
      </c:catAx>
      <c:valAx>
        <c:axId val="318366080"/>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360192"/>
        <c:crosses val="autoZero"/>
        <c:crossBetween val="between"/>
      </c:valAx>
      <c:valAx>
        <c:axId val="318367616"/>
        <c:scaling>
          <c:orientation val="minMax"/>
        </c:scaling>
        <c:delete val="0"/>
        <c:axPos val="r"/>
        <c:numFmt formatCode="#,##0" sourceLinked="1"/>
        <c:majorTickMark val="out"/>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369152"/>
        <c:crosses val="max"/>
        <c:crossBetween val="between"/>
      </c:valAx>
      <c:catAx>
        <c:axId val="318369152"/>
        <c:scaling>
          <c:orientation val="minMax"/>
        </c:scaling>
        <c:delete val="1"/>
        <c:axPos val="b"/>
        <c:numFmt formatCode="General" sourceLinked="1"/>
        <c:majorTickMark val="out"/>
        <c:minorTickMark val="none"/>
        <c:tickLblPos val="nextTo"/>
        <c:crossAx val="318367616"/>
        <c:crosses val="autoZero"/>
        <c:auto val="1"/>
        <c:lblAlgn val="ctr"/>
        <c:lblOffset val="100"/>
        <c:noMultiLvlLbl val="0"/>
      </c:catAx>
      <c:spPr>
        <a:prstGeom prst="rect">
          <a:avLst/>
        </a:prstGeom>
        <a:noFill/>
        <a:ln>
          <a:noFill/>
        </a:ln>
        <a:effectLst/>
      </c:spPr>
    </c:plotArea>
    <c:legend>
      <c:legendPos val="b"/>
      <c:layout/>
      <c:overlay val="0"/>
      <c:spPr>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spc="0">
                <a:solidFill>
                  <a:schemeClr val="tx1">
                    <a:lumMod val="65000"/>
                    <a:lumOff val="35000"/>
                  </a:schemeClr>
                </a:solidFill>
                <a:latin typeface="+mn-lt"/>
                <a:ea typeface="+mn-ea"/>
                <a:cs typeface="+mn-cs"/>
              </a:defRPr>
            </a:pPr>
            <a:r>
              <a:rPr lang="ru-RU"/>
              <a:t>Показатели надежности</a:t>
            </a:r>
          </a:p>
        </c:rich>
      </c:tx>
      <c:layout/>
      <c:overlay val="0"/>
      <c:spPr>
        <a:prstGeom prst="rect">
          <a:avLst/>
        </a:prstGeom>
        <a:noFill/>
        <a:ln>
          <a:noFill/>
        </a:ln>
        <a:effectLst/>
      </c:spPr>
    </c:title>
    <c:autoTitleDeleted val="0"/>
    <c:plotArea>
      <c:layout/>
      <c:barChart>
        <c:barDir val="col"/>
        <c:grouping val="clustered"/>
        <c:varyColors val="0"/>
        <c:ser>
          <c:idx val="0"/>
          <c:order val="0"/>
          <c:tx>
            <c:strRef>
              <c:f>Лист2!$L$2</c:f>
              <c:strCache>
                <c:ptCount val="1"/>
                <c:pt idx="0">
                  <c:v>Пsaidi</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Лист2!$M$1:$O$1</c:f>
              <c:strCache>
                <c:ptCount val="3"/>
                <c:pt idx="0">
                  <c:v>2022 г.</c:v>
                </c:pt>
                <c:pt idx="1">
                  <c:v>2023 г.</c:v>
                </c:pt>
                <c:pt idx="2">
                  <c:v>2024 г.</c:v>
                </c:pt>
              </c:strCache>
            </c:strRef>
          </c:cat>
          <c:val>
            <c:numRef>
              <c:f>Лист2!$M$2:$O$2</c:f>
              <c:numCache>
                <c:formatCode>General</c:formatCode>
                <c:ptCount val="3"/>
                <c:pt idx="0">
                  <c:v>2.2400000000000002</c:v>
                </c:pt>
                <c:pt idx="1">
                  <c:v>1.85</c:v>
                </c:pt>
                <c:pt idx="2">
                  <c:v>1.75</c:v>
                </c:pt>
              </c:numCache>
            </c:numRef>
          </c:val>
          <c:extLst>
            <c:ext xmlns:c16="http://schemas.microsoft.com/office/drawing/2014/chart" uri="{C3380CC4-5D6E-409C-BE32-E72D297353CC}">
              <c16:uniqueId val="{00000000-5336-44CD-B1F0-865EF36AF0B3}"/>
            </c:ext>
          </c:extLst>
        </c:ser>
        <c:ser>
          <c:idx val="1"/>
          <c:order val="1"/>
          <c:tx>
            <c:strRef>
              <c:f>Лист2!$L$3</c:f>
              <c:strCache>
                <c:ptCount val="1"/>
                <c:pt idx="0">
                  <c:v>Пsaifi </c:v>
                </c:pt>
              </c:strCache>
            </c:strRef>
          </c:tx>
          <c:spPr>
            <a:prstGeom prst="rect">
              <a:avLst/>
            </a:prstGeom>
            <a:solidFill>
              <a:schemeClr val="accent2"/>
            </a:solidFill>
            <a:ln>
              <a:noFill/>
              <a:round/>
            </a:ln>
            <a:effectLst/>
          </c:spPr>
          <c:invertIfNegative val="0"/>
          <c:dLbls>
            <c:spPr>
              <a:noFill/>
              <a:ln>
                <a:noFill/>
                <a:round/>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Лист2!$M$1:$O$1</c:f>
              <c:strCache>
                <c:ptCount val="3"/>
                <c:pt idx="0">
                  <c:v>2022 г.</c:v>
                </c:pt>
                <c:pt idx="1">
                  <c:v>2023 г.</c:v>
                </c:pt>
                <c:pt idx="2">
                  <c:v>2024 г.</c:v>
                </c:pt>
              </c:strCache>
            </c:strRef>
          </c:cat>
          <c:val>
            <c:numRef>
              <c:f>Лист2!$M$3:$O$3</c:f>
              <c:numCache>
                <c:formatCode>General</c:formatCode>
                <c:ptCount val="3"/>
                <c:pt idx="0">
                  <c:v>1.62</c:v>
                </c:pt>
                <c:pt idx="1">
                  <c:v>1.45</c:v>
                </c:pt>
                <c:pt idx="2">
                  <c:v>1.37</c:v>
                </c:pt>
              </c:numCache>
            </c:numRef>
          </c:val>
          <c:extLst>
            <c:ext xmlns:c16="http://schemas.microsoft.com/office/drawing/2014/chart" uri="{C3380CC4-5D6E-409C-BE32-E72D297353CC}">
              <c16:uniqueId val="{00000001-5336-44CD-B1F0-865EF36AF0B3}"/>
            </c:ext>
          </c:extLst>
        </c:ser>
        <c:dLbls>
          <c:showLegendKey val="0"/>
          <c:showVal val="0"/>
          <c:showCatName val="0"/>
          <c:showSerName val="0"/>
          <c:showPercent val="0"/>
          <c:showBubbleSize val="0"/>
        </c:dLbls>
        <c:gapWidth val="219"/>
        <c:overlap val="-26"/>
        <c:axId val="318534784"/>
        <c:axId val="318536320"/>
      </c:barChart>
      <c:catAx>
        <c:axId val="318534784"/>
        <c:scaling>
          <c:orientation val="minMax"/>
        </c:scaling>
        <c:delete val="0"/>
        <c:axPos val="b"/>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536320"/>
        <c:crosses val="autoZero"/>
        <c:auto val="1"/>
        <c:lblAlgn val="ctr"/>
        <c:lblOffset val="100"/>
        <c:noMultiLvlLbl val="0"/>
      </c:catAx>
      <c:valAx>
        <c:axId val="318536320"/>
        <c:scaling>
          <c:orientation val="minMax"/>
        </c:scaling>
        <c:delete val="0"/>
        <c:axPos val="l"/>
        <c:majorGridlines>
          <c:spPr>
            <a:prstGeom prst="rect">
              <a:avLst/>
            </a:prstGeom>
            <a:ln w="9525" cap="flat" cmpd="sng" algn="ctr">
              <a:solidFill>
                <a:schemeClr val="tx1">
                  <a:lumMod val="15000"/>
                  <a:lumOff val="85000"/>
                </a:schemeClr>
              </a:solidFill>
              <a:round/>
            </a:ln>
            <a:effectLst/>
          </c:spPr>
        </c:majorGridlines>
        <c:numFmt formatCode="General"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534784"/>
        <c:crosses val="autoZero"/>
        <c:crossBetween val="between"/>
      </c:valAx>
      <c:spPr>
        <a:prstGeom prst="rect">
          <a:avLst/>
        </a:prstGeom>
        <a:noFill/>
        <a:ln>
          <a:noFill/>
          <a:bevel/>
        </a:ln>
        <a:effectLst/>
      </c:spPr>
    </c:plotArea>
    <c:legend>
      <c:legendPos val="b"/>
      <c:layout/>
      <c:overlay val="0"/>
      <c:spPr>
        <a:prstGeom prst="rect">
          <a:avLst/>
        </a:prstGeom>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prstGeom prst="rect">
          <a:avLst/>
        </a:prstGeom>
        <a:noFill/>
        <a:ln>
          <a:noFill/>
        </a:ln>
        <a:effectLst/>
      </c:spPr>
      <c:txPr>
        <a:bodyPr rot="0" spcFirstLastPara="1" vertOverflow="ellipsis" vert="horz" wrap="square" anchor="ctr" anchorCtr="1"/>
        <a:lstStyle/>
        <a:p>
          <a:pPr>
            <a:defRPr sz="1400" b="0" i="0" u="none" strike="noStrike" spc="0">
              <a:solidFill>
                <a:schemeClr val="tx1">
                  <a:lumMod val="65000"/>
                  <a:lumOff val="35000"/>
                </a:schemeClr>
              </a:solidFill>
              <a:latin typeface="+mn-lt"/>
              <a:ea typeface="+mn-ea"/>
              <a:cs typeface="+mn-cs"/>
            </a:defRPr>
          </a:pPr>
          <a:endParaRPr lang="ru-RU"/>
        </a:p>
      </c:txPr>
    </c:title>
    <c:autoTitleDeleted val="0"/>
    <c:plotArea>
      <c:layout/>
      <c:barChart>
        <c:barDir val="bar"/>
        <c:grouping val="clustered"/>
        <c:varyColors val="0"/>
        <c:ser>
          <c:idx val="0"/>
          <c:order val="0"/>
          <c:tx>
            <c:strRef>
              <c:f>Лист3!$A$2</c:f>
              <c:strCache>
                <c:ptCount val="1"/>
                <c:pt idx="0">
                  <c:v>Расходы на охрану окружающей среды, млн. руб.</c:v>
                </c:pt>
              </c:strCache>
            </c:strRef>
          </c:tx>
          <c:spPr>
            <a:prstGeom prst="rect">
              <a:avLst/>
            </a:prstGeom>
            <a:solidFill>
              <a:schemeClr val="accent1"/>
            </a:solidFill>
            <a:ln>
              <a:noFill/>
              <a:round/>
            </a:ln>
            <a:effectLst/>
          </c:spPr>
          <c:invertIfNegative val="0"/>
          <c:dLbls>
            <c:spPr>
              <a:noFill/>
              <a:ln>
                <a:noFill/>
                <a:beve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Лист3!$B$1:$D$1</c:f>
              <c:strCache>
                <c:ptCount val="3"/>
                <c:pt idx="0">
                  <c:v>2022 г.</c:v>
                </c:pt>
                <c:pt idx="1">
                  <c:v>2023 г.</c:v>
                </c:pt>
                <c:pt idx="2">
                  <c:v>2024 г.</c:v>
                </c:pt>
              </c:strCache>
            </c:strRef>
          </c:cat>
          <c:val>
            <c:numRef>
              <c:f>Лист3!$B$2:$D$2</c:f>
              <c:numCache>
                <c:formatCode>#,##0.0</c:formatCode>
                <c:ptCount val="3"/>
                <c:pt idx="0">
                  <c:v>38.6</c:v>
                </c:pt>
                <c:pt idx="1">
                  <c:v>36.200000000000003</c:v>
                </c:pt>
                <c:pt idx="2">
                  <c:v>30.6</c:v>
                </c:pt>
              </c:numCache>
            </c:numRef>
          </c:val>
          <c:extLst>
            <c:ext xmlns:c16="http://schemas.microsoft.com/office/drawing/2014/chart" uri="{C3380CC4-5D6E-409C-BE32-E72D297353CC}">
              <c16:uniqueId val="{00000000-FEFE-4808-A461-4FCB588F8131}"/>
            </c:ext>
          </c:extLst>
        </c:ser>
        <c:dLbls>
          <c:showLegendKey val="0"/>
          <c:showVal val="0"/>
          <c:showCatName val="0"/>
          <c:showSerName val="0"/>
          <c:showPercent val="0"/>
          <c:showBubbleSize val="0"/>
        </c:dLbls>
        <c:gapWidth val="182"/>
        <c:axId val="318774272"/>
        <c:axId val="318817024"/>
      </c:barChart>
      <c:catAx>
        <c:axId val="318774272"/>
        <c:scaling>
          <c:orientation val="minMax"/>
        </c:scaling>
        <c:delete val="0"/>
        <c:axPos val="l"/>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817024"/>
        <c:crosses val="autoZero"/>
        <c:auto val="1"/>
        <c:lblAlgn val="ctr"/>
        <c:lblOffset val="100"/>
        <c:noMultiLvlLbl val="0"/>
      </c:catAx>
      <c:valAx>
        <c:axId val="318817024"/>
        <c:scaling>
          <c:orientation val="minMax"/>
        </c:scaling>
        <c:delete val="0"/>
        <c:axPos val="b"/>
        <c:majorGridlines>
          <c:spPr>
            <a:prstGeom prst="rect">
              <a:avLst/>
            </a:prstGeom>
            <a:ln w="9525" cap="flat" cmpd="sng" algn="ctr">
              <a:solidFill>
                <a:schemeClr val="tx1">
                  <a:lumMod val="15000"/>
                  <a:lumOff val="85000"/>
                </a:schemeClr>
              </a:solidFill>
              <a:round/>
            </a:ln>
            <a:effectLst/>
          </c:spPr>
        </c:majorGridlines>
        <c:numFmt formatCode="#,##0.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774272"/>
        <c:crosses val="autoZero"/>
        <c:crossBetween val="between"/>
      </c:valAx>
      <c:spPr>
        <a:prstGeom prst="rect">
          <a:avLst/>
        </a:prstGeom>
        <a:noFill/>
        <a:ln>
          <a:noFill/>
        </a:ln>
        <a:effectLst/>
      </c:spPr>
    </c:plotArea>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prstGeom prst="rect">
          <a:avLst/>
        </a:prstGeom>
        <a:noFill/>
        <a:ln>
          <a:noFill/>
        </a:ln>
        <a:effectLst/>
      </c:spPr>
      <c:txPr>
        <a:bodyPr rot="0" spcFirstLastPara="1" vertOverflow="ellipsis" vert="horz" wrap="square" anchor="ctr" anchorCtr="1"/>
        <a:lstStyle/>
        <a:p>
          <a:pPr>
            <a:defRPr sz="1400" b="0" i="0" u="none" strike="noStrike" spc="0">
              <a:solidFill>
                <a:schemeClr val="tx1">
                  <a:lumMod val="65000"/>
                  <a:lumOff val="35000"/>
                </a:schemeClr>
              </a:solidFill>
              <a:latin typeface="+mn-lt"/>
              <a:ea typeface="+mn-ea"/>
              <a:cs typeface="+mn-cs"/>
            </a:defRPr>
          </a:pPr>
          <a:endParaRPr lang="ru-RU"/>
        </a:p>
      </c:txPr>
    </c:title>
    <c:autoTitleDeleted val="0"/>
    <c:plotArea>
      <c:layout/>
      <c:barChart>
        <c:barDir val="bar"/>
        <c:grouping val="clustered"/>
        <c:varyColors val="0"/>
        <c:ser>
          <c:idx val="0"/>
          <c:order val="0"/>
          <c:tx>
            <c:strRef>
              <c:f>Лист3!$H$2</c:f>
              <c:strCache>
                <c:ptCount val="1"/>
                <c:pt idx="0">
                  <c:v>Расходы на охрану труда, млн. руб.</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b="0" i="0" u="none" strike="noStrike">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Лист3!$I$1:$K$1</c:f>
              <c:strCache>
                <c:ptCount val="3"/>
                <c:pt idx="0">
                  <c:v>2022 г.</c:v>
                </c:pt>
                <c:pt idx="1">
                  <c:v>2023 г.</c:v>
                </c:pt>
                <c:pt idx="2">
                  <c:v>2024 г.</c:v>
                </c:pt>
              </c:strCache>
            </c:strRef>
          </c:cat>
          <c:val>
            <c:numRef>
              <c:f>Лист3!$I$2:$K$2</c:f>
              <c:numCache>
                <c:formatCode>General</c:formatCode>
                <c:ptCount val="3"/>
                <c:pt idx="0">
                  <c:v>800.6</c:v>
                </c:pt>
                <c:pt idx="1">
                  <c:v>802.4</c:v>
                </c:pt>
                <c:pt idx="2">
                  <c:v>727.1</c:v>
                </c:pt>
              </c:numCache>
            </c:numRef>
          </c:val>
          <c:extLst>
            <c:ext xmlns:c16="http://schemas.microsoft.com/office/drawing/2014/chart" uri="{C3380CC4-5D6E-409C-BE32-E72D297353CC}">
              <c16:uniqueId val="{00000000-6701-4394-872D-39CCAC5B2334}"/>
            </c:ext>
          </c:extLst>
        </c:ser>
        <c:dLbls>
          <c:showLegendKey val="0"/>
          <c:showVal val="0"/>
          <c:showCatName val="0"/>
          <c:showSerName val="0"/>
          <c:showPercent val="0"/>
          <c:showBubbleSize val="0"/>
        </c:dLbls>
        <c:gapWidth val="182"/>
        <c:axId val="318563072"/>
        <c:axId val="318564608"/>
      </c:barChart>
      <c:catAx>
        <c:axId val="318563072"/>
        <c:scaling>
          <c:orientation val="minMax"/>
        </c:scaling>
        <c:delete val="0"/>
        <c:axPos val="l"/>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564608"/>
        <c:crosses val="autoZero"/>
        <c:auto val="1"/>
        <c:lblAlgn val="ctr"/>
        <c:lblOffset val="100"/>
        <c:noMultiLvlLbl val="0"/>
      </c:catAx>
      <c:valAx>
        <c:axId val="318564608"/>
        <c:scaling>
          <c:orientation val="minMax"/>
        </c:scaling>
        <c:delete val="0"/>
        <c:axPos val="b"/>
        <c:majorGridlines>
          <c:spPr>
            <a:prstGeom prst="rect">
              <a:avLst/>
            </a:prstGeom>
            <a:ln w="9525" cap="flat" cmpd="sng" algn="ctr">
              <a:solidFill>
                <a:schemeClr val="tx1">
                  <a:lumMod val="15000"/>
                  <a:lumOff val="85000"/>
                </a:schemeClr>
              </a:solidFill>
              <a:round/>
            </a:ln>
            <a:effectLst/>
          </c:spPr>
        </c:majorGridlines>
        <c:numFmt formatCode="General"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318563072"/>
        <c:crosses val="autoZero"/>
        <c:crossBetween val="between"/>
      </c:valAx>
      <c:spPr>
        <a:prstGeom prst="rect">
          <a:avLst/>
        </a:prstGeom>
        <a:noFill/>
        <a:ln>
          <a:noFill/>
          <a:round/>
        </a:ln>
        <a:effectLst/>
      </c:spPr>
    </c:plotArea>
    <c:plotVisOnly val="1"/>
    <c:dispBlanksAs val="gap"/>
    <c:showDLblsOverMax val="0"/>
  </c:chart>
  <c:spPr>
    <a:prstGeom prst="rect">
      <a:avLst/>
    </a:prstGeom>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1176600000000001"/>
          <c:y val="3.1600000000000003E-2"/>
        </c:manualLayout>
      </c:layout>
      <c:overlay val="0"/>
      <c:spPr>
        <a:prstGeom prst="rect">
          <a:avLst/>
        </a:prstGeom>
        <a:noFill/>
        <a:ln>
          <a:noFill/>
        </a:ln>
        <a:effectLst/>
      </c:spPr>
      <c:txPr>
        <a:bodyPr rot="0" spcFirstLastPara="1" vertOverflow="ellipsis" vert="horz" wrap="square" anchor="ctr" anchorCtr="1"/>
        <a:lstStyle/>
        <a:p>
          <a:pPr>
            <a:defRPr sz="1400" b="0" spc="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13361999999999999"/>
          <c:y val="0.25083"/>
          <c:w val="0.76583999999999997"/>
          <c:h val="0.60318000000000005"/>
        </c:manualLayout>
      </c:layout>
      <c:barChart>
        <c:barDir val="bar"/>
        <c:grouping val="clustered"/>
        <c:varyColors val="0"/>
        <c:ser>
          <c:idx val="0"/>
          <c:order val="0"/>
          <c:tx>
            <c:strRef>
              <c:f>Лист3!$N$2</c:f>
              <c:strCache>
                <c:ptCount val="1"/>
                <c:pt idx="0">
                  <c:v>Средняя заработная плата работников, тыс. руб. </c:v>
                </c:pt>
              </c:strCache>
            </c:strRef>
          </c:tx>
          <c:spPr>
            <a:prstGeom prst="rect">
              <a:avLst/>
            </a:prstGeom>
            <a:solidFill>
              <a:schemeClr val="accent1"/>
            </a:solidFill>
            <a:ln>
              <a:noFill/>
            </a:ln>
            <a:effectLst/>
          </c:spPr>
          <c:invertIfNegative val="0"/>
          <c:dLbls>
            <c:spPr>
              <a:noFill/>
              <a:ln>
                <a:noFill/>
              </a:ln>
              <a:effectLst/>
            </c:spPr>
            <c:txPr>
              <a:bodyPr rot="0" spcFirstLastPara="1" vertOverflow="ellipsis" vert="horz" wrap="square" lIns="38099" tIns="19049" rIns="38099" bIns="19049" anchor="ctr" anchorCtr="1">
                <a:spAutoFit/>
              </a:bodyPr>
              <a:lstStyle/>
              <a:p>
                <a:pPr>
                  <a:defRPr sz="90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eparator> </c:separator>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Лист3!$O$1:$Q$1</c:f>
              <c:strCache>
                <c:ptCount val="3"/>
                <c:pt idx="0">
                  <c:v>2022 г.</c:v>
                </c:pt>
                <c:pt idx="1">
                  <c:v>2023 г.</c:v>
                </c:pt>
                <c:pt idx="2">
                  <c:v>2024  г.</c:v>
                </c:pt>
              </c:strCache>
            </c:strRef>
          </c:cat>
          <c:val>
            <c:numRef>
              <c:f>Лист3!$O$2:$Q$2</c:f>
              <c:numCache>
                <c:formatCode>0.0</c:formatCode>
                <c:ptCount val="3"/>
                <c:pt idx="0">
                  <c:v>65.3</c:v>
                </c:pt>
                <c:pt idx="1">
                  <c:v>76.8</c:v>
                </c:pt>
                <c:pt idx="2">
                  <c:v>86.3</c:v>
                </c:pt>
              </c:numCache>
            </c:numRef>
          </c:val>
          <c:extLst>
            <c:ext xmlns:c16="http://schemas.microsoft.com/office/drawing/2014/chart" uri="{C3380CC4-5D6E-409C-BE32-E72D297353CC}">
              <c16:uniqueId val="{00000000-ABF9-46ED-AA57-F3646F81C9CE}"/>
            </c:ext>
          </c:extLst>
        </c:ser>
        <c:dLbls>
          <c:dLblPos val="ctr"/>
          <c:showLegendKey val="0"/>
          <c:showVal val="1"/>
          <c:showCatName val="0"/>
          <c:showSerName val="0"/>
          <c:showPercent val="0"/>
          <c:showBubbleSize val="0"/>
          <c:separator> </c:separator>
        </c:dLbls>
        <c:gapWidth val="182"/>
        <c:axId val="1866169479"/>
        <c:axId val="1866169480"/>
      </c:barChart>
      <c:catAx>
        <c:axId val="1866169479"/>
        <c:scaling>
          <c:orientation val="minMax"/>
        </c:scaling>
        <c:delete val="0"/>
        <c:axPos val="l"/>
        <c:numFmt formatCode="General" sourceLinked="1"/>
        <c:majorTickMark val="none"/>
        <c:minorTickMark val="none"/>
        <c:tickLblPos val="nextTo"/>
        <c:spPr>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a:solidFill>
                  <a:schemeClr val="tx1">
                    <a:lumMod val="65000"/>
                    <a:lumOff val="35000"/>
                  </a:schemeClr>
                </a:solidFill>
                <a:latin typeface="Calibri"/>
                <a:ea typeface="Arial"/>
                <a:cs typeface="Arial"/>
              </a:defRPr>
            </a:pPr>
            <a:endParaRPr lang="ru-RU"/>
          </a:p>
        </c:txPr>
        <c:crossAx val="1866169480"/>
        <c:crosses val="autoZero"/>
        <c:auto val="1"/>
        <c:lblAlgn val="ctr"/>
        <c:lblOffset val="100"/>
        <c:tickMarkSkip val="1"/>
        <c:noMultiLvlLbl val="0"/>
      </c:catAx>
      <c:valAx>
        <c:axId val="1866169480"/>
        <c:scaling>
          <c:orientation val="minMax"/>
          <c:max val="90"/>
          <c:min val="60"/>
        </c:scaling>
        <c:delete val="0"/>
        <c:axPos val="b"/>
        <c:majorGridlines>
          <c:spPr>
            <a:prstGeom prst="rect">
              <a:avLst/>
            </a:prstGeom>
            <a:ln w="9525" cap="flat" cmpd="sng" algn="ctr">
              <a:solidFill>
                <a:schemeClr val="tx1">
                  <a:lumMod val="15000"/>
                  <a:lumOff val="85000"/>
                </a:schemeClr>
              </a:solidFill>
              <a:round/>
            </a:ln>
          </c:spPr>
        </c:majorGridlines>
        <c:numFmt formatCode="0.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a:solidFill>
                  <a:schemeClr val="tx1">
                    <a:lumMod val="65000"/>
                    <a:lumOff val="35000"/>
                  </a:schemeClr>
                </a:solidFill>
                <a:latin typeface="Calibri"/>
                <a:ea typeface="Arial"/>
                <a:cs typeface="Arial"/>
              </a:defRPr>
            </a:pPr>
            <a:endParaRPr lang="ru-RU"/>
          </a:p>
        </c:txPr>
        <c:crossAx val="1866169479"/>
        <c:crosses val="autoZero"/>
        <c:crossBetween val="between"/>
      </c:valAx>
      <c:spPr>
        <a:prstGeom prst="rect">
          <a:avLst/>
        </a:prstGeom>
        <a:noFill/>
        <a:ln>
          <a:noFill/>
        </a:ln>
        <a:effectLst/>
      </c:spPr>
    </c:plotArea>
    <c:plotVisOnly val="1"/>
    <c:dispBlanksAs val="gap"/>
    <c:showDLblsOverMax val="0"/>
  </c:chart>
  <c:spPr>
    <a:xfrm>
      <a:off x="0" y="0"/>
      <a:ext cx="3600448" cy="1809527"/>
    </a:xfrm>
    <a:prstGeom prst="rect">
      <a:avLst/>
    </a:prstGeom>
    <a:solidFill>
      <a:schemeClr val="bg1"/>
    </a:solidFill>
    <a:ln w="9525" cap="flat" cmpd="sng" algn="ctr">
      <a:solidFill>
        <a:schemeClr val="tx1">
          <a:lumMod val="15000"/>
          <a:lumOff val="85000"/>
        </a:schemeClr>
      </a:solidFill>
      <a:round/>
    </a:ln>
    <a:effectLst/>
  </c:spPr>
  <c:txPr>
    <a:bodyPr/>
    <a:lstStyle/>
    <a:p>
      <a:pPr>
        <a:defRPr sz="1000">
          <a:solidFill>
            <a:schemeClr val="tx1"/>
          </a:solidFill>
          <a:latin typeface="+mn-lt"/>
          <a:ea typeface="+mn-ea"/>
          <a:cs typeface="+mn-cs"/>
        </a:defRPr>
      </a:pPr>
      <a:endParaRPr lang="ru-RU"/>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A4F0F65-EBCE-49D5-988B-C73A4AD91CD4}" type="doc">
      <dgm:prSet loTypeId="urn:microsoft.com/office/officeart/2005/8/layout/hChevron3" loCatId="process" qsTypeId="urn:microsoft.com/office/officeart/2005/8/quickstyle/simple1" qsCatId="simple" csTypeId="urn:microsoft.com/office/officeart/2005/8/colors/colorful1" csCatId="colorful" phldr="1"/>
      <dgm:spPr bwMode="auto"/>
    </dgm:pt>
    <dgm:pt modelId="{77ECDE35-9FD5-44E7-A0A1-AE138E063992}">
      <dgm:prSet phldrT="[Текст]" custT="1"/>
      <dgm:spPr bwMode="auto">
        <a:xfrm>
          <a:off x="2686" y="221949"/>
          <a:ext cx="1843384" cy="622900"/>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miter lim="800000"/>
        </a:ln>
        <a:effectLst/>
      </dgm:spPr>
      <dgm:t>
        <a:bodyPr vert="horz" anchor="ctr"/>
        <a:lstStyle/>
        <a:p>
          <a:pPr algn="ctr" defTabSz="488945">
            <a:lnSpc>
              <a:spcPct val="90000"/>
            </a:lnSpc>
            <a:spcBef>
              <a:spcPts val="0"/>
            </a:spcBef>
            <a:spcAft>
              <a:spcPts val="0"/>
            </a:spcAft>
            <a:defRPr/>
          </a:pPr>
          <a:r>
            <a:rPr lang="ru-RU" sz="1100">
              <a:solidFill>
                <a:sysClr val="window" lastClr="FFFFFF"/>
              </a:solidFill>
              <a:latin typeface="Calibri"/>
              <a:ea typeface="Arial"/>
              <a:cs typeface="Arial"/>
            </a:rPr>
            <a:t>Привлеченные средства</a:t>
          </a:r>
          <a:endParaRPr/>
        </a:p>
      </dgm:t>
    </dgm:pt>
    <dgm:pt modelId="{74E506C4-E865-44F0-94CF-63BEEBBEBA36}" type="parTrans" cxnId="{8DBB47E8-CC19-4544-B8B6-8A701C135068}">
      <dgm:prSet/>
      <dgm:spPr bwMode="auto"/>
      <dgm:t>
        <a:bodyPr/>
        <a:lstStyle/>
        <a:p>
          <a:pPr>
            <a:defRPr/>
          </a:pPr>
          <a:endParaRPr lang="ru-RU"/>
        </a:p>
      </dgm:t>
    </dgm:pt>
    <dgm:pt modelId="{C74591CC-B12B-41D6-9363-27A5E0068AE5}" type="sibTrans" cxnId="{8DBB47E8-CC19-4544-B8B6-8A701C135068}">
      <dgm:prSet/>
      <dgm:spPr bwMode="auto"/>
      <dgm:t>
        <a:bodyPr/>
        <a:lstStyle/>
        <a:p>
          <a:pPr>
            <a:defRPr/>
          </a:pPr>
          <a:endParaRPr lang="ru-RU"/>
        </a:p>
      </dgm:t>
    </dgm:pt>
    <dgm:pt modelId="{445FE9B6-3C07-4EF9-8F59-AD1826EF0A6B}">
      <dgm:prSet phldrT="[Текст]" custT="1"/>
      <dgm:spPr bwMode="auto">
        <a:xfrm>
          <a:off x="1499061" y="232783"/>
          <a:ext cx="2401857" cy="601229"/>
        </a:xfrm>
        <a:solidFill>
          <a:srgbClr val="4F81BD"/>
        </a:solidFill>
        <a:ln w="25400" cap="flat" cmpd="sng" algn="ctr">
          <a:solidFill>
            <a:sysClr val="window" lastClr="FFFFFF">
              <a:hueOff val="0"/>
              <a:satOff val="0"/>
              <a:lumOff val="0"/>
              <a:alphaOff val="0"/>
            </a:sysClr>
          </a:solidFill>
          <a:prstDash val="solid"/>
          <a:miter/>
        </a:ln>
        <a:effectLst/>
      </dgm:spPr>
      <dgm:t>
        <a:bodyPr vert="horz" anchor="ctr"/>
        <a:lstStyle/>
        <a:p>
          <a:pPr algn="ctr" defTabSz="488945">
            <a:lnSpc>
              <a:spcPct val="90000"/>
            </a:lnSpc>
            <a:spcBef>
              <a:spcPts val="0"/>
            </a:spcBef>
            <a:spcAft>
              <a:spcPts val="0"/>
            </a:spcAft>
            <a:defRPr/>
          </a:pPr>
          <a:r>
            <a:rPr lang="ru-RU" sz="1100">
              <a:solidFill>
                <a:sysClr val="window" lastClr="FFFFFF"/>
              </a:solidFill>
              <a:latin typeface="Calibri"/>
              <a:ea typeface="Arial"/>
              <a:cs typeface="Arial"/>
            </a:rPr>
            <a:t>Собственные средства</a:t>
          </a:r>
          <a:endParaRPr/>
        </a:p>
      </dgm:t>
    </dgm:pt>
    <dgm:pt modelId="{E8B4BD47-E49D-4207-B1E5-5C33F0EDD346}" type="parTrans" cxnId="{4CC181B7-17C0-4880-A579-E8E03FC3F539}">
      <dgm:prSet/>
      <dgm:spPr bwMode="auto"/>
      <dgm:t>
        <a:bodyPr/>
        <a:lstStyle/>
        <a:p>
          <a:pPr>
            <a:defRPr/>
          </a:pPr>
          <a:endParaRPr lang="ru-RU"/>
        </a:p>
      </dgm:t>
    </dgm:pt>
    <dgm:pt modelId="{DD04A36A-2715-4F42-AAD2-110544E10B47}" type="sibTrans" cxnId="{4CC181B7-17C0-4880-A579-E8E03FC3F539}">
      <dgm:prSet/>
      <dgm:spPr bwMode="auto"/>
      <dgm:t>
        <a:bodyPr/>
        <a:lstStyle/>
        <a:p>
          <a:pPr>
            <a:defRPr/>
          </a:pPr>
          <a:endParaRPr lang="ru-RU"/>
        </a:p>
      </dgm:t>
    </dgm:pt>
    <dgm:pt modelId="{697C4304-BD2D-4262-A13E-3D70076D104F}">
      <dgm:prSet phldrT="[Текст]" custT="1"/>
      <dgm:spPr bwMode="auto">
        <a:xfrm>
          <a:off x="3565917" y="221949"/>
          <a:ext cx="1717628" cy="622900"/>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vert="horz" anchor="ctr"/>
        <a:lstStyle/>
        <a:p>
          <a:pPr algn="ctr" defTabSz="488945">
            <a:lnSpc>
              <a:spcPct val="90000"/>
            </a:lnSpc>
            <a:spcBef>
              <a:spcPts val="0"/>
            </a:spcBef>
            <a:spcAft>
              <a:spcPts val="0"/>
            </a:spcAft>
            <a:defRPr/>
          </a:pPr>
          <a:r>
            <a:rPr lang="ru-RU" sz="1100">
              <a:solidFill>
                <a:sysClr val="window" lastClr="FFFFFF"/>
              </a:solidFill>
              <a:latin typeface="Calibri"/>
              <a:ea typeface="Arial"/>
              <a:cs typeface="Arial"/>
            </a:rPr>
            <a:t>Прочие*</a:t>
          </a:r>
          <a:endParaRPr/>
        </a:p>
      </dgm:t>
    </dgm:pt>
    <dgm:pt modelId="{4D912BD2-0CD6-46A1-B8F2-FA63EAFC633E}" type="parTrans" cxnId="{035EFDD2-4C92-4192-9F74-E0882F22AF3E}">
      <dgm:prSet/>
      <dgm:spPr bwMode="auto"/>
      <dgm:t>
        <a:bodyPr/>
        <a:lstStyle/>
        <a:p>
          <a:pPr>
            <a:defRPr/>
          </a:pPr>
          <a:endParaRPr lang="ru-RU"/>
        </a:p>
      </dgm:t>
    </dgm:pt>
    <dgm:pt modelId="{A353DD4E-C943-4E2B-9785-BEEDAC8AB84B}" type="sibTrans" cxnId="{035EFDD2-4C92-4192-9F74-E0882F22AF3E}">
      <dgm:prSet/>
      <dgm:spPr bwMode="auto"/>
      <dgm:t>
        <a:bodyPr/>
        <a:lstStyle/>
        <a:p>
          <a:pPr>
            <a:defRPr/>
          </a:pPr>
          <a:endParaRPr lang="ru-RU"/>
        </a:p>
      </dgm:t>
    </dgm:pt>
    <dgm:pt modelId="{F7AC1CA6-E594-491E-BC49-E9670BBAA26A}">
      <dgm:prSet phldrT="" custT="1"/>
      <dgm:spPr bwMode="auto">
        <a:xfrm>
          <a:off x="4859526" y="221949"/>
          <a:ext cx="1843384" cy="622900"/>
        </a:xfrm>
        <a:solidFill>
          <a:srgbClr val="9BBB59">
            <a:lumMod val="75000"/>
          </a:srgbClr>
        </a:solidFill>
        <a:ln w="25400" cap="flat" cmpd="sng" algn="ctr">
          <a:solidFill>
            <a:sysClr val="window" lastClr="FFFFFF">
              <a:hueOff val="0"/>
              <a:satOff val="0"/>
              <a:lumOff val="0"/>
              <a:alphaOff val="0"/>
            </a:sysClr>
          </a:solidFill>
          <a:prstDash val="solid"/>
          <a:miter/>
        </a:ln>
        <a:effectLst/>
      </dgm:spPr>
      <dgm:t>
        <a:bodyPr vert="horz" anchor="ctr"/>
        <a:lstStyle/>
        <a:p>
          <a:pPr algn="ctr" defTabSz="488945">
            <a:lnSpc>
              <a:spcPct val="90000"/>
            </a:lnSpc>
            <a:spcBef>
              <a:spcPts val="0"/>
            </a:spcBef>
            <a:spcAft>
              <a:spcPts val="0"/>
            </a:spcAft>
            <a:defRPr/>
          </a:pPr>
          <a:r>
            <a:rPr lang="ru-RU" sz="1100">
              <a:solidFill>
                <a:sysClr val="window" lastClr="FFFFFF"/>
              </a:solidFill>
              <a:latin typeface="Calibri"/>
              <a:ea typeface="Arial"/>
              <a:cs typeface="Arial"/>
            </a:rPr>
            <a:t>Плата за техприсоединение</a:t>
          </a:r>
          <a:endParaRPr/>
        </a:p>
      </dgm:t>
    </dgm:pt>
    <dgm:pt modelId="{10448BC3-D7D2-4543-981B-C8A0ECEA0048}" type="parTrans" cxnId="{2C0096FA-7FD7-4E53-B657-25840A31488C}">
      <dgm:prSet/>
      <dgm:spPr bwMode="auto"/>
      <dgm:t>
        <a:bodyPr/>
        <a:lstStyle/>
        <a:p>
          <a:pPr>
            <a:defRPr/>
          </a:pPr>
          <a:endParaRPr lang="ru-RU"/>
        </a:p>
      </dgm:t>
    </dgm:pt>
    <dgm:pt modelId="{F24110E9-E8CE-4E15-BAB2-F6C04B1D99F7}" type="sibTrans" cxnId="{2C0096FA-7FD7-4E53-B657-25840A31488C}">
      <dgm:prSet/>
      <dgm:spPr bwMode="auto"/>
      <dgm:t>
        <a:bodyPr/>
        <a:lstStyle/>
        <a:p>
          <a:pPr>
            <a:defRPr/>
          </a:pPr>
          <a:endParaRPr lang="ru-RU"/>
        </a:p>
      </dgm:t>
    </dgm:pt>
    <dgm:pt modelId="{BB8228D7-153F-4E0A-868F-305D23419559}" type="pres">
      <dgm:prSet presAssocID="{EA4F0F65-EBCE-49D5-988B-C73A4AD91CD4}" presName="Name0" presStyleCnt="0">
        <dgm:presLayoutVars>
          <dgm:dir/>
          <dgm:resizeHandles val="exact"/>
        </dgm:presLayoutVars>
      </dgm:prSet>
      <dgm:spPr bwMode="auto"/>
    </dgm:pt>
    <dgm:pt modelId="{D9FB8DBA-A88A-4AB6-ADE2-6BFFA2E9FB3D}" type="pres">
      <dgm:prSet presAssocID="{77ECDE35-9FD5-44E7-A0A1-AE138E063992}" presName="parTxOnly" presStyleLbl="node1" presStyleIdx="0" presStyleCnt="4" custScaleY="84478" custLinFactX="131920" custLinFactNeighborX="200000">
        <dgm:presLayoutVars>
          <dgm:bulletEnabled val="1"/>
        </dgm:presLayoutVars>
      </dgm:prSet>
      <dgm:spPr bwMode="auto">
        <a:prstGeom prst="chevron">
          <a:avLst>
            <a:gd name="adj" fmla="val 50000"/>
          </a:avLst>
        </a:prstGeom>
      </dgm:spPr>
      <dgm:t>
        <a:bodyPr/>
        <a:lstStyle/>
        <a:p>
          <a:pPr>
            <a:defRPr/>
          </a:pPr>
          <a:endParaRPr lang="ru-RU"/>
        </a:p>
      </dgm:t>
    </dgm:pt>
    <dgm:pt modelId="{7BBF712A-9BB7-4896-A2A7-5D820C0D547F}" type="pres">
      <dgm:prSet presAssocID="{C74591CC-B12B-41D6-9363-27A5E0068AE5}" presName="parSpace" presStyleCnt="0"/>
      <dgm:spPr bwMode="auto"/>
    </dgm:pt>
    <dgm:pt modelId="{FAD89C7A-C9FD-44E8-A7BE-E2A17C3E470C}" type="pres">
      <dgm:prSet presAssocID="{445FE9B6-3C07-4EF9-8F59-AD1826EF0A6B}" presName="parTxOnly" presStyleLbl="node1" presStyleIdx="1" presStyleCnt="4" custScaleX="130295" custScaleY="81539" custLinFactNeighborX="-70209">
        <dgm:presLayoutVars>
          <dgm:bulletEnabled val="1"/>
        </dgm:presLayoutVars>
      </dgm:prSet>
      <dgm:spPr bwMode="auto">
        <a:prstGeom prst="chevron">
          <a:avLst>
            <a:gd name="adj" fmla="val 50000"/>
          </a:avLst>
        </a:prstGeom>
      </dgm:spPr>
      <dgm:t>
        <a:bodyPr/>
        <a:lstStyle/>
        <a:p>
          <a:pPr>
            <a:defRPr/>
          </a:pPr>
          <a:endParaRPr lang="ru-RU"/>
        </a:p>
      </dgm:t>
    </dgm:pt>
    <dgm:pt modelId="{06467BA4-EA46-4D5F-BEAA-3F864F833543}" type="pres">
      <dgm:prSet presAssocID="{DD04A36A-2715-4F42-AAD2-110544E10B47}" presName="parSpace" presStyleCnt="0"/>
      <dgm:spPr bwMode="auto"/>
    </dgm:pt>
    <dgm:pt modelId="{DF6E47AE-7E81-4F04-AEAE-B187FA57388E}" type="pres">
      <dgm:prSet presAssocID="{697C4304-BD2D-4262-A13E-3D70076D104F}" presName="parTxOnly" presStyleLbl="node1" presStyleIdx="2" presStyleCnt="4" custScaleX="75239" custScaleY="78844" custLinFactX="-143429" custLinFactNeighborX="-200000" custLinFactNeighborY="1252">
        <dgm:presLayoutVars>
          <dgm:bulletEnabled val="1"/>
        </dgm:presLayoutVars>
      </dgm:prSet>
      <dgm:spPr bwMode="auto">
        <a:prstGeom prst="chevron">
          <a:avLst>
            <a:gd name="adj" fmla="val 50000"/>
          </a:avLst>
        </a:prstGeom>
      </dgm:spPr>
      <dgm:t>
        <a:bodyPr/>
        <a:lstStyle/>
        <a:p>
          <a:pPr>
            <a:defRPr/>
          </a:pPr>
          <a:endParaRPr lang="ru-RU"/>
        </a:p>
      </dgm:t>
    </dgm:pt>
    <dgm:pt modelId="{38EB9CCF-2BE1-4F24-A151-54B7DF62B5AA}" type="pres">
      <dgm:prSet presAssocID="{A353DD4E-C943-4E2B-9785-BEEDAC8AB84B}" presName="parSpace" presStyleCnt="0"/>
      <dgm:spPr bwMode="auto"/>
    </dgm:pt>
    <dgm:pt modelId="{B8F441C5-FF74-497A-825B-A3DA6FDE25B1}" type="pres">
      <dgm:prSet presAssocID="{F7AC1CA6-E594-491E-BC49-E9670BBAA26A}" presName="parTxOnly" presStyleLbl="node1" presStyleIdx="3" presStyleCnt="4" custScaleY="84478">
        <dgm:presLayoutVars>
          <dgm:bulletEnabled val="1"/>
        </dgm:presLayoutVars>
      </dgm:prSet>
      <dgm:spPr bwMode="auto">
        <a:prstGeom prst="chevron">
          <a:avLst>
            <a:gd name="adj" fmla="val 50000"/>
          </a:avLst>
        </a:prstGeom>
      </dgm:spPr>
      <dgm:t>
        <a:bodyPr/>
        <a:lstStyle/>
        <a:p>
          <a:pPr>
            <a:defRPr/>
          </a:pPr>
          <a:endParaRPr lang="ru-RU"/>
        </a:p>
      </dgm:t>
    </dgm:pt>
  </dgm:ptLst>
  <dgm:cxnLst>
    <dgm:cxn modelId="{2C0096FA-7FD7-4E53-B657-25840A31488C}" srcId="{EA4F0F65-EBCE-49D5-988B-C73A4AD91CD4}" destId="{F7AC1CA6-E594-491E-BC49-E9670BBAA26A}" srcOrd="3" destOrd="0" parTransId="{10448BC3-D7D2-4543-981B-C8A0ECEA0048}" sibTransId="{F24110E9-E8CE-4E15-BAB2-F6C04B1D99F7}"/>
    <dgm:cxn modelId="{8DBB47E8-CC19-4544-B8B6-8A701C135068}" srcId="{EA4F0F65-EBCE-49D5-988B-C73A4AD91CD4}" destId="{77ECDE35-9FD5-44E7-A0A1-AE138E063992}" srcOrd="0" destOrd="0" parTransId="{74E506C4-E865-44F0-94CF-63BEEBBEBA36}" sibTransId="{C74591CC-B12B-41D6-9363-27A5E0068AE5}"/>
    <dgm:cxn modelId="{800E69B1-8979-4210-96F3-9B49A9EF922C}" type="presOf" srcId="{EA4F0F65-EBCE-49D5-988B-C73A4AD91CD4}" destId="{BB8228D7-153F-4E0A-868F-305D23419559}" srcOrd="0" destOrd="0" presId="urn:microsoft.com/office/officeart/2005/8/layout/hChevron3"/>
    <dgm:cxn modelId="{FA9A2155-A62B-41AC-8189-C62B4FE4B64B}" type="presOf" srcId="{77ECDE35-9FD5-44E7-A0A1-AE138E063992}" destId="{D9FB8DBA-A88A-4AB6-ADE2-6BFFA2E9FB3D}" srcOrd="0" destOrd="0" presId="urn:microsoft.com/office/officeart/2005/8/layout/hChevron3"/>
    <dgm:cxn modelId="{E51C565D-B7E7-49CF-8B18-050D1120D3A2}" type="presOf" srcId="{445FE9B6-3C07-4EF9-8F59-AD1826EF0A6B}" destId="{FAD89C7A-C9FD-44E8-A7BE-E2A17C3E470C}" srcOrd="0" destOrd="0" presId="urn:microsoft.com/office/officeart/2005/8/layout/hChevron3"/>
    <dgm:cxn modelId="{035EFDD2-4C92-4192-9F74-E0882F22AF3E}" srcId="{EA4F0F65-EBCE-49D5-988B-C73A4AD91CD4}" destId="{697C4304-BD2D-4262-A13E-3D70076D104F}" srcOrd="2" destOrd="0" parTransId="{4D912BD2-0CD6-46A1-B8F2-FA63EAFC633E}" sibTransId="{A353DD4E-C943-4E2B-9785-BEEDAC8AB84B}"/>
    <dgm:cxn modelId="{3C02145B-4728-4A87-93EE-38945147BFC5}" type="presOf" srcId="{697C4304-BD2D-4262-A13E-3D70076D104F}" destId="{DF6E47AE-7E81-4F04-AEAE-B187FA57388E}" srcOrd="0" destOrd="0" presId="urn:microsoft.com/office/officeart/2005/8/layout/hChevron3"/>
    <dgm:cxn modelId="{4CC181B7-17C0-4880-A579-E8E03FC3F539}" srcId="{EA4F0F65-EBCE-49D5-988B-C73A4AD91CD4}" destId="{445FE9B6-3C07-4EF9-8F59-AD1826EF0A6B}" srcOrd="1" destOrd="0" parTransId="{E8B4BD47-E49D-4207-B1E5-5C33F0EDD346}" sibTransId="{DD04A36A-2715-4F42-AAD2-110544E10B47}"/>
    <dgm:cxn modelId="{4CD9FDAF-7088-4AA5-9B3C-EB0343F977D8}" type="presOf" srcId="{F7AC1CA6-E594-491E-BC49-E9670BBAA26A}" destId="{B8F441C5-FF74-497A-825B-A3DA6FDE25B1}" srcOrd="0" destOrd="0" presId="urn:microsoft.com/office/officeart/2005/8/layout/hChevron3"/>
    <dgm:cxn modelId="{12D37E39-760C-432E-9DFA-8D367E33E30D}" type="presParOf" srcId="{BB8228D7-153F-4E0A-868F-305D23419559}" destId="{D9FB8DBA-A88A-4AB6-ADE2-6BFFA2E9FB3D}" srcOrd="0" destOrd="0" presId="urn:microsoft.com/office/officeart/2005/8/layout/hChevron3"/>
    <dgm:cxn modelId="{50F2B052-0F73-4BE1-863B-9EB620529DD2}" type="presParOf" srcId="{BB8228D7-153F-4E0A-868F-305D23419559}" destId="{7BBF712A-9BB7-4896-A2A7-5D820C0D547F}" srcOrd="1" destOrd="0" presId="urn:microsoft.com/office/officeart/2005/8/layout/hChevron3"/>
    <dgm:cxn modelId="{AD04C61F-6952-468E-BBFD-57C6D95B6F51}" type="presParOf" srcId="{BB8228D7-153F-4E0A-868F-305D23419559}" destId="{FAD89C7A-C9FD-44E8-A7BE-E2A17C3E470C}" srcOrd="2" destOrd="0" presId="urn:microsoft.com/office/officeart/2005/8/layout/hChevron3"/>
    <dgm:cxn modelId="{A241E392-8B44-4117-A1EF-F7711FBCC6CB}" type="presParOf" srcId="{BB8228D7-153F-4E0A-868F-305D23419559}" destId="{06467BA4-EA46-4D5F-BEAA-3F864F833543}" srcOrd="3" destOrd="0" presId="urn:microsoft.com/office/officeart/2005/8/layout/hChevron3"/>
    <dgm:cxn modelId="{2A82ECA5-71B6-4649-A9EF-85B4232BFD67}" type="presParOf" srcId="{BB8228D7-153F-4E0A-868F-305D23419559}" destId="{DF6E47AE-7E81-4F04-AEAE-B187FA57388E}" srcOrd="4" destOrd="0" presId="urn:microsoft.com/office/officeart/2005/8/layout/hChevron3"/>
    <dgm:cxn modelId="{6B567CEC-798B-47ED-BDCC-808837125175}" type="presParOf" srcId="{BB8228D7-153F-4E0A-868F-305D23419559}" destId="{38EB9CCF-2BE1-4F24-A151-54B7DF62B5AA}" srcOrd="5" destOrd="0" presId="urn:microsoft.com/office/officeart/2005/8/layout/hChevron3"/>
    <dgm:cxn modelId="{C4EB3A64-4D17-4391-A402-BBCFC5B2DACC}" type="presParOf" srcId="{BB8228D7-153F-4E0A-868F-305D23419559}" destId="{B8F441C5-FF74-497A-825B-A3DA6FDE25B1}" srcOrd="6" destOrd="0" presId="urn:microsoft.com/office/officeart/2005/8/layout/hChevron3"/>
  </dgm:cxnLst>
  <dgm:bg/>
  <dgm:whole/>
  <dgm:extLst>
    <a:ext uri="http://schemas.microsoft.com/office/drawing/2008/diagram">
      <dsp:dataModelExt xmlns:dsp="http://schemas.microsoft.com/office/drawing/2008/diagram" relId="rId7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FB8DBA-A88A-4AB6-ADE2-6BFFA2E9FB3D}">
      <dsp:nvSpPr>
        <dsp:cNvPr id="0" name=""/>
        <dsp:cNvSpPr/>
      </dsp:nvSpPr>
      <dsp:spPr bwMode="auto">
        <a:xfrm>
          <a:off x="3089944" y="34833"/>
          <a:ext cx="1795164" cy="606607"/>
        </a:xfrm>
        <a:prstGeom prst="chevron">
          <a:avLst>
            <a:gd name="adj" fmla="val 50000"/>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8674" tIns="29337" rIns="14669" bIns="29337" numCol="1" spcCol="1270" anchor="ctr" anchorCtr="0">
          <a:noAutofit/>
        </a:bodyPr>
        <a:lstStyle/>
        <a:p>
          <a:pPr lvl="0" algn="ctr" defTabSz="488945">
            <a:lnSpc>
              <a:spcPct val="90000"/>
            </a:lnSpc>
            <a:spcBef>
              <a:spcPct val="0"/>
            </a:spcBef>
            <a:spcAft>
              <a:spcPts val="0"/>
            </a:spcAft>
            <a:defRPr/>
          </a:pPr>
          <a:r>
            <a:rPr lang="ru-RU" sz="1100" kern="1200">
              <a:solidFill>
                <a:sysClr val="window" lastClr="FFFFFF"/>
              </a:solidFill>
              <a:latin typeface="Calibri"/>
              <a:ea typeface="Arial"/>
              <a:cs typeface="Arial"/>
            </a:rPr>
            <a:t>Привлеченные средства</a:t>
          </a:r>
          <a:endParaRPr kern="1200"/>
        </a:p>
      </dsp:txBody>
      <dsp:txXfrm>
        <a:off x="3393248" y="34833"/>
        <a:ext cx="1188557" cy="606607"/>
      </dsp:txXfrm>
    </dsp:sp>
    <dsp:sp modelId="{FAD89C7A-C9FD-44E8-A7BE-E2A17C3E470C}">
      <dsp:nvSpPr>
        <dsp:cNvPr id="0" name=""/>
        <dsp:cNvSpPr/>
      </dsp:nvSpPr>
      <dsp:spPr bwMode="auto">
        <a:xfrm>
          <a:off x="1187755" y="45385"/>
          <a:ext cx="2339010" cy="585503"/>
        </a:xfrm>
        <a:prstGeom prst="chevron">
          <a:avLst>
            <a:gd name="adj" fmla="val 50000"/>
          </a:avLst>
        </a:prstGeom>
        <a:solidFill>
          <a:srgbClr val="4F81BD"/>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ctr" defTabSz="488945">
            <a:lnSpc>
              <a:spcPct val="90000"/>
            </a:lnSpc>
            <a:spcBef>
              <a:spcPct val="0"/>
            </a:spcBef>
            <a:spcAft>
              <a:spcPts val="0"/>
            </a:spcAft>
            <a:defRPr/>
          </a:pPr>
          <a:r>
            <a:rPr lang="ru-RU" sz="1100" kern="1200">
              <a:solidFill>
                <a:sysClr val="window" lastClr="FFFFFF"/>
              </a:solidFill>
              <a:latin typeface="Calibri"/>
              <a:ea typeface="Arial"/>
              <a:cs typeface="Arial"/>
            </a:rPr>
            <a:t>Собственные средства</a:t>
          </a:r>
          <a:endParaRPr kern="1200"/>
        </a:p>
      </dsp:txBody>
      <dsp:txXfrm>
        <a:off x="1480507" y="45385"/>
        <a:ext cx="1753507" cy="585503"/>
      </dsp:txXfrm>
    </dsp:sp>
    <dsp:sp modelId="{DF6E47AE-7E81-4F04-AEAE-B187FA57388E}">
      <dsp:nvSpPr>
        <dsp:cNvPr id="0" name=""/>
        <dsp:cNvSpPr/>
      </dsp:nvSpPr>
      <dsp:spPr bwMode="auto">
        <a:xfrm>
          <a:off x="126953" y="64051"/>
          <a:ext cx="1350664" cy="566151"/>
        </a:xfrm>
        <a:prstGeom prst="chevron">
          <a:avLst>
            <a:gd name="adj" fmla="val 5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ctr" defTabSz="488945">
            <a:lnSpc>
              <a:spcPct val="90000"/>
            </a:lnSpc>
            <a:spcBef>
              <a:spcPct val="0"/>
            </a:spcBef>
            <a:spcAft>
              <a:spcPts val="0"/>
            </a:spcAft>
            <a:defRPr/>
          </a:pPr>
          <a:r>
            <a:rPr lang="ru-RU" sz="1100" kern="1200">
              <a:solidFill>
                <a:sysClr val="window" lastClr="FFFFFF"/>
              </a:solidFill>
              <a:latin typeface="Calibri"/>
              <a:ea typeface="Arial"/>
              <a:cs typeface="Arial"/>
            </a:rPr>
            <a:t>Прочие*</a:t>
          </a:r>
          <a:endParaRPr kern="1200"/>
        </a:p>
      </dsp:txBody>
      <dsp:txXfrm>
        <a:off x="410029" y="64051"/>
        <a:ext cx="784513" cy="566151"/>
      </dsp:txXfrm>
    </dsp:sp>
    <dsp:sp modelId="{B8F441C5-FF74-497A-825B-A3DA6FDE25B1}">
      <dsp:nvSpPr>
        <dsp:cNvPr id="0" name=""/>
        <dsp:cNvSpPr/>
      </dsp:nvSpPr>
      <dsp:spPr bwMode="auto">
        <a:xfrm>
          <a:off x="4411437" y="34833"/>
          <a:ext cx="1795164" cy="606607"/>
        </a:xfrm>
        <a:prstGeom prst="chevron">
          <a:avLst>
            <a:gd name="adj" fmla="val 50000"/>
          </a:avLst>
        </a:prstGeom>
        <a:solidFill>
          <a:srgbClr val="9BBB59">
            <a:lumMod val="7500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ctr" defTabSz="488945">
            <a:lnSpc>
              <a:spcPct val="90000"/>
            </a:lnSpc>
            <a:spcBef>
              <a:spcPct val="0"/>
            </a:spcBef>
            <a:spcAft>
              <a:spcPts val="0"/>
            </a:spcAft>
            <a:defRPr/>
          </a:pPr>
          <a:r>
            <a:rPr lang="ru-RU" sz="1100" kern="1200">
              <a:solidFill>
                <a:sysClr val="window" lastClr="FFFFFF"/>
              </a:solidFill>
              <a:latin typeface="Calibri"/>
              <a:ea typeface="Arial"/>
              <a:cs typeface="Arial"/>
            </a:rPr>
            <a:t>Плата за техприсоединение</a:t>
          </a:r>
          <a:endParaRPr kern="1200"/>
        </a:p>
      </dsp:txBody>
      <dsp:txXfrm>
        <a:off x="4714741" y="34833"/>
        <a:ext cx="1188557" cy="606607"/>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TEXT"/>
        <w:category>
          <w:name w:val="Common"/>
          <w:gallery w:val="placeholder"/>
        </w:category>
        <w:types>
          <w:type w:val="bbPlcHdr"/>
        </w:types>
        <w:behaviors>
          <w:behavior w:val="content"/>
        </w:behaviors>
        <w:guid w:val="{3060AE4A-DFF3-4D72-BCFF-CCBA8E744F12}"/>
      </w:docPartPr>
      <w:docPartBody>
        <w:p w:rsidR="00DA4A76" w:rsidRDefault="00DA4A76">
          <w:r>
            <w:t>Введите ваш текст</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A4A76" w:rsidRDefault="00DA4A76">
      <w:r>
        <w:separator/>
      </w:r>
    </w:p>
  </w:endnote>
  <w:endnote w:type="continuationSeparator" w:id="0">
    <w:p w:rsidR="00DA4A76" w:rsidRDefault="00DA4A76">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Unicode MS">
    <w:panose1 w:val="020B0604020202020204"/>
    <w:charset w:val="00"/>
    <w:family w:val="auto"/>
    <w:pitch w:val="default"/>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CY">
    <w:charset w:val="00"/>
    <w:family w:val="auto"/>
    <w:pitch w:val="default"/>
  </w:font>
  <w:font w:name="Arial CYR">
    <w:panose1 w:val="020B0604020202020204"/>
    <w:charset w:val="00"/>
    <w:family w:val="auto"/>
    <w:pitch w:val="default"/>
  </w:font>
  <w:font w:name="Microsoft Sans Serif">
    <w:panose1 w:val="020B0604020202020204"/>
    <w:charset w:val="CC"/>
    <w:family w:val="swiss"/>
    <w:pitch w:val="variable"/>
    <w:sig w:usb0="E5002EFF" w:usb1="C000605B" w:usb2="00000029" w:usb3="00000000" w:csb0="000101FF" w:csb1="00000000"/>
  </w:font>
  <w:font w:name="Tahoma">
    <w:panose1 w:val="020B0604030504040204"/>
    <w:charset w:val="CC"/>
    <w:family w:val="swiss"/>
    <w:pitch w:val="variable"/>
    <w:sig w:usb0="E1002EFF" w:usb1="C000605B" w:usb2="00000029" w:usb3="00000000" w:csb0="000101FF" w:csb1="00000000"/>
  </w:font>
  <w:font w:name="AGOpus">
    <w:charset w:val="00"/>
    <w:family w:val="auto"/>
    <w:pitch w:val="default"/>
  </w:font>
  <w:font w:name="Book Antiqua">
    <w:panose1 w:val="0204060205030503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Helvetica Neue">
    <w:charset w:val="00"/>
    <w:family w:val="auto"/>
    <w:pitch w:val="default"/>
  </w:font>
  <w:font w:name="Univers LT CYR 45 Light">
    <w:charset w:val="00"/>
    <w:family w:val="auto"/>
    <w:pitch w:val="default"/>
  </w:font>
  <w:font w:name="Univers LT CYR 47 Lt Cn">
    <w:charset w:val="00"/>
    <w:family w:val="auto"/>
    <w:pitch w:val="default"/>
  </w:font>
  <w:font w:name="HeliosCond">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auto"/>
    <w:pitch w:val="default"/>
  </w:font>
  <w:font w:name="TT Jenevers">
    <w:charset w:val="00"/>
    <w:family w:val="auto"/>
    <w:pitch w:val="default"/>
  </w:font>
  <w:font w:name="PFDinTextCondPro-Medium">
    <w:panose1 w:val="02000500000000020004"/>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Yu Mincho">
    <w:charset w:val="00"/>
    <w:family w:val="auto"/>
    <w:pitch w:val="default"/>
  </w:font>
  <w:font w:name="TimesNewRomanPSMT">
    <w:charset w:val="00"/>
    <w:family w:val="auto"/>
    <w:pitch w:val="default"/>
  </w:font>
  <w:font w:name="PFDinTextCondPro-Regular">
    <w:panose1 w:val="02000000000000000000"/>
    <w:charset w:val="00"/>
    <w:family w:val="auto"/>
    <w:pitch w:val="default"/>
  </w:font>
  <w:font w:name="Webdings">
    <w:panose1 w:val="05030102010509060703"/>
    <w:charset w:val="02"/>
    <w:family w:val="roman"/>
    <w:pitch w:val="variable"/>
    <w:sig w:usb0="00000000" w:usb1="10000000" w:usb2="00000000" w:usb3="00000000" w:csb0="80000000" w:csb1="00000000"/>
  </w:font>
  <w:font w:name="MS Mincho">
    <w:altName w:val="ＭＳ 明朝"/>
    <w:panose1 w:val="02020609040205080304"/>
    <w:charset w:val="00"/>
    <w:family w:val="auto"/>
    <w:pitch w:val="default"/>
  </w:font>
  <w:font w:name="DengXian Light">
    <w:altName w:val="等线 Light"/>
    <w:panose1 w:val="00000000000000000000"/>
    <w:charset w:val="86"/>
    <w:family w:val="roman"/>
    <w:notTrueType/>
    <w:pitch w:val="default"/>
  </w:font>
  <w:font w:name="DengXian">
    <w:altName w:val="等线"/>
    <w:panose1 w:val="02010600030101010101"/>
    <w:charset w:val="86"/>
    <w:family w:val="modern"/>
    <w:pitch w:val="fixed"/>
    <w:sig w:usb0="00000001" w:usb1="080E0000" w:usb2="00000010" w:usb3="00000000" w:csb0="00040000"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A4A76" w:rsidRDefault="00DA4A76">
      <w:r>
        <w:separator/>
      </w:r>
    </w:p>
  </w:footnote>
  <w:footnote w:type="continuationSeparator" w:id="0">
    <w:p w:rsidR="00DA4A76" w:rsidRDefault="00DA4A76">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4A76"/>
    <w:rsid w:val="00DA4A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sz w:val="22"/>
      <w:szCs w:val="22"/>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sz w:val="22"/>
      <w:szCs w:val="22"/>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sz w:val="22"/>
      <w:szCs w:val="22"/>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11">
    <w:name w:val="Plain Table 1"/>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1">
    <w:name w:val="Plain Table 2"/>
    <w:basedOn w:val="a1"/>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2">
    <w:name w:val="Grid Table 2"/>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3">
    <w:name w:val="Grid Table 3"/>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4">
    <w:name w:val="Grid Table 4"/>
    <w:basedOn w:val="a1"/>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5">
    <w:name w:val="Grid Table 5 Dark"/>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styleId="-6">
    <w:name w:val="Grid Table 6 Colorful"/>
    <w:basedOn w:val="a1"/>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7">
    <w:name w:val="Grid Table 7 Colorful"/>
    <w:basedOn w:val="a1"/>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10">
    <w:name w:val="List Table 1 Light"/>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20">
    <w:name w:val="List Table 2"/>
    <w:basedOn w:val="a1"/>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30">
    <w:name w:val="List Table 3"/>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40">
    <w:name w:val="List Table 4"/>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50">
    <w:name w:val="List Table 5 Dark"/>
    <w:basedOn w:val="a1"/>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60">
    <w:name w:val="List Table 6 Colorful"/>
    <w:basedOn w:val="a1"/>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70">
    <w:name w:val="List Table 7 Colorful"/>
    <w:basedOn w:val="a1"/>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character" w:customStyle="1" w:styleId="Heading1Char">
    <w:name w:val="Heading 1 Char"/>
    <w:basedOn w:val="a0"/>
    <w:uiPriority w:val="9"/>
    <w:rPr>
      <w:rFonts w:ascii="Arial" w:eastAsia="Arial" w:hAnsi="Arial" w:cs="Arial"/>
      <w:sz w:val="40"/>
      <w:szCs w:val="40"/>
    </w:rPr>
  </w:style>
  <w:style w:type="character" w:customStyle="1" w:styleId="Heading2Char">
    <w:name w:val="Heading 2 Char"/>
    <w:basedOn w:val="a0"/>
    <w:uiPriority w:val="9"/>
    <w:rPr>
      <w:rFonts w:ascii="Arial" w:eastAsia="Arial" w:hAnsi="Arial" w:cs="Arial"/>
      <w:sz w:val="34"/>
    </w:rPr>
  </w:style>
  <w:style w:type="character" w:customStyle="1" w:styleId="Heading3Char">
    <w:name w:val="Heading 3 Char"/>
    <w:basedOn w:val="a0"/>
    <w:uiPriority w:val="9"/>
    <w:rPr>
      <w:rFonts w:ascii="Arial" w:eastAsia="Arial" w:hAnsi="Arial" w:cs="Arial"/>
      <w:sz w:val="30"/>
      <w:szCs w:val="30"/>
    </w:rPr>
  </w:style>
  <w:style w:type="character" w:customStyle="1" w:styleId="Heading4Char">
    <w:name w:val="Heading 4 Char"/>
    <w:basedOn w:val="a0"/>
    <w:uiPriority w:val="9"/>
    <w:rPr>
      <w:rFonts w:ascii="Arial" w:eastAsia="Arial" w:hAnsi="Arial" w:cs="Arial"/>
      <w:b/>
      <w:bCs/>
      <w:sz w:val="26"/>
      <w:szCs w:val="26"/>
    </w:rPr>
  </w:style>
  <w:style w:type="character" w:customStyle="1" w:styleId="Heading5Char">
    <w:name w:val="Heading 5 Char"/>
    <w:basedOn w:val="a0"/>
    <w:uiPriority w:val="9"/>
    <w:rPr>
      <w:rFonts w:ascii="Arial" w:eastAsia="Arial" w:hAnsi="Arial" w:cs="Arial"/>
      <w:b/>
      <w:bCs/>
      <w:sz w:val="24"/>
      <w:szCs w:val="24"/>
    </w:rPr>
  </w:style>
  <w:style w:type="character" w:customStyle="1" w:styleId="Heading6Char">
    <w:name w:val="Heading 6 Char"/>
    <w:basedOn w:val="a0"/>
    <w:uiPriority w:val="9"/>
    <w:rPr>
      <w:rFonts w:ascii="Arial" w:eastAsia="Arial" w:hAnsi="Arial" w:cs="Arial"/>
      <w:b/>
      <w:bCs/>
      <w:sz w:val="22"/>
      <w:szCs w:val="22"/>
    </w:rPr>
  </w:style>
  <w:style w:type="character" w:customStyle="1" w:styleId="Heading7Char">
    <w:name w:val="Heading 7 Char"/>
    <w:basedOn w:val="a0"/>
    <w:uiPriority w:val="9"/>
    <w:rPr>
      <w:rFonts w:ascii="Arial" w:eastAsia="Arial" w:hAnsi="Arial" w:cs="Arial"/>
      <w:b/>
      <w:bCs/>
      <w:i/>
      <w:iCs/>
      <w:sz w:val="22"/>
      <w:szCs w:val="22"/>
    </w:rPr>
  </w:style>
  <w:style w:type="character" w:customStyle="1" w:styleId="Heading8Char">
    <w:name w:val="Heading 8 Char"/>
    <w:basedOn w:val="a0"/>
    <w:uiPriority w:val="9"/>
    <w:rPr>
      <w:rFonts w:ascii="Arial" w:eastAsia="Arial" w:hAnsi="Arial" w:cs="Arial"/>
      <w:i/>
      <w:iCs/>
      <w:sz w:val="22"/>
      <w:szCs w:val="22"/>
    </w:rPr>
  </w:style>
  <w:style w:type="character" w:customStyle="1" w:styleId="Heading9Char">
    <w:name w:val="Heading 9 Char"/>
    <w:basedOn w:val="a0"/>
    <w:uiPriority w:val="9"/>
    <w:rPr>
      <w:rFonts w:ascii="Arial" w:eastAsia="Arial" w:hAnsi="Arial" w:cs="Arial"/>
      <w:i/>
      <w:iCs/>
      <w:sz w:val="21"/>
      <w:szCs w:val="21"/>
    </w:rPr>
  </w:style>
  <w:style w:type="character" w:customStyle="1" w:styleId="TitleChar">
    <w:name w:val="Title Char"/>
    <w:basedOn w:val="a0"/>
    <w:uiPriority w:val="10"/>
    <w:rPr>
      <w:sz w:val="48"/>
      <w:szCs w:val="48"/>
    </w:rPr>
  </w:style>
  <w:style w:type="character" w:customStyle="1" w:styleId="SubtitleChar">
    <w:name w:val="Subtitle Char"/>
    <w:basedOn w:val="a0"/>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0"/>
    <w:uiPriority w:val="99"/>
  </w:style>
  <w:style w:type="character" w:customStyle="1" w:styleId="CaptionChar">
    <w:name w:val="Caption Char"/>
    <w:uiPriority w:val="99"/>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10">
    <w:name w:val="Заголовок 1 Знак"/>
    <w:basedOn w:val="a0"/>
    <w:link w:val="1"/>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List Paragraph"/>
    <w:basedOn w:val="a"/>
    <w:uiPriority w:val="34"/>
    <w:qFormat/>
    <w:pPr>
      <w:ind w:left="720"/>
      <w:contextualSpacing/>
    </w:pPr>
  </w:style>
  <w:style w:type="paragraph" w:styleId="a4">
    <w:name w:val="No Spacing"/>
    <w:uiPriority w:val="1"/>
    <w:qFormat/>
  </w:style>
  <w:style w:type="paragraph" w:styleId="a5">
    <w:name w:val="Title"/>
    <w:basedOn w:val="a"/>
    <w:next w:val="a"/>
    <w:link w:val="a6"/>
    <w:uiPriority w:val="10"/>
    <w:qFormat/>
    <w:pPr>
      <w:spacing w:before="300" w:after="200"/>
      <w:contextualSpacing/>
    </w:pPr>
    <w:rPr>
      <w:sz w:val="48"/>
      <w:szCs w:val="48"/>
    </w:rPr>
  </w:style>
  <w:style w:type="character" w:customStyle="1" w:styleId="a6">
    <w:name w:val="Заголовок Знак"/>
    <w:basedOn w:val="a0"/>
    <w:link w:val="a5"/>
    <w:uiPriority w:val="10"/>
    <w:rPr>
      <w:sz w:val="48"/>
      <w:szCs w:val="48"/>
    </w:rPr>
  </w:style>
  <w:style w:type="paragraph" w:styleId="a7">
    <w:name w:val="Subtitle"/>
    <w:basedOn w:val="a"/>
    <w:next w:val="a"/>
    <w:link w:val="a8"/>
    <w:uiPriority w:val="11"/>
    <w:qFormat/>
    <w:pPr>
      <w:spacing w:before="200" w:after="200"/>
    </w:pPr>
    <w:rPr>
      <w:sz w:val="24"/>
      <w:szCs w:val="24"/>
    </w:rPr>
  </w:style>
  <w:style w:type="character" w:customStyle="1" w:styleId="a8">
    <w:name w:val="Подзаголовок Знак"/>
    <w:basedOn w:val="a0"/>
    <w:link w:val="a7"/>
    <w:uiPriority w:val="11"/>
    <w:rPr>
      <w:sz w:val="24"/>
      <w:szCs w:val="24"/>
    </w:rPr>
  </w:style>
  <w:style w:type="paragraph" w:styleId="22">
    <w:name w:val="Quote"/>
    <w:basedOn w:val="a"/>
    <w:next w:val="a"/>
    <w:link w:val="23"/>
    <w:uiPriority w:val="29"/>
    <w:qFormat/>
    <w:pPr>
      <w:ind w:left="720" w:right="720"/>
    </w:pPr>
    <w:rPr>
      <w:i/>
    </w:rPr>
  </w:style>
  <w:style w:type="character" w:customStyle="1" w:styleId="23">
    <w:name w:val="Цитата 2 Знак"/>
    <w:link w:val="22"/>
    <w:uiPriority w:val="29"/>
    <w:rPr>
      <w:i/>
    </w:rPr>
  </w:style>
  <w:style w:type="paragraph" w:styleId="a9">
    <w:name w:val="Intense Quote"/>
    <w:basedOn w:val="a"/>
    <w:next w:val="a"/>
    <w:link w:val="aa"/>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a">
    <w:name w:val="Выделенная цитата Знак"/>
    <w:link w:val="a9"/>
    <w:uiPriority w:val="30"/>
    <w:rPr>
      <w:i/>
    </w:rPr>
  </w:style>
  <w:style w:type="paragraph" w:styleId="ab">
    <w:name w:val="header"/>
    <w:basedOn w:val="a"/>
    <w:link w:val="ac"/>
    <w:uiPriority w:val="99"/>
    <w:unhideWhenUsed/>
    <w:pPr>
      <w:tabs>
        <w:tab w:val="center" w:pos="7143"/>
        <w:tab w:val="right" w:pos="14287"/>
      </w:tabs>
    </w:pPr>
  </w:style>
  <w:style w:type="character" w:customStyle="1" w:styleId="ac">
    <w:name w:val="Верхний колонтитул Знак"/>
    <w:basedOn w:val="a0"/>
    <w:link w:val="ab"/>
    <w:uiPriority w:val="99"/>
  </w:style>
  <w:style w:type="paragraph" w:styleId="ad">
    <w:name w:val="footer"/>
    <w:basedOn w:val="a"/>
    <w:link w:val="ae"/>
    <w:uiPriority w:val="99"/>
    <w:unhideWhenUsed/>
    <w:pPr>
      <w:tabs>
        <w:tab w:val="center" w:pos="7143"/>
        <w:tab w:val="right" w:pos="14287"/>
      </w:tabs>
    </w:pPr>
  </w:style>
  <w:style w:type="character" w:customStyle="1" w:styleId="FooterChar">
    <w:name w:val="Footer Char"/>
    <w:basedOn w:val="a0"/>
    <w:uiPriority w:val="99"/>
  </w:style>
  <w:style w:type="paragraph" w:styleId="af">
    <w:name w:val="caption"/>
    <w:basedOn w:val="a"/>
    <w:next w:val="a"/>
    <w:uiPriority w:val="35"/>
    <w:semiHidden/>
    <w:unhideWhenUsed/>
    <w:qFormat/>
    <w:pPr>
      <w:spacing w:line="276" w:lineRule="auto"/>
    </w:pPr>
    <w:rPr>
      <w:b/>
      <w:bCs/>
      <w:color w:val="5B9BD5" w:themeColor="accent1"/>
      <w:sz w:val="18"/>
      <w:szCs w:val="18"/>
    </w:rPr>
  </w:style>
  <w:style w:type="character" w:customStyle="1" w:styleId="ae">
    <w:name w:val="Нижний колонтитул Знак"/>
    <w:link w:val="ad"/>
    <w:uiPriority w:val="99"/>
  </w:style>
  <w:style w:type="table" w:styleId="af0">
    <w:name w:val="Table Grid"/>
    <w:basedOn w:val="a1"/>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1"/>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1"/>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Таблица простая 41"/>
    <w:basedOn w:val="a1"/>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0">
    <w:name w:val="Таблица простая 51"/>
    <w:basedOn w:val="a1"/>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1"/>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31">
    <w:name w:val="Таблица-сетка 31"/>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41">
    <w:name w:val="Таблица-сетка 41"/>
    <w:basedOn w:val="a1"/>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51">
    <w:name w:val="Таблица-сетка 5 темная1"/>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61">
    <w:name w:val="Таблица-сетка 6 цветная1"/>
    <w:basedOn w:val="a1"/>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71">
    <w:name w:val="Таблица-сетка 7 цветная1"/>
    <w:basedOn w:val="a1"/>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110">
    <w:name w:val="Список-таблица 1 светлая1"/>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210">
    <w:name w:val="Список-таблица 21"/>
    <w:basedOn w:val="a1"/>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310">
    <w:name w:val="Список-таблица 31"/>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510">
    <w:name w:val="Список-таблица 5 темная1"/>
    <w:basedOn w:val="a1"/>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610">
    <w:name w:val="Список-таблица 6 цветная1"/>
    <w:basedOn w:val="a1"/>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710">
    <w:name w:val="Список-таблица 7 цветная1"/>
    <w:basedOn w:val="a1"/>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rPr>
      <w:color w:val="404040"/>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rPr>
      <w:color w:val="404040"/>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rPr>
      <w:color w:val="40404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rPr>
      <w:color w:val="40404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rPr>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1">
    <w:name w:val="Hyperlink"/>
    <w:uiPriority w:val="99"/>
    <w:unhideWhenUsed/>
    <w:rPr>
      <w:color w:val="0563C1" w:themeColor="hyperlink"/>
      <w:u w:val="single"/>
    </w:rPr>
  </w:style>
  <w:style w:type="paragraph" w:styleId="af2">
    <w:name w:val="footnote text"/>
    <w:basedOn w:val="a"/>
    <w:link w:val="af3"/>
    <w:uiPriority w:val="99"/>
    <w:semiHidden/>
    <w:unhideWhenUsed/>
    <w:pPr>
      <w:spacing w:after="40"/>
    </w:pPr>
    <w:rPr>
      <w:sz w:val="18"/>
    </w:rPr>
  </w:style>
  <w:style w:type="character" w:customStyle="1" w:styleId="af3">
    <w:name w:val="Текст сноски Знак"/>
    <w:link w:val="af2"/>
    <w:uiPriority w:val="99"/>
    <w:rPr>
      <w:sz w:val="18"/>
    </w:rPr>
  </w:style>
  <w:style w:type="character" w:styleId="af4">
    <w:name w:val="footnote reference"/>
    <w:basedOn w:val="a0"/>
    <w:uiPriority w:val="99"/>
    <w:unhideWhenUsed/>
    <w:rPr>
      <w:vertAlign w:val="superscript"/>
    </w:rPr>
  </w:style>
  <w:style w:type="paragraph" w:styleId="af5">
    <w:name w:val="endnote text"/>
    <w:basedOn w:val="a"/>
    <w:link w:val="af6"/>
    <w:uiPriority w:val="99"/>
    <w:semiHidden/>
    <w:unhideWhenUsed/>
  </w:style>
  <w:style w:type="character" w:customStyle="1" w:styleId="af6">
    <w:name w:val="Текст концевой сноски Знак"/>
    <w:link w:val="af5"/>
    <w:uiPriority w:val="99"/>
    <w:rPr>
      <w:sz w:val="20"/>
    </w:rPr>
  </w:style>
  <w:style w:type="character" w:styleId="af7">
    <w:name w:val="endnote reference"/>
    <w:basedOn w:val="a0"/>
    <w:uiPriority w:val="99"/>
    <w:semiHidden/>
    <w:unhideWhenUsed/>
    <w:rPr>
      <w:vertAlign w:val="superscript"/>
    </w:rPr>
  </w:style>
  <w:style w:type="paragraph" w:styleId="12">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8">
    <w:name w:val="TOC Heading"/>
    <w:uiPriority w:val="39"/>
    <w:unhideWhenUsed/>
  </w:style>
  <w:style w:type="paragraph" w:styleId="af9">
    <w:name w:val="table of figures"/>
    <w:basedOn w:val="a"/>
    <w:next w:val="a"/>
    <w:uiPriority w:val="99"/>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E0AB9E-42E2-4741-9653-98F4A7FF0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326</Pages>
  <Words>99883</Words>
  <Characters>569339</Characters>
  <Application>Microsoft Office Word</Application>
  <DocSecurity>0</DocSecurity>
  <Lines>4744</Lines>
  <Paragraphs>1335</Paragraphs>
  <ScaleCrop>false</ScaleCrop>
  <Company/>
  <LinksUpToDate>false</LinksUpToDate>
  <CharactersWithSpaces>667887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Доронин Денис Николаевич</dc:creator>
  <cp:keywords/>
  <dc:description/>
  <cp:lastModifiedBy>Логунова Ольга Александровна</cp:lastModifiedBy>
  <cp:revision>112</cp:revision>
  <dcterms:created xsi:type="dcterms:W3CDTF">2024-04-15T07:38:00Z</dcterms:created>
  <dcterms:modified xsi:type="dcterms:W3CDTF">2025-06-04T04:09:00Z</dcterms:modified>
</cp:coreProperties>
</file>